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A893A0A">
      <w:pPr>
        <w:spacing w:before="165" w:beforeLines="50" w:line="360" w:lineRule="auto"/>
        <w:jc w:val="center"/>
        <w:rPr>
          <w:rFonts w:ascii="宋体" w:hAnsi="宋体"/>
          <w:color w:val="auto"/>
          <w:sz w:val="52"/>
          <w:szCs w:val="52"/>
          <w:highlight w:val="none"/>
        </w:rPr>
      </w:pPr>
      <w:r>
        <w:rPr>
          <w:rFonts w:hint="eastAsia" w:ascii="宋体" w:hAnsi="宋体"/>
          <w:color w:val="auto"/>
          <w:sz w:val="52"/>
          <w:szCs w:val="52"/>
          <w:highlight w:val="none"/>
        </w:rPr>
        <w:t>南宁市政府采购</w:t>
      </w:r>
    </w:p>
    <w:p w14:paraId="2D846FBF">
      <w:pPr>
        <w:spacing w:before="165" w:beforeLines="50" w:line="360" w:lineRule="auto"/>
        <w:jc w:val="center"/>
        <w:rPr>
          <w:rFonts w:ascii="宋体" w:hAnsi="宋体"/>
          <w:color w:val="auto"/>
          <w:sz w:val="52"/>
          <w:szCs w:val="52"/>
          <w:highlight w:val="none"/>
        </w:rPr>
      </w:pPr>
      <w:r>
        <w:rPr>
          <w:rFonts w:hint="eastAsia" w:ascii="宋体" w:hAnsi="宋体"/>
          <w:color w:val="auto"/>
          <w:sz w:val="52"/>
          <w:szCs w:val="52"/>
          <w:highlight w:val="none"/>
        </w:rPr>
        <w:t>公开招标文件（服务类）</w:t>
      </w:r>
    </w:p>
    <w:p w14:paraId="4CBFAB42">
      <w:pPr>
        <w:spacing w:before="165" w:beforeLines="50" w:line="360" w:lineRule="auto"/>
        <w:jc w:val="center"/>
        <w:rPr>
          <w:rFonts w:ascii="仿宋_GB2312" w:hAnsi="宋体" w:eastAsia="仿宋_GB2312"/>
          <w:b/>
          <w:color w:val="auto"/>
          <w:sz w:val="48"/>
          <w:szCs w:val="48"/>
          <w:highlight w:val="none"/>
        </w:rPr>
      </w:pPr>
    </w:p>
    <w:p w14:paraId="7019D7A5">
      <w:pPr>
        <w:spacing w:before="165" w:beforeLines="50" w:line="360" w:lineRule="auto"/>
        <w:jc w:val="center"/>
        <w:rPr>
          <w:rFonts w:ascii="仿宋_GB2312" w:hAnsi="宋体" w:eastAsia="仿宋_GB2312"/>
          <w:b/>
          <w:color w:val="auto"/>
          <w:sz w:val="48"/>
          <w:szCs w:val="48"/>
          <w:highlight w:val="none"/>
        </w:rPr>
      </w:pPr>
    </w:p>
    <w:p w14:paraId="2A72B886">
      <w:pPr>
        <w:snapToGrid w:val="0"/>
        <w:spacing w:before="165" w:beforeLines="50" w:line="360" w:lineRule="auto"/>
        <w:jc w:val="center"/>
        <w:rPr>
          <w:rFonts w:ascii="华文新魏" w:hAnsi="宋体" w:eastAsia="华文新魏"/>
          <w:color w:val="auto"/>
          <w:sz w:val="72"/>
          <w:szCs w:val="72"/>
          <w:highlight w:val="none"/>
        </w:rPr>
      </w:pPr>
      <w:r>
        <w:rPr>
          <w:rFonts w:hint="eastAsia" w:ascii="华文新魏" w:hAnsi="宋体" w:eastAsia="华文新魏"/>
          <w:color w:val="auto"/>
          <w:sz w:val="72"/>
          <w:szCs w:val="72"/>
          <w:highlight w:val="none"/>
        </w:rPr>
        <w:t>招 标 文 件</w:t>
      </w:r>
    </w:p>
    <w:p w14:paraId="0E1DAF98">
      <w:pPr>
        <w:snapToGrid w:val="0"/>
        <w:spacing w:before="165" w:beforeLines="50" w:line="360" w:lineRule="auto"/>
        <w:jc w:val="center"/>
        <w:rPr>
          <w:rFonts w:ascii="仿宋_GB2312" w:hAnsi="宋体" w:eastAsia="仿宋_GB2312"/>
          <w:color w:val="auto"/>
          <w:sz w:val="30"/>
          <w:szCs w:val="72"/>
          <w:highlight w:val="none"/>
        </w:rPr>
      </w:pPr>
      <w:bookmarkStart w:id="0" w:name="_Toc21710"/>
      <w:r>
        <w:rPr>
          <w:rFonts w:hint="eastAsia" w:ascii="仿宋_GB2312" w:hAnsi="宋体" w:eastAsia="仿宋_GB2312"/>
          <w:color w:val="auto"/>
          <w:sz w:val="30"/>
          <w:szCs w:val="72"/>
          <w:highlight w:val="none"/>
        </w:rPr>
        <w:t>（全流程电子化评标）</w:t>
      </w:r>
      <w:bookmarkEnd w:id="0"/>
    </w:p>
    <w:p w14:paraId="23E61590">
      <w:pPr>
        <w:snapToGrid w:val="0"/>
        <w:spacing w:before="165" w:beforeLines="50" w:line="360" w:lineRule="auto"/>
        <w:rPr>
          <w:rFonts w:ascii="仿宋_GB2312" w:hAnsi="宋体" w:eastAsia="仿宋_GB2312"/>
          <w:color w:val="auto"/>
          <w:sz w:val="30"/>
          <w:szCs w:val="72"/>
          <w:highlight w:val="none"/>
        </w:rPr>
      </w:pPr>
    </w:p>
    <w:p w14:paraId="4CD609C2">
      <w:pPr>
        <w:snapToGrid w:val="0"/>
        <w:spacing w:before="50" w:after="120" w:line="360" w:lineRule="auto"/>
        <w:ind w:firstLine="1193" w:firstLineChars="396"/>
        <w:rPr>
          <w:rFonts w:ascii="仿宋" w:hAnsi="仿宋" w:eastAsia="仿宋" w:cs="仿宋"/>
          <w:b/>
          <w:bCs/>
          <w:color w:val="auto"/>
          <w:sz w:val="30"/>
          <w:szCs w:val="30"/>
          <w:highlight w:val="none"/>
        </w:rPr>
      </w:pPr>
      <w:bookmarkStart w:id="1" w:name="_Toc15047"/>
      <w:r>
        <w:rPr>
          <w:rFonts w:hint="eastAsia" w:ascii="仿宋" w:hAnsi="仿宋" w:eastAsia="仿宋" w:cs="仿宋"/>
          <w:b/>
          <w:bCs/>
          <w:color w:val="auto"/>
          <w:sz w:val="30"/>
          <w:szCs w:val="30"/>
          <w:highlight w:val="none"/>
        </w:rPr>
        <w:t>项目</w:t>
      </w:r>
      <w:r>
        <w:rPr>
          <w:rFonts w:hint="eastAsia" w:ascii="仿宋" w:hAnsi="仿宋" w:eastAsia="仿宋" w:cs="仿宋"/>
          <w:b/>
          <w:bCs/>
          <w:color w:val="auto"/>
          <w:w w:val="95"/>
          <w:sz w:val="30"/>
          <w:szCs w:val="30"/>
          <w:highlight w:val="none"/>
        </w:rPr>
        <w:t>名称</w:t>
      </w:r>
      <w:r>
        <w:rPr>
          <w:rFonts w:hint="eastAsia" w:ascii="仿宋" w:hAnsi="仿宋" w:eastAsia="仿宋" w:cs="仿宋"/>
          <w:b/>
          <w:bCs/>
          <w:color w:val="auto"/>
          <w:sz w:val="30"/>
          <w:szCs w:val="30"/>
          <w:highlight w:val="none"/>
        </w:rPr>
        <w:t>：</w:t>
      </w:r>
      <w:bookmarkEnd w:id="1"/>
      <w:r>
        <w:rPr>
          <w:rFonts w:hint="eastAsia" w:ascii="仿宋" w:hAnsi="仿宋" w:eastAsia="仿宋" w:cs="仿宋"/>
          <w:b/>
          <w:bCs/>
          <w:color w:val="auto"/>
          <w:sz w:val="30"/>
          <w:szCs w:val="30"/>
          <w:highlight w:val="none"/>
        </w:rPr>
        <w:t>宾阳县县域公共就业服务能力提升项目</w:t>
      </w:r>
    </w:p>
    <w:p w14:paraId="4A412627">
      <w:pPr>
        <w:snapToGrid w:val="0"/>
        <w:spacing w:before="165" w:beforeLines="50" w:line="360" w:lineRule="auto"/>
        <w:ind w:firstLine="1145" w:firstLineChars="400"/>
        <w:rPr>
          <w:rFonts w:ascii="仿宋" w:hAnsi="仿宋" w:eastAsia="仿宋" w:cs="仿宋"/>
          <w:b/>
          <w:color w:val="auto"/>
          <w:sz w:val="30"/>
          <w:szCs w:val="48"/>
          <w:highlight w:val="none"/>
        </w:rPr>
      </w:pPr>
      <w:bookmarkStart w:id="2" w:name="_Toc31513"/>
      <w:r>
        <w:rPr>
          <w:rFonts w:hint="eastAsia" w:ascii="仿宋" w:hAnsi="仿宋" w:eastAsia="仿宋" w:cs="仿宋"/>
          <w:b/>
          <w:bCs/>
          <w:color w:val="auto"/>
          <w:w w:val="95"/>
          <w:sz w:val="30"/>
          <w:szCs w:val="30"/>
          <w:highlight w:val="none"/>
        </w:rPr>
        <w:t>项目</w:t>
      </w:r>
      <w:r>
        <w:rPr>
          <w:rFonts w:hint="eastAsia" w:ascii="仿宋" w:hAnsi="仿宋" w:eastAsia="仿宋" w:cs="仿宋"/>
          <w:b/>
          <w:bCs/>
          <w:color w:val="auto"/>
          <w:sz w:val="30"/>
          <w:szCs w:val="30"/>
          <w:highlight w:val="none"/>
        </w:rPr>
        <w:t>编号</w:t>
      </w:r>
      <w:r>
        <w:rPr>
          <w:rFonts w:hint="eastAsia" w:ascii="仿宋" w:hAnsi="仿宋" w:eastAsia="仿宋" w:cs="仿宋"/>
          <w:b/>
          <w:bCs/>
          <w:color w:val="auto"/>
          <w:w w:val="95"/>
          <w:sz w:val="30"/>
          <w:szCs w:val="30"/>
          <w:highlight w:val="none"/>
        </w:rPr>
        <w:t>：</w:t>
      </w:r>
      <w:bookmarkEnd w:id="2"/>
      <w:r>
        <w:rPr>
          <w:rFonts w:hint="eastAsia" w:ascii="仿宋" w:hAnsi="仿宋" w:eastAsia="仿宋" w:cs="仿宋"/>
          <w:b/>
          <w:bCs/>
          <w:color w:val="auto"/>
          <w:w w:val="95"/>
          <w:sz w:val="30"/>
          <w:szCs w:val="30"/>
          <w:highlight w:val="none"/>
        </w:rPr>
        <w:fldChar w:fldCharType="begin"/>
      </w:r>
      <w:r>
        <w:rPr>
          <w:rFonts w:hint="eastAsia" w:ascii="仿宋" w:hAnsi="仿宋" w:eastAsia="仿宋" w:cs="仿宋"/>
          <w:b/>
          <w:bCs/>
          <w:color w:val="auto"/>
          <w:w w:val="95"/>
          <w:sz w:val="30"/>
          <w:szCs w:val="30"/>
          <w:highlight w:val="none"/>
        </w:rPr>
        <w:instrText xml:space="preserve"> HYPERLINK "https://www.gcy.zfcg.gxzf.gov.cn/gaea/api/project/flow/redirect?projectId=7228427269057806418&amp;newUrl=https://www.gcy.zfcg.gxzf.gov.cn/micro-app-back-index/blank?_flow_type_=agency&amp;_flow_projectId_=7228427269057806418&amp;_jump_page_type_=project_procurement_management_flow&amp;_app_=zcy.procurement&amp;oldUrl=https://www.gcy.zfcg.gxzf.gov.cn/project-center/_procurement_/project-result-detail/7228427269057806418&amp;utm=web-project-center-front.42c12ca3.0.0.90a2dec0b62a11f084b5c3fd09c47019" \t "https://www.gcy.zfcg.gxzf.gov.cn/project-center/_procurement_/self-project/_blank" </w:instrText>
      </w:r>
      <w:r>
        <w:rPr>
          <w:rFonts w:hint="eastAsia" w:ascii="仿宋" w:hAnsi="仿宋" w:eastAsia="仿宋" w:cs="仿宋"/>
          <w:b/>
          <w:bCs/>
          <w:color w:val="auto"/>
          <w:w w:val="95"/>
          <w:sz w:val="30"/>
          <w:szCs w:val="30"/>
          <w:highlight w:val="none"/>
        </w:rPr>
        <w:fldChar w:fldCharType="separate"/>
      </w:r>
      <w:r>
        <w:rPr>
          <w:rFonts w:hint="eastAsia" w:ascii="仿宋" w:hAnsi="仿宋" w:eastAsia="仿宋" w:cs="仿宋"/>
          <w:b/>
          <w:bCs/>
          <w:color w:val="auto"/>
          <w:w w:val="95"/>
          <w:sz w:val="30"/>
          <w:szCs w:val="30"/>
          <w:highlight w:val="none"/>
        </w:rPr>
        <w:t>NNZC2026-G3-260135-JDZB</w:t>
      </w:r>
      <w:r>
        <w:rPr>
          <w:rFonts w:hint="eastAsia" w:ascii="仿宋" w:hAnsi="仿宋" w:eastAsia="仿宋" w:cs="仿宋"/>
          <w:b/>
          <w:bCs/>
          <w:color w:val="auto"/>
          <w:w w:val="95"/>
          <w:sz w:val="30"/>
          <w:szCs w:val="30"/>
          <w:highlight w:val="none"/>
        </w:rPr>
        <w:fldChar w:fldCharType="end"/>
      </w:r>
      <w:r>
        <w:rPr>
          <w:rFonts w:hint="eastAsia" w:ascii="仿宋" w:hAnsi="仿宋" w:eastAsia="仿宋" w:cs="仿宋"/>
          <w:b/>
          <w:bCs/>
          <w:color w:val="auto"/>
          <w:w w:val="95"/>
          <w:sz w:val="30"/>
          <w:szCs w:val="30"/>
          <w:highlight w:val="none"/>
        </w:rPr>
        <w:t xml:space="preserve">   </w:t>
      </w:r>
    </w:p>
    <w:p w14:paraId="4061755E">
      <w:pPr>
        <w:snapToGrid w:val="0"/>
        <w:spacing w:before="165" w:beforeLines="50" w:line="360" w:lineRule="auto"/>
        <w:ind w:firstLine="1205" w:firstLineChars="400"/>
        <w:rPr>
          <w:rFonts w:ascii="仿宋" w:hAnsi="仿宋" w:eastAsia="仿宋" w:cs="仿宋"/>
          <w:b/>
          <w:color w:val="auto"/>
          <w:sz w:val="30"/>
          <w:szCs w:val="48"/>
          <w:highlight w:val="none"/>
        </w:rPr>
      </w:pPr>
      <w:bookmarkStart w:id="3" w:name="_Toc28061"/>
      <w:r>
        <w:rPr>
          <w:rFonts w:hint="eastAsia" w:ascii="仿宋" w:hAnsi="仿宋" w:eastAsia="仿宋" w:cs="仿宋"/>
          <w:b/>
          <w:color w:val="auto"/>
          <w:sz w:val="30"/>
          <w:szCs w:val="48"/>
          <w:highlight w:val="none"/>
        </w:rPr>
        <w:t>所属行政区划：南宁市</w:t>
      </w:r>
      <w:bookmarkEnd w:id="3"/>
      <w:r>
        <w:rPr>
          <w:rFonts w:hint="eastAsia" w:ascii="仿宋" w:hAnsi="仿宋" w:eastAsia="仿宋" w:cs="仿宋"/>
          <w:b/>
          <w:bCs/>
          <w:color w:val="auto"/>
          <w:sz w:val="30"/>
          <w:szCs w:val="30"/>
          <w:highlight w:val="none"/>
        </w:rPr>
        <w:t>宾阳县</w:t>
      </w:r>
    </w:p>
    <w:p w14:paraId="75E070C2">
      <w:pPr>
        <w:snapToGrid w:val="0"/>
        <w:spacing w:before="165" w:beforeLines="50" w:line="360" w:lineRule="auto"/>
        <w:ind w:firstLine="1145" w:firstLineChars="400"/>
        <w:rPr>
          <w:rFonts w:ascii="仿宋" w:hAnsi="仿宋" w:eastAsia="仿宋" w:cs="仿宋"/>
          <w:b/>
          <w:bCs/>
          <w:color w:val="auto"/>
          <w:w w:val="95"/>
          <w:sz w:val="30"/>
          <w:szCs w:val="30"/>
          <w:highlight w:val="none"/>
        </w:rPr>
      </w:pPr>
      <w:r>
        <w:rPr>
          <w:rFonts w:hint="eastAsia" w:ascii="仿宋" w:hAnsi="仿宋" w:eastAsia="仿宋" w:cs="仿宋"/>
          <w:b/>
          <w:bCs/>
          <w:color w:val="auto"/>
          <w:w w:val="95"/>
          <w:sz w:val="30"/>
          <w:szCs w:val="30"/>
          <w:highlight w:val="none"/>
        </w:rPr>
        <w:t>采 购 人：</w:t>
      </w:r>
      <w:bookmarkStart w:id="4" w:name="_Toc7445"/>
      <w:r>
        <w:rPr>
          <w:rFonts w:hint="eastAsia" w:ascii="仿宋" w:hAnsi="仿宋" w:eastAsia="仿宋" w:cs="仿宋"/>
          <w:b/>
          <w:bCs/>
          <w:color w:val="auto"/>
          <w:w w:val="95"/>
          <w:sz w:val="30"/>
          <w:szCs w:val="30"/>
          <w:highlight w:val="none"/>
        </w:rPr>
        <w:t>宾阳县就业服务中心</w:t>
      </w:r>
    </w:p>
    <w:p w14:paraId="3E52CBF8">
      <w:pPr>
        <w:snapToGrid w:val="0"/>
        <w:spacing w:before="165" w:beforeLines="50" w:line="360" w:lineRule="auto"/>
        <w:ind w:firstLine="1145" w:firstLineChars="400"/>
        <w:rPr>
          <w:rFonts w:ascii="仿宋_GB2312" w:hAnsi="宋体" w:eastAsia="仿宋"/>
          <w:b/>
          <w:bCs/>
          <w:color w:val="auto"/>
          <w:w w:val="95"/>
          <w:sz w:val="30"/>
          <w:szCs w:val="30"/>
          <w:highlight w:val="none"/>
        </w:rPr>
      </w:pPr>
      <w:r>
        <w:rPr>
          <w:rFonts w:hint="eastAsia" w:ascii="仿宋" w:hAnsi="仿宋" w:eastAsia="仿宋" w:cs="仿宋"/>
          <w:b/>
          <w:bCs/>
          <w:color w:val="auto"/>
          <w:w w:val="95"/>
          <w:sz w:val="30"/>
          <w:szCs w:val="30"/>
          <w:highlight w:val="none"/>
        </w:rPr>
        <w:t>采购代理机构：</w:t>
      </w:r>
      <w:bookmarkEnd w:id="4"/>
      <w:r>
        <w:rPr>
          <w:rFonts w:hint="eastAsia" w:ascii="仿宋" w:hAnsi="仿宋" w:eastAsia="仿宋" w:cs="仿宋"/>
          <w:b/>
          <w:bCs/>
          <w:color w:val="auto"/>
          <w:w w:val="95"/>
          <w:sz w:val="30"/>
          <w:szCs w:val="30"/>
          <w:highlight w:val="none"/>
        </w:rPr>
        <w:t>广西机电设备招标有限公司</w:t>
      </w:r>
    </w:p>
    <w:p w14:paraId="0967CEED">
      <w:pPr>
        <w:snapToGrid w:val="0"/>
        <w:spacing w:before="50" w:after="120" w:line="360" w:lineRule="auto"/>
        <w:ind w:firstLine="841" w:firstLineChars="294"/>
        <w:rPr>
          <w:rFonts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 xml:space="preserve">                     </w:t>
      </w:r>
    </w:p>
    <w:p w14:paraId="6E7A07CD">
      <w:pPr>
        <w:snapToGrid w:val="0"/>
        <w:spacing w:before="50" w:after="120" w:line="360" w:lineRule="auto"/>
        <w:ind w:firstLine="841" w:firstLineChars="294"/>
        <w:jc w:val="center"/>
        <w:rPr>
          <w:rFonts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2026年</w:t>
      </w:r>
      <w:r>
        <w:rPr>
          <w:rFonts w:hint="eastAsia" w:ascii="仿宋_GB2312" w:hAnsi="宋体" w:eastAsia="仿宋_GB2312"/>
          <w:b/>
          <w:bCs/>
          <w:color w:val="auto"/>
          <w:w w:val="95"/>
          <w:sz w:val="30"/>
          <w:szCs w:val="30"/>
          <w:highlight w:val="none"/>
          <w:lang w:val="en-US" w:eastAsia="zh-CN"/>
        </w:rPr>
        <w:t>8</w:t>
      </w:r>
      <w:r>
        <w:rPr>
          <w:rFonts w:hint="eastAsia" w:ascii="仿宋_GB2312" w:hAnsi="宋体" w:eastAsia="仿宋_GB2312"/>
          <w:b/>
          <w:bCs/>
          <w:color w:val="auto"/>
          <w:w w:val="95"/>
          <w:sz w:val="30"/>
          <w:szCs w:val="30"/>
          <w:highlight w:val="none"/>
        </w:rPr>
        <w:t>月</w:t>
      </w:r>
      <w:r>
        <w:rPr>
          <w:rFonts w:hint="eastAsia" w:ascii="仿宋_GB2312" w:hAnsi="宋体" w:eastAsia="仿宋_GB2312"/>
          <w:b/>
          <w:bCs/>
          <w:color w:val="auto"/>
          <w:w w:val="95"/>
          <w:sz w:val="30"/>
          <w:szCs w:val="30"/>
          <w:highlight w:val="none"/>
          <w:lang w:val="en-US" w:eastAsia="zh-CN"/>
        </w:rPr>
        <w:t>7</w:t>
      </w:r>
      <w:r>
        <w:rPr>
          <w:rFonts w:hint="eastAsia" w:ascii="仿宋_GB2312" w:hAnsi="宋体" w:eastAsia="仿宋_GB2312"/>
          <w:b/>
          <w:bCs/>
          <w:color w:val="auto"/>
          <w:w w:val="95"/>
          <w:sz w:val="30"/>
          <w:szCs w:val="30"/>
          <w:highlight w:val="none"/>
        </w:rPr>
        <w:t>日</w:t>
      </w:r>
    </w:p>
    <w:p w14:paraId="5A8A3C08">
      <w:pPr>
        <w:rPr>
          <w:rFonts w:ascii="仿宋_GB2312" w:hAnsi="宋体" w:eastAsia="仿宋_GB2312"/>
          <w:b/>
          <w:bCs/>
          <w:color w:val="auto"/>
          <w:w w:val="95"/>
          <w:sz w:val="30"/>
          <w:szCs w:val="30"/>
          <w:highlight w:val="none"/>
        </w:rPr>
      </w:pPr>
    </w:p>
    <w:p w14:paraId="042DE2CA">
      <w:pPr>
        <w:rPr>
          <w:rFonts w:ascii="仿宋_GB2312" w:hAnsi="宋体" w:eastAsia="仿宋_GB2312"/>
          <w:b/>
          <w:bCs/>
          <w:color w:val="auto"/>
          <w:w w:val="95"/>
          <w:sz w:val="30"/>
          <w:szCs w:val="30"/>
          <w:highlight w:val="none"/>
        </w:rPr>
      </w:pPr>
    </w:p>
    <w:p w14:paraId="6F6217BA">
      <w:pPr>
        <w:pStyle w:val="14"/>
        <w:snapToGrid w:val="0"/>
        <w:spacing w:before="50" w:after="120" w:line="360" w:lineRule="auto"/>
        <w:ind w:firstLine="841" w:firstLineChars="294"/>
        <w:rPr>
          <w:rFonts w:ascii="仿宋_GB2312" w:hAnsi="宋体" w:eastAsia="仿宋_GB2312"/>
          <w:b/>
          <w:bCs/>
          <w:color w:val="auto"/>
          <w:w w:val="95"/>
          <w:sz w:val="30"/>
          <w:szCs w:val="30"/>
          <w:highlight w:val="none"/>
        </w:rPr>
        <w:sectPr>
          <w:headerReference r:id="rId3" w:type="default"/>
          <w:pgSz w:w="11906" w:h="16838"/>
          <w:pgMar w:top="1134" w:right="1134" w:bottom="1134" w:left="1134" w:header="720" w:footer="720" w:gutter="0"/>
          <w:pgNumType w:start="1"/>
          <w:cols w:space="720" w:num="1"/>
          <w:docGrid w:type="lines" w:linePitch="331" w:charSpace="0"/>
        </w:sectPr>
      </w:pPr>
    </w:p>
    <w:p w14:paraId="21352B31">
      <w:pPr>
        <w:pStyle w:val="14"/>
        <w:snapToGrid w:val="0"/>
        <w:spacing w:before="50" w:after="120" w:line="360" w:lineRule="auto"/>
        <w:rPr>
          <w:rFonts w:ascii="仿宋_GB2312" w:eastAsia="仿宋_GB2312"/>
          <w:color w:val="auto"/>
          <w:highlight w:val="none"/>
        </w:rPr>
      </w:pPr>
    </w:p>
    <w:p w14:paraId="0FC6AA94">
      <w:pPr>
        <w:pStyle w:val="14"/>
        <w:jc w:val="center"/>
        <w:rPr>
          <w:rFonts w:ascii="Times New Roman" w:hAnsi="Times New Roman"/>
          <w:b/>
          <w:color w:val="auto"/>
          <w:sz w:val="48"/>
          <w:szCs w:val="48"/>
          <w:highlight w:val="none"/>
        </w:rPr>
      </w:pPr>
      <w:r>
        <w:rPr>
          <w:rFonts w:hint="eastAsia" w:ascii="Times New Roman" w:hAnsi="Times New Roman"/>
          <w:b/>
          <w:color w:val="auto"/>
          <w:sz w:val="48"/>
          <w:szCs w:val="48"/>
          <w:highlight w:val="none"/>
        </w:rPr>
        <w:t>目</w:t>
      </w:r>
      <w:r>
        <w:rPr>
          <w:rFonts w:ascii="Times New Roman" w:hAnsi="Times New Roman"/>
          <w:b/>
          <w:color w:val="auto"/>
          <w:sz w:val="48"/>
          <w:szCs w:val="48"/>
          <w:highlight w:val="none"/>
        </w:rPr>
        <w:t xml:space="preserve">     </w:t>
      </w:r>
      <w:r>
        <w:rPr>
          <w:rFonts w:hint="eastAsia" w:ascii="Times New Roman" w:hAnsi="Times New Roman"/>
          <w:b/>
          <w:color w:val="auto"/>
          <w:sz w:val="48"/>
          <w:szCs w:val="48"/>
          <w:highlight w:val="none"/>
        </w:rPr>
        <w:t>录</w:t>
      </w:r>
    </w:p>
    <w:p w14:paraId="078DC760">
      <w:pPr>
        <w:pStyle w:val="24"/>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hAnsi="宋体"/>
          <w:b w:val="0"/>
          <w:bCs w:val="0"/>
          <w:caps w:val="0"/>
          <w:color w:val="auto"/>
          <w:sz w:val="28"/>
          <w:szCs w:val="28"/>
          <w:highlight w:val="none"/>
        </w:rPr>
        <w:fldChar w:fldCharType="begin"/>
      </w:r>
      <w:r>
        <w:rPr>
          <w:rFonts w:hAnsi="宋体"/>
          <w:b w:val="0"/>
          <w:bCs w:val="0"/>
          <w:caps w:val="0"/>
          <w:color w:val="auto"/>
          <w:sz w:val="28"/>
          <w:szCs w:val="28"/>
          <w:highlight w:val="none"/>
        </w:rPr>
        <w:instrText xml:space="preserve"> TOC \o "1-3" \h \z \u </w:instrText>
      </w:r>
      <w:r>
        <w:rPr>
          <w:rFonts w:hAnsi="宋体"/>
          <w:b w:val="0"/>
          <w:bCs w:val="0"/>
          <w:caps w:val="0"/>
          <w:color w:val="auto"/>
          <w:sz w:val="28"/>
          <w:szCs w:val="28"/>
          <w:highlight w:val="none"/>
        </w:rPr>
        <w:fldChar w:fldCharType="separate"/>
      </w:r>
      <w:r>
        <w:rPr>
          <w:rFonts w:hAnsi="宋体"/>
          <w:bCs w:val="0"/>
          <w:caps w:val="0"/>
          <w:color w:val="auto"/>
          <w:szCs w:val="28"/>
          <w:highlight w:val="none"/>
        </w:rPr>
        <w:fldChar w:fldCharType="begin"/>
      </w:r>
      <w:r>
        <w:rPr>
          <w:rFonts w:hAnsi="宋体"/>
          <w:bCs w:val="0"/>
          <w:caps w:val="0"/>
          <w:szCs w:val="28"/>
          <w:highlight w:val="none"/>
        </w:rPr>
        <w:instrText xml:space="preserve"> HYPERLINK \l _Toc865 </w:instrText>
      </w:r>
      <w:r>
        <w:rPr>
          <w:rFonts w:hAnsi="宋体"/>
          <w:bCs w:val="0"/>
          <w:caps w:val="0"/>
          <w:szCs w:val="28"/>
          <w:highlight w:val="none"/>
        </w:rPr>
        <w:fldChar w:fldCharType="separate"/>
      </w:r>
      <w:r>
        <w:rPr>
          <w:rFonts w:hint="eastAsia" w:ascii="Times New Roman" w:hAnsi="Times New Roman"/>
          <w:highlight w:val="none"/>
        </w:rPr>
        <w:t>第一章  招标公告</w:t>
      </w:r>
      <w:r>
        <w:tab/>
      </w:r>
      <w:r>
        <w:fldChar w:fldCharType="begin"/>
      </w:r>
      <w:r>
        <w:instrText xml:space="preserve"> PAGEREF _Toc865 \h </w:instrText>
      </w:r>
      <w:r>
        <w:fldChar w:fldCharType="separate"/>
      </w:r>
      <w:r>
        <w:t>1</w:t>
      </w:r>
      <w:r>
        <w:fldChar w:fldCharType="end"/>
      </w:r>
      <w:r>
        <w:rPr>
          <w:rFonts w:hAnsi="宋体"/>
          <w:bCs w:val="0"/>
          <w:caps w:val="0"/>
          <w:color w:val="auto"/>
          <w:szCs w:val="28"/>
          <w:highlight w:val="none"/>
        </w:rPr>
        <w:fldChar w:fldCharType="end"/>
      </w:r>
    </w:p>
    <w:p w14:paraId="2078B269">
      <w:pPr>
        <w:pStyle w:val="24"/>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_Toc12376 </w:instrText>
      </w:r>
      <w:r>
        <w:rPr>
          <w:rFonts w:ascii="Calibri" w:hAnsi="宋体"/>
          <w:bCs/>
          <w:caps/>
          <w:szCs w:val="28"/>
          <w:highlight w:val="none"/>
        </w:rPr>
        <w:fldChar w:fldCharType="separate"/>
      </w:r>
      <w:r>
        <w:rPr>
          <w:rFonts w:hint="eastAsia" w:ascii="Times New Roman" w:hAnsi="Times New Roman"/>
          <w:highlight w:val="none"/>
        </w:rPr>
        <w:t>第二章</w:t>
      </w:r>
      <w:r>
        <w:rPr>
          <w:rFonts w:ascii="Times New Roman" w:hAnsi="Times New Roman"/>
          <w:highlight w:val="none"/>
        </w:rPr>
        <w:t xml:space="preserve">  </w:t>
      </w:r>
      <w:r>
        <w:rPr>
          <w:rFonts w:hint="eastAsia" w:ascii="Times New Roman" w:hAnsi="Times New Roman"/>
          <w:highlight w:val="none"/>
        </w:rPr>
        <w:t>采购需求</w:t>
      </w:r>
      <w:r>
        <w:tab/>
      </w:r>
      <w:r>
        <w:fldChar w:fldCharType="begin"/>
      </w:r>
      <w:r>
        <w:instrText xml:space="preserve"> PAGEREF _Toc12376 \h </w:instrText>
      </w:r>
      <w:r>
        <w:fldChar w:fldCharType="separate"/>
      </w:r>
      <w:r>
        <w:t>5</w:t>
      </w:r>
      <w:r>
        <w:fldChar w:fldCharType="end"/>
      </w:r>
      <w:r>
        <w:rPr>
          <w:rFonts w:ascii="Calibri" w:hAnsi="宋体"/>
          <w:bCs/>
          <w:caps/>
          <w:color w:val="auto"/>
          <w:szCs w:val="28"/>
          <w:highlight w:val="none"/>
          <w:u w:val="single"/>
        </w:rPr>
        <w:fldChar w:fldCharType="end"/>
      </w:r>
    </w:p>
    <w:p w14:paraId="28D0FF61">
      <w:pPr>
        <w:pStyle w:val="24"/>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_Toc27369 </w:instrText>
      </w:r>
      <w:r>
        <w:rPr>
          <w:rFonts w:ascii="Calibri" w:hAnsi="宋体"/>
          <w:bCs/>
          <w:caps/>
          <w:szCs w:val="28"/>
          <w:highlight w:val="none"/>
        </w:rPr>
        <w:fldChar w:fldCharType="separate"/>
      </w:r>
      <w:r>
        <w:rPr>
          <w:rFonts w:hint="eastAsia" w:ascii="Times New Roman" w:hAnsi="Times New Roman"/>
          <w:highlight w:val="none"/>
        </w:rPr>
        <w:t>第三章</w:t>
      </w:r>
      <w:r>
        <w:rPr>
          <w:rFonts w:ascii="Times New Roman" w:hAnsi="Times New Roman"/>
          <w:highlight w:val="none"/>
        </w:rPr>
        <w:t xml:space="preserve">  </w:t>
      </w:r>
      <w:r>
        <w:rPr>
          <w:rFonts w:hint="eastAsia" w:ascii="Times New Roman" w:hAnsi="Times New Roman"/>
          <w:highlight w:val="none"/>
        </w:rPr>
        <w:t>投标人须知</w:t>
      </w:r>
      <w:r>
        <w:tab/>
      </w:r>
      <w:r>
        <w:fldChar w:fldCharType="begin"/>
      </w:r>
      <w:r>
        <w:instrText xml:space="preserve"> PAGEREF _Toc27369 \h </w:instrText>
      </w:r>
      <w:r>
        <w:fldChar w:fldCharType="separate"/>
      </w:r>
      <w:r>
        <w:t>58</w:t>
      </w:r>
      <w:r>
        <w:fldChar w:fldCharType="end"/>
      </w:r>
      <w:r>
        <w:rPr>
          <w:rFonts w:ascii="Calibri" w:hAnsi="宋体"/>
          <w:bCs/>
          <w:caps/>
          <w:color w:val="auto"/>
          <w:szCs w:val="28"/>
          <w:highlight w:val="none"/>
          <w:u w:val="single"/>
        </w:rPr>
        <w:fldChar w:fldCharType="end"/>
      </w:r>
    </w:p>
    <w:p w14:paraId="00785B86">
      <w:pPr>
        <w:pStyle w:val="29"/>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_Toc12164 </w:instrText>
      </w:r>
      <w:r>
        <w:rPr>
          <w:rFonts w:ascii="Calibri" w:hAnsi="宋体"/>
          <w:bCs/>
          <w:caps/>
          <w:szCs w:val="28"/>
          <w:highlight w:val="none"/>
        </w:rPr>
        <w:fldChar w:fldCharType="separate"/>
      </w:r>
      <w:r>
        <w:rPr>
          <w:rFonts w:hint="eastAsia" w:ascii="Times New Roman" w:hAnsi="Times New Roman"/>
          <w:szCs w:val="30"/>
          <w:highlight w:val="none"/>
        </w:rPr>
        <w:t>第一节</w:t>
      </w:r>
      <w:r>
        <w:rPr>
          <w:rFonts w:ascii="Times New Roman" w:hAnsi="Times New Roman"/>
          <w:szCs w:val="30"/>
          <w:highlight w:val="none"/>
        </w:rPr>
        <w:t xml:space="preserve"> </w:t>
      </w:r>
      <w:r>
        <w:rPr>
          <w:rFonts w:hint="eastAsia" w:ascii="Times New Roman" w:hAnsi="Times New Roman"/>
          <w:szCs w:val="30"/>
          <w:highlight w:val="none"/>
        </w:rPr>
        <w:t>投标人须知前附表</w:t>
      </w:r>
      <w:r>
        <w:tab/>
      </w:r>
      <w:r>
        <w:fldChar w:fldCharType="begin"/>
      </w:r>
      <w:r>
        <w:instrText xml:space="preserve"> PAGEREF _Toc12164 \h </w:instrText>
      </w:r>
      <w:r>
        <w:fldChar w:fldCharType="separate"/>
      </w:r>
      <w:r>
        <w:t>58</w:t>
      </w:r>
      <w:r>
        <w:fldChar w:fldCharType="end"/>
      </w:r>
      <w:r>
        <w:rPr>
          <w:rFonts w:ascii="Calibri" w:hAnsi="宋体"/>
          <w:bCs/>
          <w:caps/>
          <w:color w:val="auto"/>
          <w:szCs w:val="28"/>
          <w:highlight w:val="none"/>
          <w:u w:val="single"/>
        </w:rPr>
        <w:fldChar w:fldCharType="end"/>
      </w:r>
    </w:p>
    <w:p w14:paraId="019CA13C">
      <w:pPr>
        <w:pStyle w:val="29"/>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_Toc6847 </w:instrText>
      </w:r>
      <w:r>
        <w:rPr>
          <w:rFonts w:ascii="Calibri" w:hAnsi="宋体"/>
          <w:bCs/>
          <w:caps/>
          <w:szCs w:val="28"/>
          <w:highlight w:val="none"/>
        </w:rPr>
        <w:fldChar w:fldCharType="separate"/>
      </w:r>
      <w:r>
        <w:rPr>
          <w:rFonts w:hint="eastAsia" w:ascii="宋体" w:hAnsi="宋体" w:eastAsia="宋体" w:cs="宋体"/>
          <w:highlight w:val="none"/>
        </w:rPr>
        <w:t>第二节 投标人须知正文</w:t>
      </w:r>
      <w:r>
        <w:tab/>
      </w:r>
      <w:r>
        <w:fldChar w:fldCharType="begin"/>
      </w:r>
      <w:r>
        <w:instrText xml:space="preserve"> PAGEREF _Toc6847 \h </w:instrText>
      </w:r>
      <w:r>
        <w:fldChar w:fldCharType="separate"/>
      </w:r>
      <w:r>
        <w:t>64</w:t>
      </w:r>
      <w:r>
        <w:fldChar w:fldCharType="end"/>
      </w:r>
      <w:r>
        <w:rPr>
          <w:rFonts w:ascii="Calibri" w:hAnsi="宋体"/>
          <w:bCs/>
          <w:caps/>
          <w:color w:val="auto"/>
          <w:szCs w:val="28"/>
          <w:highlight w:val="none"/>
          <w:u w:val="single"/>
        </w:rPr>
        <w:fldChar w:fldCharType="end"/>
      </w:r>
    </w:p>
    <w:p w14:paraId="0DA2CB9D">
      <w:pPr>
        <w:pStyle w:val="17"/>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_Toc11296 </w:instrText>
      </w:r>
      <w:r>
        <w:rPr>
          <w:rFonts w:ascii="Calibri" w:hAnsi="宋体"/>
          <w:bCs/>
          <w:caps/>
          <w:szCs w:val="28"/>
          <w:highlight w:val="none"/>
        </w:rPr>
        <w:fldChar w:fldCharType="separate"/>
      </w:r>
      <w:r>
        <w:rPr>
          <w:rFonts w:hint="eastAsia" w:ascii="宋体" w:hAnsi="宋体" w:cs="宋体"/>
          <w:highlight w:val="none"/>
        </w:rPr>
        <w:t>一、总  则</w:t>
      </w:r>
      <w:r>
        <w:tab/>
      </w:r>
      <w:r>
        <w:fldChar w:fldCharType="begin"/>
      </w:r>
      <w:r>
        <w:instrText xml:space="preserve"> PAGEREF _Toc11296 \h </w:instrText>
      </w:r>
      <w:r>
        <w:fldChar w:fldCharType="separate"/>
      </w:r>
      <w:r>
        <w:t>64</w:t>
      </w:r>
      <w:r>
        <w:fldChar w:fldCharType="end"/>
      </w:r>
      <w:r>
        <w:rPr>
          <w:rFonts w:ascii="Calibri" w:hAnsi="宋体"/>
          <w:bCs/>
          <w:caps/>
          <w:color w:val="auto"/>
          <w:szCs w:val="28"/>
          <w:highlight w:val="none"/>
          <w:u w:val="single"/>
        </w:rPr>
        <w:fldChar w:fldCharType="end"/>
      </w:r>
    </w:p>
    <w:p w14:paraId="75CA986C">
      <w:pPr>
        <w:pStyle w:val="17"/>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_Toc17460 </w:instrText>
      </w:r>
      <w:r>
        <w:rPr>
          <w:rFonts w:ascii="Calibri" w:hAnsi="宋体"/>
          <w:bCs/>
          <w:caps/>
          <w:szCs w:val="28"/>
          <w:highlight w:val="none"/>
        </w:rPr>
        <w:fldChar w:fldCharType="separate"/>
      </w:r>
      <w:r>
        <w:rPr>
          <w:rFonts w:hint="eastAsia" w:ascii="宋体" w:hAnsi="宋体" w:cs="宋体"/>
          <w:highlight w:val="none"/>
        </w:rPr>
        <w:t>二、招标文件</w:t>
      </w:r>
      <w:r>
        <w:tab/>
      </w:r>
      <w:r>
        <w:fldChar w:fldCharType="begin"/>
      </w:r>
      <w:r>
        <w:instrText xml:space="preserve"> PAGEREF _Toc17460 \h </w:instrText>
      </w:r>
      <w:r>
        <w:fldChar w:fldCharType="separate"/>
      </w:r>
      <w:r>
        <w:t>67</w:t>
      </w:r>
      <w:r>
        <w:fldChar w:fldCharType="end"/>
      </w:r>
      <w:r>
        <w:rPr>
          <w:rFonts w:ascii="Calibri" w:hAnsi="宋体"/>
          <w:bCs/>
          <w:caps/>
          <w:color w:val="auto"/>
          <w:szCs w:val="28"/>
          <w:highlight w:val="none"/>
          <w:u w:val="single"/>
        </w:rPr>
        <w:fldChar w:fldCharType="end"/>
      </w:r>
    </w:p>
    <w:p w14:paraId="6F3FBD4A">
      <w:pPr>
        <w:pStyle w:val="17"/>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_Toc1792 </w:instrText>
      </w:r>
      <w:r>
        <w:rPr>
          <w:rFonts w:ascii="Calibri" w:hAnsi="宋体"/>
          <w:bCs/>
          <w:caps/>
          <w:szCs w:val="28"/>
          <w:highlight w:val="none"/>
        </w:rPr>
        <w:fldChar w:fldCharType="separate"/>
      </w:r>
      <w:r>
        <w:rPr>
          <w:rFonts w:hint="eastAsia" w:ascii="宋体" w:hAnsi="宋体" w:cs="宋体"/>
          <w:highlight w:val="none"/>
        </w:rPr>
        <w:t>三、投标文件的编制</w:t>
      </w:r>
      <w:r>
        <w:tab/>
      </w:r>
      <w:r>
        <w:fldChar w:fldCharType="begin"/>
      </w:r>
      <w:r>
        <w:instrText xml:space="preserve"> PAGEREF _Toc1792 \h </w:instrText>
      </w:r>
      <w:r>
        <w:fldChar w:fldCharType="separate"/>
      </w:r>
      <w:r>
        <w:t>68</w:t>
      </w:r>
      <w:r>
        <w:fldChar w:fldCharType="end"/>
      </w:r>
      <w:r>
        <w:rPr>
          <w:rFonts w:ascii="Calibri" w:hAnsi="宋体"/>
          <w:bCs/>
          <w:caps/>
          <w:color w:val="auto"/>
          <w:szCs w:val="28"/>
          <w:highlight w:val="none"/>
          <w:u w:val="single"/>
        </w:rPr>
        <w:fldChar w:fldCharType="end"/>
      </w:r>
    </w:p>
    <w:p w14:paraId="07C466E3">
      <w:pPr>
        <w:pStyle w:val="17"/>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_Toc3701 </w:instrText>
      </w:r>
      <w:r>
        <w:rPr>
          <w:rFonts w:ascii="Calibri" w:hAnsi="宋体"/>
          <w:bCs/>
          <w:caps/>
          <w:szCs w:val="28"/>
          <w:highlight w:val="none"/>
        </w:rPr>
        <w:fldChar w:fldCharType="separate"/>
      </w:r>
      <w:r>
        <w:rPr>
          <w:rFonts w:hint="eastAsia" w:ascii="宋体" w:hAnsi="宋体" w:cs="宋体"/>
          <w:highlight w:val="none"/>
        </w:rPr>
        <w:t>四、开    标</w:t>
      </w:r>
      <w:r>
        <w:tab/>
      </w:r>
      <w:r>
        <w:fldChar w:fldCharType="begin"/>
      </w:r>
      <w:r>
        <w:instrText xml:space="preserve"> PAGEREF _Toc3701 \h </w:instrText>
      </w:r>
      <w:r>
        <w:fldChar w:fldCharType="separate"/>
      </w:r>
      <w:r>
        <w:t>70</w:t>
      </w:r>
      <w:r>
        <w:fldChar w:fldCharType="end"/>
      </w:r>
      <w:r>
        <w:rPr>
          <w:rFonts w:ascii="Calibri" w:hAnsi="宋体"/>
          <w:bCs/>
          <w:caps/>
          <w:color w:val="auto"/>
          <w:szCs w:val="28"/>
          <w:highlight w:val="none"/>
          <w:u w:val="single"/>
        </w:rPr>
        <w:fldChar w:fldCharType="end"/>
      </w:r>
    </w:p>
    <w:p w14:paraId="7524730C">
      <w:pPr>
        <w:pStyle w:val="17"/>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_Toc30137 </w:instrText>
      </w:r>
      <w:r>
        <w:rPr>
          <w:rFonts w:ascii="Calibri" w:hAnsi="宋体"/>
          <w:bCs/>
          <w:caps/>
          <w:szCs w:val="28"/>
          <w:highlight w:val="none"/>
        </w:rPr>
        <w:fldChar w:fldCharType="separate"/>
      </w:r>
      <w:r>
        <w:rPr>
          <w:rFonts w:hint="eastAsia" w:ascii="宋体" w:hAnsi="宋体" w:cs="宋体"/>
          <w:highlight w:val="none"/>
        </w:rPr>
        <w:t>五、资格审查</w:t>
      </w:r>
      <w:r>
        <w:tab/>
      </w:r>
      <w:r>
        <w:fldChar w:fldCharType="begin"/>
      </w:r>
      <w:r>
        <w:instrText xml:space="preserve"> PAGEREF _Toc30137 \h </w:instrText>
      </w:r>
      <w:r>
        <w:fldChar w:fldCharType="separate"/>
      </w:r>
      <w:r>
        <w:t>71</w:t>
      </w:r>
      <w:r>
        <w:fldChar w:fldCharType="end"/>
      </w:r>
      <w:r>
        <w:rPr>
          <w:rFonts w:ascii="Calibri" w:hAnsi="宋体"/>
          <w:bCs/>
          <w:caps/>
          <w:color w:val="auto"/>
          <w:szCs w:val="28"/>
          <w:highlight w:val="none"/>
          <w:u w:val="single"/>
        </w:rPr>
        <w:fldChar w:fldCharType="end"/>
      </w:r>
    </w:p>
    <w:p w14:paraId="37F06F6B">
      <w:pPr>
        <w:pStyle w:val="17"/>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_Toc16242 </w:instrText>
      </w:r>
      <w:r>
        <w:rPr>
          <w:rFonts w:ascii="Calibri" w:hAnsi="宋体"/>
          <w:bCs/>
          <w:caps/>
          <w:szCs w:val="28"/>
          <w:highlight w:val="none"/>
        </w:rPr>
        <w:fldChar w:fldCharType="separate"/>
      </w:r>
      <w:r>
        <w:rPr>
          <w:rFonts w:hint="eastAsia" w:ascii="宋体" w:hAnsi="宋体" w:cs="宋体"/>
          <w:highlight w:val="none"/>
        </w:rPr>
        <w:t>六、评   标</w:t>
      </w:r>
      <w:r>
        <w:tab/>
      </w:r>
      <w:r>
        <w:fldChar w:fldCharType="begin"/>
      </w:r>
      <w:r>
        <w:instrText xml:space="preserve"> PAGEREF _Toc16242 \h </w:instrText>
      </w:r>
      <w:r>
        <w:fldChar w:fldCharType="separate"/>
      </w:r>
      <w:r>
        <w:t>72</w:t>
      </w:r>
      <w:r>
        <w:fldChar w:fldCharType="end"/>
      </w:r>
      <w:r>
        <w:rPr>
          <w:rFonts w:ascii="Calibri" w:hAnsi="宋体"/>
          <w:bCs/>
          <w:caps/>
          <w:color w:val="auto"/>
          <w:szCs w:val="28"/>
          <w:highlight w:val="none"/>
          <w:u w:val="single"/>
        </w:rPr>
        <w:fldChar w:fldCharType="end"/>
      </w:r>
    </w:p>
    <w:p w14:paraId="36C733B5">
      <w:pPr>
        <w:pStyle w:val="17"/>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_Toc14950 </w:instrText>
      </w:r>
      <w:r>
        <w:rPr>
          <w:rFonts w:ascii="Calibri" w:hAnsi="宋体"/>
          <w:bCs/>
          <w:caps/>
          <w:szCs w:val="28"/>
          <w:highlight w:val="none"/>
        </w:rPr>
        <w:fldChar w:fldCharType="separate"/>
      </w:r>
      <w:r>
        <w:rPr>
          <w:rFonts w:hint="eastAsia" w:ascii="宋体" w:hAnsi="宋体" w:cs="宋体"/>
          <w:highlight w:val="none"/>
        </w:rPr>
        <w:t>七、中标和合同</w:t>
      </w:r>
      <w:r>
        <w:tab/>
      </w:r>
      <w:r>
        <w:fldChar w:fldCharType="begin"/>
      </w:r>
      <w:r>
        <w:instrText xml:space="preserve"> PAGEREF _Toc14950 \h </w:instrText>
      </w:r>
      <w:r>
        <w:fldChar w:fldCharType="separate"/>
      </w:r>
      <w:r>
        <w:t>73</w:t>
      </w:r>
      <w:r>
        <w:fldChar w:fldCharType="end"/>
      </w:r>
      <w:r>
        <w:rPr>
          <w:rFonts w:ascii="Calibri" w:hAnsi="宋体"/>
          <w:bCs/>
          <w:caps/>
          <w:color w:val="auto"/>
          <w:szCs w:val="28"/>
          <w:highlight w:val="none"/>
          <w:u w:val="single"/>
        </w:rPr>
        <w:fldChar w:fldCharType="end"/>
      </w:r>
    </w:p>
    <w:p w14:paraId="04CE9598">
      <w:pPr>
        <w:pStyle w:val="17"/>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_Toc32030 </w:instrText>
      </w:r>
      <w:r>
        <w:rPr>
          <w:rFonts w:ascii="Calibri" w:hAnsi="宋体"/>
          <w:bCs/>
          <w:caps/>
          <w:szCs w:val="28"/>
          <w:highlight w:val="none"/>
        </w:rPr>
        <w:fldChar w:fldCharType="separate"/>
      </w:r>
      <w:r>
        <w:rPr>
          <w:rFonts w:hint="eastAsia" w:ascii="宋体" w:hAnsi="宋体" w:cs="宋体"/>
          <w:bCs/>
          <w:szCs w:val="32"/>
          <w:highlight w:val="none"/>
        </w:rPr>
        <w:t>八、验收</w:t>
      </w:r>
      <w:r>
        <w:tab/>
      </w:r>
      <w:r>
        <w:fldChar w:fldCharType="begin"/>
      </w:r>
      <w:r>
        <w:instrText xml:space="preserve"> PAGEREF _Toc32030 \h </w:instrText>
      </w:r>
      <w:r>
        <w:fldChar w:fldCharType="separate"/>
      </w:r>
      <w:r>
        <w:t>78</w:t>
      </w:r>
      <w:r>
        <w:fldChar w:fldCharType="end"/>
      </w:r>
      <w:r>
        <w:rPr>
          <w:rFonts w:ascii="Calibri" w:hAnsi="宋体"/>
          <w:bCs/>
          <w:caps/>
          <w:color w:val="auto"/>
          <w:szCs w:val="28"/>
          <w:highlight w:val="none"/>
          <w:u w:val="single"/>
        </w:rPr>
        <w:fldChar w:fldCharType="end"/>
      </w:r>
    </w:p>
    <w:p w14:paraId="2B5D05AB">
      <w:pPr>
        <w:pStyle w:val="17"/>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_Toc9831 </w:instrText>
      </w:r>
      <w:r>
        <w:rPr>
          <w:rFonts w:ascii="Calibri" w:hAnsi="宋体"/>
          <w:bCs/>
          <w:caps/>
          <w:szCs w:val="28"/>
          <w:highlight w:val="none"/>
        </w:rPr>
        <w:fldChar w:fldCharType="separate"/>
      </w:r>
      <w:r>
        <w:rPr>
          <w:rFonts w:hint="eastAsia" w:ascii="宋体" w:hAnsi="宋体" w:cs="宋体"/>
          <w:highlight w:val="none"/>
        </w:rPr>
        <w:t>九、其他事项</w:t>
      </w:r>
      <w:r>
        <w:tab/>
      </w:r>
      <w:r>
        <w:fldChar w:fldCharType="begin"/>
      </w:r>
      <w:r>
        <w:instrText xml:space="preserve"> PAGEREF _Toc9831 \h </w:instrText>
      </w:r>
      <w:r>
        <w:fldChar w:fldCharType="separate"/>
      </w:r>
      <w:r>
        <w:t>78</w:t>
      </w:r>
      <w:r>
        <w:fldChar w:fldCharType="end"/>
      </w:r>
      <w:r>
        <w:rPr>
          <w:rFonts w:ascii="Calibri" w:hAnsi="宋体"/>
          <w:bCs/>
          <w:caps/>
          <w:color w:val="auto"/>
          <w:szCs w:val="28"/>
          <w:highlight w:val="none"/>
          <w:u w:val="single"/>
        </w:rPr>
        <w:fldChar w:fldCharType="end"/>
      </w:r>
    </w:p>
    <w:p w14:paraId="0CCFB88A">
      <w:pPr>
        <w:pStyle w:val="24"/>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_Toc29102 </w:instrText>
      </w:r>
      <w:r>
        <w:rPr>
          <w:rFonts w:ascii="Calibri" w:hAnsi="宋体"/>
          <w:bCs/>
          <w:caps/>
          <w:szCs w:val="28"/>
          <w:highlight w:val="none"/>
        </w:rPr>
        <w:fldChar w:fldCharType="separate"/>
      </w:r>
      <w:r>
        <w:rPr>
          <w:rFonts w:hint="eastAsia" w:ascii="Times New Roman" w:hAnsi="Times New Roman"/>
          <w:highlight w:val="none"/>
        </w:rPr>
        <w:t>第四章</w:t>
      </w:r>
      <w:r>
        <w:rPr>
          <w:rFonts w:ascii="Times New Roman" w:hAnsi="Times New Roman"/>
          <w:highlight w:val="none"/>
        </w:rPr>
        <w:t xml:space="preserve">  </w:t>
      </w:r>
      <w:r>
        <w:rPr>
          <w:rFonts w:hint="eastAsia" w:ascii="Times New Roman" w:hAnsi="Times New Roman"/>
          <w:highlight w:val="none"/>
        </w:rPr>
        <w:t>评标方法及评分标准</w:t>
      </w:r>
      <w:r>
        <w:tab/>
      </w:r>
      <w:r>
        <w:fldChar w:fldCharType="begin"/>
      </w:r>
      <w:r>
        <w:instrText xml:space="preserve"> PAGEREF _Toc29102 \h </w:instrText>
      </w:r>
      <w:r>
        <w:fldChar w:fldCharType="separate"/>
      </w:r>
      <w:r>
        <w:t>80</w:t>
      </w:r>
      <w:r>
        <w:fldChar w:fldCharType="end"/>
      </w:r>
      <w:r>
        <w:rPr>
          <w:rFonts w:ascii="Calibri" w:hAnsi="宋体"/>
          <w:bCs/>
          <w:caps/>
          <w:color w:val="auto"/>
          <w:szCs w:val="28"/>
          <w:highlight w:val="none"/>
          <w:u w:val="single"/>
        </w:rPr>
        <w:fldChar w:fldCharType="end"/>
      </w:r>
    </w:p>
    <w:p w14:paraId="6B2059EA">
      <w:pPr>
        <w:pStyle w:val="29"/>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_Toc10280 </w:instrText>
      </w:r>
      <w:r>
        <w:rPr>
          <w:rFonts w:ascii="Calibri" w:hAnsi="宋体"/>
          <w:bCs/>
          <w:caps/>
          <w:szCs w:val="28"/>
          <w:highlight w:val="none"/>
        </w:rPr>
        <w:fldChar w:fldCharType="separate"/>
      </w:r>
      <w:r>
        <w:rPr>
          <w:rFonts w:hint="eastAsia" w:ascii="Times New Roman" w:hAnsi="Times New Roman"/>
          <w:bCs/>
          <w:szCs w:val="32"/>
          <w:highlight w:val="none"/>
        </w:rPr>
        <w:t>第一节</w:t>
      </w:r>
      <w:r>
        <w:rPr>
          <w:rFonts w:ascii="Times New Roman" w:hAnsi="Times New Roman"/>
          <w:bCs/>
          <w:szCs w:val="32"/>
          <w:highlight w:val="none"/>
        </w:rPr>
        <w:t xml:space="preserve"> </w:t>
      </w:r>
      <w:r>
        <w:rPr>
          <w:rFonts w:hint="eastAsia" w:ascii="Times New Roman" w:hAnsi="Times New Roman"/>
          <w:bCs/>
          <w:szCs w:val="32"/>
          <w:highlight w:val="none"/>
        </w:rPr>
        <w:t>评标方法</w:t>
      </w:r>
      <w:r>
        <w:tab/>
      </w:r>
      <w:r>
        <w:fldChar w:fldCharType="begin"/>
      </w:r>
      <w:r>
        <w:instrText xml:space="preserve"> PAGEREF _Toc10280 \h </w:instrText>
      </w:r>
      <w:r>
        <w:fldChar w:fldCharType="separate"/>
      </w:r>
      <w:r>
        <w:t>80</w:t>
      </w:r>
      <w:r>
        <w:fldChar w:fldCharType="end"/>
      </w:r>
      <w:r>
        <w:rPr>
          <w:rFonts w:ascii="Calibri" w:hAnsi="宋体"/>
          <w:bCs/>
          <w:caps/>
          <w:color w:val="auto"/>
          <w:szCs w:val="28"/>
          <w:highlight w:val="none"/>
          <w:u w:val="single"/>
        </w:rPr>
        <w:fldChar w:fldCharType="end"/>
      </w:r>
    </w:p>
    <w:p w14:paraId="3C4510D7">
      <w:pPr>
        <w:pStyle w:val="29"/>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_Toc12982 </w:instrText>
      </w:r>
      <w:r>
        <w:rPr>
          <w:rFonts w:ascii="Calibri" w:hAnsi="宋体"/>
          <w:bCs/>
          <w:caps/>
          <w:szCs w:val="28"/>
          <w:highlight w:val="none"/>
        </w:rPr>
        <w:fldChar w:fldCharType="separate"/>
      </w:r>
      <w:r>
        <w:rPr>
          <w:rFonts w:hint="eastAsia" w:ascii="Times New Roman" w:hAnsi="Times New Roman"/>
          <w:bCs/>
          <w:szCs w:val="32"/>
          <w:highlight w:val="none"/>
        </w:rPr>
        <w:t>第二节</w:t>
      </w:r>
      <w:r>
        <w:rPr>
          <w:rFonts w:ascii="Times New Roman" w:hAnsi="Times New Roman"/>
          <w:bCs/>
          <w:szCs w:val="32"/>
          <w:highlight w:val="none"/>
        </w:rPr>
        <w:t xml:space="preserve"> </w:t>
      </w:r>
      <w:r>
        <w:rPr>
          <w:rFonts w:hint="eastAsia" w:ascii="Times New Roman" w:hAnsi="Times New Roman"/>
          <w:bCs/>
          <w:szCs w:val="32"/>
          <w:highlight w:val="none"/>
        </w:rPr>
        <w:t>评标程序</w:t>
      </w:r>
      <w:r>
        <w:tab/>
      </w:r>
      <w:r>
        <w:fldChar w:fldCharType="begin"/>
      </w:r>
      <w:r>
        <w:instrText xml:space="preserve"> PAGEREF _Toc12982 \h </w:instrText>
      </w:r>
      <w:r>
        <w:fldChar w:fldCharType="separate"/>
      </w:r>
      <w:r>
        <w:t>80</w:t>
      </w:r>
      <w:r>
        <w:fldChar w:fldCharType="end"/>
      </w:r>
      <w:r>
        <w:rPr>
          <w:rFonts w:ascii="Calibri" w:hAnsi="宋体"/>
          <w:bCs/>
          <w:caps/>
          <w:color w:val="auto"/>
          <w:szCs w:val="28"/>
          <w:highlight w:val="none"/>
          <w:u w:val="single"/>
        </w:rPr>
        <w:fldChar w:fldCharType="end"/>
      </w:r>
    </w:p>
    <w:p w14:paraId="7CFEC95D">
      <w:pPr>
        <w:pStyle w:val="29"/>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_Toc25670 </w:instrText>
      </w:r>
      <w:r>
        <w:rPr>
          <w:rFonts w:ascii="Calibri" w:hAnsi="宋体"/>
          <w:bCs/>
          <w:caps/>
          <w:szCs w:val="28"/>
          <w:highlight w:val="none"/>
        </w:rPr>
        <w:fldChar w:fldCharType="separate"/>
      </w:r>
      <w:r>
        <w:rPr>
          <w:rFonts w:hint="eastAsia"/>
          <w:szCs w:val="30"/>
          <w:highlight w:val="none"/>
        </w:rPr>
        <w:t>第三节</w:t>
      </w:r>
      <w:r>
        <w:rPr>
          <w:szCs w:val="30"/>
          <w:highlight w:val="none"/>
        </w:rPr>
        <w:t xml:space="preserve"> </w:t>
      </w:r>
      <w:r>
        <w:rPr>
          <w:rFonts w:hint="eastAsia"/>
          <w:szCs w:val="30"/>
          <w:highlight w:val="none"/>
        </w:rPr>
        <w:t>评分标准</w:t>
      </w:r>
      <w:r>
        <w:tab/>
      </w:r>
      <w:r>
        <w:fldChar w:fldCharType="begin"/>
      </w:r>
      <w:r>
        <w:instrText xml:space="preserve"> PAGEREF _Toc25670 \h </w:instrText>
      </w:r>
      <w:r>
        <w:fldChar w:fldCharType="separate"/>
      </w:r>
      <w:r>
        <w:t>84</w:t>
      </w:r>
      <w:r>
        <w:fldChar w:fldCharType="end"/>
      </w:r>
      <w:r>
        <w:rPr>
          <w:rFonts w:ascii="Calibri" w:hAnsi="宋体"/>
          <w:bCs/>
          <w:caps/>
          <w:color w:val="auto"/>
          <w:szCs w:val="28"/>
          <w:highlight w:val="none"/>
          <w:u w:val="single"/>
        </w:rPr>
        <w:fldChar w:fldCharType="end"/>
      </w:r>
    </w:p>
    <w:p w14:paraId="24305088">
      <w:pPr>
        <w:pStyle w:val="29"/>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_Toc2653 </w:instrText>
      </w:r>
      <w:r>
        <w:rPr>
          <w:rFonts w:ascii="Calibri" w:hAnsi="宋体"/>
          <w:bCs/>
          <w:caps/>
          <w:szCs w:val="28"/>
          <w:highlight w:val="none"/>
        </w:rPr>
        <w:fldChar w:fldCharType="separate"/>
      </w:r>
      <w:r>
        <w:rPr>
          <w:rFonts w:hint="eastAsia"/>
          <w:szCs w:val="30"/>
          <w:highlight w:val="none"/>
        </w:rPr>
        <w:t>第四节</w:t>
      </w:r>
      <w:r>
        <w:rPr>
          <w:szCs w:val="30"/>
          <w:highlight w:val="none"/>
        </w:rPr>
        <w:t xml:space="preserve"> </w:t>
      </w:r>
      <w:r>
        <w:rPr>
          <w:rFonts w:hint="eastAsia"/>
          <w:szCs w:val="30"/>
          <w:highlight w:val="none"/>
        </w:rPr>
        <w:t>中标候选人推荐原则</w:t>
      </w:r>
      <w:r>
        <w:tab/>
      </w:r>
      <w:r>
        <w:fldChar w:fldCharType="begin"/>
      </w:r>
      <w:r>
        <w:instrText xml:space="preserve"> PAGEREF _Toc2653 \h </w:instrText>
      </w:r>
      <w:r>
        <w:fldChar w:fldCharType="separate"/>
      </w:r>
      <w:r>
        <w:t>88</w:t>
      </w:r>
      <w:r>
        <w:fldChar w:fldCharType="end"/>
      </w:r>
      <w:r>
        <w:rPr>
          <w:rFonts w:ascii="Calibri" w:hAnsi="宋体"/>
          <w:bCs/>
          <w:caps/>
          <w:color w:val="auto"/>
          <w:szCs w:val="28"/>
          <w:highlight w:val="none"/>
          <w:u w:val="single"/>
        </w:rPr>
        <w:fldChar w:fldCharType="end"/>
      </w:r>
    </w:p>
    <w:p w14:paraId="09019BD6">
      <w:pPr>
        <w:pStyle w:val="29"/>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_Toc7286 </w:instrText>
      </w:r>
      <w:r>
        <w:rPr>
          <w:rFonts w:ascii="Calibri" w:hAnsi="宋体"/>
          <w:bCs/>
          <w:caps/>
          <w:szCs w:val="28"/>
          <w:highlight w:val="none"/>
        </w:rPr>
        <w:fldChar w:fldCharType="separate"/>
      </w:r>
      <w:r>
        <w:rPr>
          <w:rFonts w:hint="eastAsia"/>
          <w:szCs w:val="30"/>
          <w:highlight w:val="none"/>
        </w:rPr>
        <w:t>第五节</w:t>
      </w:r>
      <w:r>
        <w:rPr>
          <w:szCs w:val="30"/>
          <w:highlight w:val="none"/>
        </w:rPr>
        <w:t xml:space="preserve"> </w:t>
      </w:r>
      <w:r>
        <w:rPr>
          <w:rFonts w:hint="eastAsia"/>
          <w:szCs w:val="30"/>
          <w:highlight w:val="none"/>
        </w:rPr>
        <w:t>评标报告</w:t>
      </w:r>
      <w:r>
        <w:tab/>
      </w:r>
      <w:r>
        <w:fldChar w:fldCharType="begin"/>
      </w:r>
      <w:r>
        <w:instrText xml:space="preserve"> PAGEREF _Toc7286 \h </w:instrText>
      </w:r>
      <w:r>
        <w:fldChar w:fldCharType="separate"/>
      </w:r>
      <w:r>
        <w:t>89</w:t>
      </w:r>
      <w:r>
        <w:fldChar w:fldCharType="end"/>
      </w:r>
      <w:r>
        <w:rPr>
          <w:rFonts w:ascii="Calibri" w:hAnsi="宋体"/>
          <w:bCs/>
          <w:caps/>
          <w:color w:val="auto"/>
          <w:szCs w:val="28"/>
          <w:highlight w:val="none"/>
          <w:u w:val="single"/>
        </w:rPr>
        <w:fldChar w:fldCharType="end"/>
      </w:r>
    </w:p>
    <w:p w14:paraId="237C3CD3">
      <w:pPr>
        <w:pStyle w:val="24"/>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_Toc31485 </w:instrText>
      </w:r>
      <w:r>
        <w:rPr>
          <w:rFonts w:ascii="Calibri" w:hAnsi="宋体"/>
          <w:bCs/>
          <w:caps/>
          <w:szCs w:val="28"/>
          <w:highlight w:val="none"/>
        </w:rPr>
        <w:fldChar w:fldCharType="separate"/>
      </w:r>
      <w:r>
        <w:rPr>
          <w:rFonts w:hint="eastAsia" w:ascii="Times New Roman" w:hAnsi="Times New Roman"/>
          <w:highlight w:val="none"/>
        </w:rPr>
        <w:t>第五章</w:t>
      </w:r>
      <w:r>
        <w:rPr>
          <w:rFonts w:ascii="Times New Roman" w:hAnsi="Times New Roman"/>
          <w:highlight w:val="none"/>
        </w:rPr>
        <w:t xml:space="preserve"> </w:t>
      </w:r>
      <w:r>
        <w:rPr>
          <w:rFonts w:hint="eastAsia" w:ascii="Times New Roman" w:hAnsi="Times New Roman"/>
          <w:highlight w:val="none"/>
        </w:rPr>
        <w:t>拟签订的合同文本</w:t>
      </w:r>
      <w:r>
        <w:tab/>
      </w:r>
      <w:r>
        <w:fldChar w:fldCharType="begin"/>
      </w:r>
      <w:r>
        <w:instrText xml:space="preserve"> PAGEREF _Toc31485 \h </w:instrText>
      </w:r>
      <w:r>
        <w:fldChar w:fldCharType="separate"/>
      </w:r>
      <w:r>
        <w:t>90</w:t>
      </w:r>
      <w:r>
        <w:fldChar w:fldCharType="end"/>
      </w:r>
      <w:r>
        <w:rPr>
          <w:rFonts w:ascii="Calibri" w:hAnsi="宋体"/>
          <w:bCs/>
          <w:caps/>
          <w:color w:val="auto"/>
          <w:szCs w:val="28"/>
          <w:highlight w:val="none"/>
          <w:u w:val="single"/>
        </w:rPr>
        <w:fldChar w:fldCharType="end"/>
      </w:r>
    </w:p>
    <w:p w14:paraId="7313D56D">
      <w:pPr>
        <w:pStyle w:val="24"/>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_Toc31525 </w:instrText>
      </w:r>
      <w:r>
        <w:rPr>
          <w:rFonts w:ascii="Calibri" w:hAnsi="宋体"/>
          <w:bCs/>
          <w:caps/>
          <w:szCs w:val="28"/>
          <w:highlight w:val="none"/>
        </w:rPr>
        <w:fldChar w:fldCharType="separate"/>
      </w:r>
      <w:r>
        <w:rPr>
          <w:rFonts w:hint="eastAsia" w:ascii="Times New Roman" w:hAnsi="Times New Roman"/>
          <w:highlight w:val="none"/>
        </w:rPr>
        <w:t>第六章</w:t>
      </w:r>
      <w:r>
        <w:rPr>
          <w:rFonts w:ascii="Times New Roman" w:hAnsi="Times New Roman"/>
          <w:highlight w:val="none"/>
        </w:rPr>
        <w:t xml:space="preserve"> </w:t>
      </w:r>
      <w:r>
        <w:rPr>
          <w:rFonts w:hint="eastAsia" w:ascii="Times New Roman" w:hAnsi="Times New Roman"/>
          <w:highlight w:val="none"/>
        </w:rPr>
        <w:t>投标文件格式</w:t>
      </w:r>
      <w:r>
        <w:tab/>
      </w:r>
      <w:r>
        <w:fldChar w:fldCharType="begin"/>
      </w:r>
      <w:r>
        <w:instrText xml:space="preserve"> PAGEREF _Toc31525 \h </w:instrText>
      </w:r>
      <w:r>
        <w:fldChar w:fldCharType="separate"/>
      </w:r>
      <w:r>
        <w:t>104</w:t>
      </w:r>
      <w:r>
        <w:fldChar w:fldCharType="end"/>
      </w:r>
      <w:r>
        <w:rPr>
          <w:rFonts w:ascii="Calibri" w:hAnsi="宋体"/>
          <w:bCs/>
          <w:caps/>
          <w:color w:val="auto"/>
          <w:szCs w:val="28"/>
          <w:highlight w:val="none"/>
          <w:u w:val="single"/>
        </w:rPr>
        <w:fldChar w:fldCharType="end"/>
      </w:r>
    </w:p>
    <w:p w14:paraId="63079F50">
      <w:pPr>
        <w:pStyle w:val="29"/>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_Toc22756 </w:instrText>
      </w:r>
      <w:r>
        <w:rPr>
          <w:rFonts w:ascii="Calibri" w:hAnsi="宋体"/>
          <w:bCs/>
          <w:caps/>
          <w:szCs w:val="28"/>
          <w:highlight w:val="none"/>
        </w:rPr>
        <w:fldChar w:fldCharType="separate"/>
      </w:r>
      <w:r>
        <w:rPr>
          <w:rFonts w:hint="eastAsia" w:hAnsi="宋体"/>
          <w:bCs/>
          <w:szCs w:val="28"/>
          <w:highlight w:val="none"/>
        </w:rPr>
        <w:t>第一节 投标文件外层包装封面</w:t>
      </w:r>
      <w:r>
        <w:tab/>
      </w:r>
      <w:r>
        <w:fldChar w:fldCharType="begin"/>
      </w:r>
      <w:r>
        <w:instrText xml:space="preserve"> PAGEREF _Toc22756 \h </w:instrText>
      </w:r>
      <w:r>
        <w:fldChar w:fldCharType="separate"/>
      </w:r>
      <w:r>
        <w:t>105</w:t>
      </w:r>
      <w:r>
        <w:fldChar w:fldCharType="end"/>
      </w:r>
      <w:r>
        <w:rPr>
          <w:rFonts w:ascii="Calibri" w:hAnsi="宋体"/>
          <w:bCs/>
          <w:caps/>
          <w:color w:val="auto"/>
          <w:szCs w:val="28"/>
          <w:highlight w:val="none"/>
          <w:u w:val="single"/>
        </w:rPr>
        <w:fldChar w:fldCharType="end"/>
      </w:r>
    </w:p>
    <w:p w14:paraId="6D5CBC28">
      <w:pPr>
        <w:pStyle w:val="29"/>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_Toc20657 </w:instrText>
      </w:r>
      <w:r>
        <w:rPr>
          <w:rFonts w:ascii="Calibri" w:hAnsi="宋体"/>
          <w:bCs/>
          <w:caps/>
          <w:szCs w:val="28"/>
          <w:highlight w:val="none"/>
        </w:rPr>
        <w:fldChar w:fldCharType="separate"/>
      </w:r>
      <w:r>
        <w:rPr>
          <w:rFonts w:hint="eastAsia" w:hAnsi="宋体"/>
          <w:bCs/>
          <w:szCs w:val="28"/>
          <w:highlight w:val="none"/>
        </w:rPr>
        <w:t>第二节 资格证明文件格式</w:t>
      </w:r>
      <w:r>
        <w:tab/>
      </w:r>
      <w:r>
        <w:fldChar w:fldCharType="begin"/>
      </w:r>
      <w:r>
        <w:instrText xml:space="preserve"> PAGEREF _Toc20657 \h </w:instrText>
      </w:r>
      <w:r>
        <w:fldChar w:fldCharType="separate"/>
      </w:r>
      <w:r>
        <w:t>106</w:t>
      </w:r>
      <w:r>
        <w:fldChar w:fldCharType="end"/>
      </w:r>
      <w:r>
        <w:rPr>
          <w:rFonts w:ascii="Calibri" w:hAnsi="宋体"/>
          <w:bCs/>
          <w:caps/>
          <w:color w:val="auto"/>
          <w:szCs w:val="28"/>
          <w:highlight w:val="none"/>
          <w:u w:val="single"/>
        </w:rPr>
        <w:fldChar w:fldCharType="end"/>
      </w:r>
    </w:p>
    <w:p w14:paraId="6053A424">
      <w:pPr>
        <w:pStyle w:val="29"/>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_Toc29468 </w:instrText>
      </w:r>
      <w:r>
        <w:rPr>
          <w:rFonts w:ascii="Calibri" w:hAnsi="宋体"/>
          <w:bCs/>
          <w:caps/>
          <w:szCs w:val="28"/>
          <w:highlight w:val="none"/>
        </w:rPr>
        <w:fldChar w:fldCharType="separate"/>
      </w:r>
      <w:r>
        <w:rPr>
          <w:rFonts w:hint="eastAsia" w:hAnsi="宋体"/>
          <w:bCs/>
          <w:szCs w:val="28"/>
          <w:highlight w:val="none"/>
        </w:rPr>
        <w:t>第三节 商务文件格式</w:t>
      </w:r>
      <w:r>
        <w:tab/>
      </w:r>
      <w:r>
        <w:fldChar w:fldCharType="begin"/>
      </w:r>
      <w:r>
        <w:instrText xml:space="preserve"> PAGEREF _Toc29468 \h </w:instrText>
      </w:r>
      <w:r>
        <w:fldChar w:fldCharType="separate"/>
      </w:r>
      <w:r>
        <w:t>113</w:t>
      </w:r>
      <w:r>
        <w:fldChar w:fldCharType="end"/>
      </w:r>
      <w:r>
        <w:rPr>
          <w:rFonts w:ascii="Calibri" w:hAnsi="宋体"/>
          <w:bCs/>
          <w:caps/>
          <w:color w:val="auto"/>
          <w:szCs w:val="28"/>
          <w:highlight w:val="none"/>
          <w:u w:val="single"/>
        </w:rPr>
        <w:fldChar w:fldCharType="end"/>
      </w:r>
    </w:p>
    <w:p w14:paraId="553AB2A3">
      <w:pPr>
        <w:pStyle w:val="29"/>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_Toc30615 </w:instrText>
      </w:r>
      <w:r>
        <w:rPr>
          <w:rFonts w:ascii="Calibri" w:hAnsi="宋体"/>
          <w:bCs/>
          <w:caps/>
          <w:szCs w:val="28"/>
          <w:highlight w:val="none"/>
        </w:rPr>
        <w:fldChar w:fldCharType="separate"/>
      </w:r>
      <w:r>
        <w:rPr>
          <w:rFonts w:hint="eastAsia" w:hAnsi="宋体"/>
          <w:bCs/>
          <w:szCs w:val="28"/>
          <w:highlight w:val="none"/>
        </w:rPr>
        <w:t>第四节 技术文件格式</w:t>
      </w:r>
      <w:r>
        <w:tab/>
      </w:r>
      <w:r>
        <w:fldChar w:fldCharType="begin"/>
      </w:r>
      <w:r>
        <w:instrText xml:space="preserve"> PAGEREF _Toc30615 \h </w:instrText>
      </w:r>
      <w:r>
        <w:fldChar w:fldCharType="separate"/>
      </w:r>
      <w:r>
        <w:t>125</w:t>
      </w:r>
      <w:r>
        <w:fldChar w:fldCharType="end"/>
      </w:r>
      <w:r>
        <w:rPr>
          <w:rFonts w:ascii="Calibri" w:hAnsi="宋体"/>
          <w:bCs/>
          <w:caps/>
          <w:color w:val="auto"/>
          <w:szCs w:val="28"/>
          <w:highlight w:val="none"/>
          <w:u w:val="single"/>
        </w:rPr>
        <w:fldChar w:fldCharType="end"/>
      </w:r>
    </w:p>
    <w:p w14:paraId="0EC5A678">
      <w:pPr>
        <w:pStyle w:val="29"/>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_Toc19291 </w:instrText>
      </w:r>
      <w:r>
        <w:rPr>
          <w:rFonts w:ascii="Calibri" w:hAnsi="宋体"/>
          <w:bCs/>
          <w:caps/>
          <w:szCs w:val="28"/>
          <w:highlight w:val="none"/>
        </w:rPr>
        <w:fldChar w:fldCharType="separate"/>
      </w:r>
      <w:r>
        <w:rPr>
          <w:rFonts w:hint="eastAsia" w:hAnsi="宋体"/>
          <w:bCs/>
          <w:szCs w:val="28"/>
          <w:highlight w:val="none"/>
        </w:rPr>
        <w:t>第五节 报价文件格式</w:t>
      </w:r>
      <w:r>
        <w:tab/>
      </w:r>
      <w:r>
        <w:fldChar w:fldCharType="begin"/>
      </w:r>
      <w:r>
        <w:instrText xml:space="preserve"> PAGEREF _Toc19291 \h </w:instrText>
      </w:r>
      <w:r>
        <w:fldChar w:fldCharType="separate"/>
      </w:r>
      <w:r>
        <w:t>133</w:t>
      </w:r>
      <w:r>
        <w:fldChar w:fldCharType="end"/>
      </w:r>
      <w:r>
        <w:rPr>
          <w:rFonts w:ascii="Calibri" w:hAnsi="宋体"/>
          <w:bCs/>
          <w:caps/>
          <w:color w:val="auto"/>
          <w:szCs w:val="28"/>
          <w:highlight w:val="none"/>
          <w:u w:val="single"/>
        </w:rPr>
        <w:fldChar w:fldCharType="end"/>
      </w:r>
    </w:p>
    <w:p w14:paraId="5A39B22E">
      <w:pPr>
        <w:pStyle w:val="29"/>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_Toc32545 </w:instrText>
      </w:r>
      <w:r>
        <w:rPr>
          <w:rFonts w:ascii="Calibri" w:hAnsi="宋体"/>
          <w:bCs/>
          <w:caps/>
          <w:szCs w:val="28"/>
          <w:highlight w:val="none"/>
        </w:rPr>
        <w:fldChar w:fldCharType="separate"/>
      </w:r>
      <w:r>
        <w:rPr>
          <w:rFonts w:hint="eastAsia" w:ascii="宋体" w:hAnsi="宋体"/>
          <w:bCs/>
          <w:szCs w:val="28"/>
          <w:highlight w:val="none"/>
        </w:rPr>
        <w:t>第六节 其他文书、文件格式</w:t>
      </w:r>
      <w:r>
        <w:tab/>
      </w:r>
      <w:r>
        <w:fldChar w:fldCharType="begin"/>
      </w:r>
      <w:r>
        <w:instrText xml:space="preserve"> PAGEREF _Toc32545 \h </w:instrText>
      </w:r>
      <w:r>
        <w:fldChar w:fldCharType="separate"/>
      </w:r>
      <w:r>
        <w:t>144</w:t>
      </w:r>
      <w:r>
        <w:fldChar w:fldCharType="end"/>
      </w:r>
      <w:r>
        <w:rPr>
          <w:rFonts w:ascii="Calibri" w:hAnsi="宋体"/>
          <w:bCs/>
          <w:caps/>
          <w:color w:val="auto"/>
          <w:szCs w:val="28"/>
          <w:highlight w:val="none"/>
          <w:u w:val="single"/>
        </w:rPr>
        <w:fldChar w:fldCharType="end"/>
      </w:r>
    </w:p>
    <w:p w14:paraId="6EDD9705">
      <w:pPr>
        <w:pStyle w:val="24"/>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_Toc7819 </w:instrText>
      </w:r>
      <w:r>
        <w:rPr>
          <w:rFonts w:ascii="Calibri" w:hAnsi="宋体"/>
          <w:bCs/>
          <w:caps/>
          <w:szCs w:val="28"/>
          <w:highlight w:val="none"/>
        </w:rPr>
        <w:fldChar w:fldCharType="separate"/>
      </w:r>
      <w:r>
        <w:rPr>
          <w:rFonts w:hint="eastAsia" w:ascii="Times New Roman" w:hAnsi="Times New Roman"/>
          <w:highlight w:val="none"/>
        </w:rPr>
        <w:t>第七章</w:t>
      </w:r>
      <w:r>
        <w:rPr>
          <w:rFonts w:ascii="Times New Roman" w:hAnsi="Times New Roman"/>
          <w:highlight w:val="none"/>
        </w:rPr>
        <w:t xml:space="preserve"> </w:t>
      </w:r>
      <w:r>
        <w:rPr>
          <w:rFonts w:hint="eastAsia" w:ascii="Times New Roman" w:hAnsi="Times New Roman"/>
          <w:highlight w:val="none"/>
        </w:rPr>
        <w:t>质疑、投诉证明材料格式</w:t>
      </w:r>
      <w:r>
        <w:tab/>
      </w:r>
      <w:r>
        <w:fldChar w:fldCharType="begin"/>
      </w:r>
      <w:r>
        <w:instrText xml:space="preserve"> PAGEREF _Toc7819 \h </w:instrText>
      </w:r>
      <w:r>
        <w:fldChar w:fldCharType="separate"/>
      </w:r>
      <w:r>
        <w:t>145</w:t>
      </w:r>
      <w:r>
        <w:fldChar w:fldCharType="end"/>
      </w:r>
      <w:r>
        <w:rPr>
          <w:rFonts w:ascii="Calibri" w:hAnsi="宋体"/>
          <w:bCs/>
          <w:caps/>
          <w:color w:val="auto"/>
          <w:szCs w:val="28"/>
          <w:highlight w:val="none"/>
          <w:u w:val="single"/>
        </w:rPr>
        <w:fldChar w:fldCharType="end"/>
      </w:r>
    </w:p>
    <w:p w14:paraId="4E086499">
      <w:pPr>
        <w:pStyle w:val="29"/>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_Toc30792 </w:instrText>
      </w:r>
      <w:r>
        <w:rPr>
          <w:rFonts w:ascii="Calibri" w:hAnsi="宋体"/>
          <w:bCs/>
          <w:caps/>
          <w:szCs w:val="28"/>
          <w:highlight w:val="none"/>
        </w:rPr>
        <w:fldChar w:fldCharType="separate"/>
      </w:r>
      <w:r>
        <w:rPr>
          <w:rFonts w:hint="eastAsia" w:ascii="宋体" w:hAnsi="宋体"/>
          <w:bCs w:val="0"/>
          <w:highlight w:val="none"/>
        </w:rPr>
        <w:t>第一节 质疑函（格式）</w:t>
      </w:r>
      <w:r>
        <w:tab/>
      </w:r>
      <w:r>
        <w:fldChar w:fldCharType="begin"/>
      </w:r>
      <w:r>
        <w:instrText xml:space="preserve"> PAGEREF _Toc30792 \h </w:instrText>
      </w:r>
      <w:r>
        <w:fldChar w:fldCharType="separate"/>
      </w:r>
      <w:r>
        <w:t>146</w:t>
      </w:r>
      <w:r>
        <w:fldChar w:fldCharType="end"/>
      </w:r>
      <w:r>
        <w:rPr>
          <w:rFonts w:ascii="Calibri" w:hAnsi="宋体"/>
          <w:bCs/>
          <w:caps/>
          <w:color w:val="auto"/>
          <w:szCs w:val="28"/>
          <w:highlight w:val="none"/>
          <w:u w:val="single"/>
        </w:rPr>
        <w:fldChar w:fldCharType="end"/>
      </w:r>
    </w:p>
    <w:p w14:paraId="5BE842F3">
      <w:pPr>
        <w:pStyle w:val="29"/>
        <w:keepNext w:val="0"/>
        <w:keepLines w:val="0"/>
        <w:pageBreakBefore w:val="0"/>
        <w:widowControl w:val="0"/>
        <w:tabs>
          <w:tab w:val="right" w:leader="dot" w:pos="9638"/>
        </w:tabs>
        <w:kinsoku/>
        <w:wordWrap/>
        <w:overflowPunct/>
        <w:topLinePunct w:val="0"/>
        <w:autoSpaceDE/>
        <w:autoSpaceDN/>
        <w:bidi w:val="0"/>
        <w:adjustRightInd/>
        <w:snapToGrid/>
        <w:spacing w:line="300" w:lineRule="exact"/>
        <w:textAlignment w:val="auto"/>
      </w:pPr>
      <w:r>
        <w:rPr>
          <w:rFonts w:ascii="Calibri" w:hAnsi="宋体"/>
          <w:bCs/>
          <w:caps/>
          <w:color w:val="auto"/>
          <w:szCs w:val="28"/>
          <w:highlight w:val="none"/>
          <w:u w:val="single"/>
        </w:rPr>
        <w:fldChar w:fldCharType="begin"/>
      </w:r>
      <w:r>
        <w:rPr>
          <w:rFonts w:ascii="Calibri" w:hAnsi="宋体"/>
          <w:bCs/>
          <w:caps/>
          <w:szCs w:val="28"/>
          <w:highlight w:val="none"/>
        </w:rPr>
        <w:instrText xml:space="preserve"> HYPERLINK \l _Toc19089 </w:instrText>
      </w:r>
      <w:r>
        <w:rPr>
          <w:rFonts w:ascii="Calibri" w:hAnsi="宋体"/>
          <w:bCs/>
          <w:caps/>
          <w:szCs w:val="28"/>
          <w:highlight w:val="none"/>
        </w:rPr>
        <w:fldChar w:fldCharType="separate"/>
      </w:r>
      <w:r>
        <w:rPr>
          <w:rFonts w:hint="eastAsia" w:ascii="宋体" w:hAnsi="宋体"/>
          <w:bCs w:val="0"/>
          <w:highlight w:val="none"/>
        </w:rPr>
        <w:t>第二节 投诉书（格式）</w:t>
      </w:r>
      <w:r>
        <w:tab/>
      </w:r>
      <w:r>
        <w:fldChar w:fldCharType="begin"/>
      </w:r>
      <w:r>
        <w:instrText xml:space="preserve"> PAGEREF _Toc19089 \h </w:instrText>
      </w:r>
      <w:r>
        <w:fldChar w:fldCharType="separate"/>
      </w:r>
      <w:r>
        <w:t>149</w:t>
      </w:r>
      <w:r>
        <w:fldChar w:fldCharType="end"/>
      </w:r>
      <w:r>
        <w:rPr>
          <w:rFonts w:ascii="Calibri" w:hAnsi="宋体"/>
          <w:bCs/>
          <w:caps/>
          <w:color w:val="auto"/>
          <w:szCs w:val="28"/>
          <w:highlight w:val="none"/>
          <w:u w:val="single"/>
        </w:rPr>
        <w:fldChar w:fldCharType="end"/>
      </w:r>
    </w:p>
    <w:p w14:paraId="59F94135">
      <w:pPr>
        <w:pStyle w:val="14"/>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imes New Roman" w:hAnsi="Times New Roman"/>
          <w:b/>
          <w:color w:val="auto"/>
          <w:sz w:val="36"/>
          <w:highlight w:val="none"/>
        </w:rPr>
        <w:sectPr>
          <w:footerReference r:id="rId4" w:type="default"/>
          <w:pgSz w:w="11906" w:h="16838"/>
          <w:pgMar w:top="1134" w:right="1134" w:bottom="1134" w:left="1134" w:header="720" w:footer="720" w:gutter="0"/>
          <w:pgNumType w:start="1"/>
          <w:cols w:space="720" w:num="1"/>
          <w:docGrid w:type="lines" w:linePitch="331" w:charSpace="0"/>
        </w:sectPr>
      </w:pPr>
      <w:r>
        <w:rPr>
          <w:rFonts w:ascii="Calibri" w:hAnsi="宋体"/>
          <w:bCs/>
          <w:caps/>
          <w:color w:val="auto"/>
          <w:szCs w:val="28"/>
          <w:highlight w:val="none"/>
          <w:u w:val="single"/>
        </w:rPr>
        <w:fldChar w:fldCharType="end"/>
      </w:r>
    </w:p>
    <w:p w14:paraId="4A4763D2">
      <w:pPr>
        <w:pStyle w:val="14"/>
        <w:jc w:val="center"/>
        <w:outlineLvl w:val="0"/>
        <w:rPr>
          <w:rFonts w:ascii="Times New Roman" w:hAnsi="Times New Roman"/>
          <w:b/>
          <w:color w:val="auto"/>
          <w:sz w:val="36"/>
          <w:highlight w:val="none"/>
        </w:rPr>
      </w:pPr>
      <w:bookmarkStart w:id="5" w:name="_Toc865"/>
      <w:r>
        <w:rPr>
          <w:rFonts w:hint="eastAsia" w:ascii="Times New Roman" w:hAnsi="Times New Roman"/>
          <w:b/>
          <w:color w:val="auto"/>
          <w:sz w:val="36"/>
          <w:highlight w:val="none"/>
        </w:rPr>
        <w:t>第一章  招标公告</w:t>
      </w:r>
      <w:bookmarkEnd w:id="5"/>
    </w:p>
    <w:p w14:paraId="2FCD59C3">
      <w:pPr>
        <w:pStyle w:val="14"/>
        <w:jc w:val="center"/>
        <w:rPr>
          <w:rFonts w:ascii="Times New Roman" w:hAnsi="Times New Roman"/>
          <w:b/>
          <w:color w:val="auto"/>
          <w:sz w:val="30"/>
          <w:szCs w:val="30"/>
          <w:highlight w:val="none"/>
        </w:rPr>
      </w:pPr>
      <w:r>
        <w:rPr>
          <w:rFonts w:hint="eastAsia" w:ascii="Times New Roman" w:hAnsi="Times New Roman"/>
          <w:b/>
          <w:color w:val="auto"/>
          <w:sz w:val="30"/>
          <w:szCs w:val="30"/>
          <w:highlight w:val="none"/>
        </w:rPr>
        <w:t>广西机电设备招标有限公司关于宾阳县县域公共就业服务能力提升项目公开招标公告</w:t>
      </w:r>
    </w:p>
    <w:p w14:paraId="73F96BF2">
      <w:pPr>
        <w:pBdr>
          <w:top w:val="single" w:color="auto" w:sz="4" w:space="1"/>
          <w:left w:val="single" w:color="auto" w:sz="4" w:space="4"/>
          <w:bottom w:val="single" w:color="auto" w:sz="4" w:space="1"/>
          <w:right w:val="single" w:color="auto" w:sz="4" w:space="4"/>
        </w:pBdr>
        <w:spacing w:line="360" w:lineRule="auto"/>
        <w:rPr>
          <w:rFonts w:ascii="宋体" w:hAnsi="宋体" w:cs="宋体"/>
          <w:color w:val="auto"/>
          <w:szCs w:val="21"/>
          <w:highlight w:val="none"/>
        </w:rPr>
      </w:pPr>
      <w:r>
        <w:rPr>
          <w:rFonts w:hint="eastAsia" w:ascii="宋体" w:hAnsi="宋体" w:cs="宋体"/>
          <w:color w:val="auto"/>
          <w:szCs w:val="21"/>
          <w:highlight w:val="none"/>
        </w:rPr>
        <w:t>项目概况</w:t>
      </w:r>
    </w:p>
    <w:p w14:paraId="42AF2883">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 xml:space="preserve"> 宾阳县县域公共就业服务能力提升项目 </w:t>
      </w:r>
      <w:r>
        <w:rPr>
          <w:rFonts w:hint="eastAsia" w:ascii="宋体" w:hAnsi="宋体" w:cs="宋体"/>
          <w:color w:val="auto"/>
          <w:szCs w:val="21"/>
          <w:highlight w:val="none"/>
        </w:rPr>
        <w:t>招标项目的潜在投标人应在广西政府采购云平台（https://www.gcy.zfcg.gxzf.gov.cn/）获取（下载）招标文件，并于</w:t>
      </w:r>
      <w:r>
        <w:rPr>
          <w:rFonts w:hint="eastAsia" w:ascii="宋体" w:hAnsi="宋体" w:cs="宋体"/>
          <w:color w:val="auto"/>
          <w:szCs w:val="21"/>
          <w:highlight w:val="none"/>
          <w:u w:val="single"/>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28</w:t>
      </w:r>
      <w:r>
        <w:rPr>
          <w:rFonts w:hint="eastAsia" w:ascii="宋体" w:hAnsi="宋体" w:cs="宋体"/>
          <w:color w:val="auto"/>
          <w:szCs w:val="21"/>
          <w:highlight w:val="none"/>
          <w:u w:val="single"/>
        </w:rPr>
        <w:t>日 09:30</w:t>
      </w:r>
      <w:r>
        <w:rPr>
          <w:rFonts w:hint="eastAsia" w:ascii="宋体" w:hAnsi="宋体" w:cs="宋体"/>
          <w:bCs/>
          <w:color w:val="auto"/>
          <w:szCs w:val="21"/>
          <w:highlight w:val="none"/>
        </w:rPr>
        <w:t>（北京时间）前</w:t>
      </w:r>
      <w:r>
        <w:rPr>
          <w:rFonts w:hint="eastAsia" w:ascii="宋体" w:hAnsi="宋体" w:cs="宋体"/>
          <w:color w:val="auto"/>
          <w:szCs w:val="21"/>
          <w:highlight w:val="none"/>
        </w:rPr>
        <w:t>递交（上传）投标文件。</w:t>
      </w:r>
    </w:p>
    <w:p w14:paraId="54B1FE55">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一、项目基本情况</w:t>
      </w:r>
    </w:p>
    <w:p w14:paraId="4B76ED6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项目编号：</w:t>
      </w:r>
      <w:r>
        <w:rPr>
          <w:color w:val="auto"/>
          <w:highlight w:val="none"/>
        </w:rPr>
        <w:fldChar w:fldCharType="begin"/>
      </w:r>
      <w:r>
        <w:rPr>
          <w:color w:val="auto"/>
          <w:highlight w:val="none"/>
        </w:rPr>
        <w:instrText xml:space="preserve"> HYPERLINK "https://www.gcy.zfcg.gxzf.gov.cn/gaea/api/project/flow/redirect?projectId=7228427269057806418&amp;newUrl=https://www.gcy.zfcg.gxzf.gov.cn/micro-app-back-index/blank?_flow_type_=agency&amp;_flow_projectId_=7228427269057806418&amp;_jump_page_type_=project_procurement_management_flow&amp;_app_=zcy.procurement&amp;oldUrl=https://www.gcy.zfcg.gxzf.gov.cn/project-center/_procurement_/project-result-detail/7228427269057806418&amp;utm=web-project-center-front.42c12ca3.0.0.90a2dec0b62a11f084b5c3fd09c47019" \t "https://www.gcy.zfcg.gxzf.gov.cn/project-center/_procurement_/self-project/_blank" </w:instrText>
      </w:r>
      <w:r>
        <w:rPr>
          <w:color w:val="auto"/>
          <w:highlight w:val="none"/>
        </w:rPr>
        <w:fldChar w:fldCharType="separate"/>
      </w:r>
      <w:r>
        <w:rPr>
          <w:rFonts w:hint="eastAsia" w:ascii="宋体" w:hAnsi="宋体"/>
          <w:color w:val="auto"/>
          <w:szCs w:val="21"/>
          <w:highlight w:val="none"/>
        </w:rPr>
        <w:t>NNZC2026-G3-260135-JDZB</w:t>
      </w:r>
      <w:r>
        <w:rPr>
          <w:rFonts w:hint="eastAsia" w:ascii="宋体" w:hAnsi="宋体"/>
          <w:color w:val="auto"/>
          <w:szCs w:val="21"/>
          <w:highlight w:val="none"/>
        </w:rPr>
        <w:fldChar w:fldCharType="end"/>
      </w:r>
      <w:r>
        <w:rPr>
          <w:rFonts w:hint="eastAsia" w:ascii="宋体" w:hAnsi="宋体"/>
          <w:color w:val="auto"/>
          <w:szCs w:val="21"/>
          <w:highlight w:val="none"/>
        </w:rPr>
        <w:t xml:space="preserve">       </w:t>
      </w:r>
    </w:p>
    <w:p w14:paraId="2C7F53A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项目名称：宾阳县县域公共就业服务能力提升项目</w:t>
      </w:r>
    </w:p>
    <w:p w14:paraId="2BB9EEF6">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预算金额：8200000.00元</w:t>
      </w:r>
    </w:p>
    <w:p w14:paraId="1711286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最高限价：8200000.00元；</w:t>
      </w:r>
    </w:p>
    <w:p w14:paraId="0848243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采购需求： </w:t>
      </w:r>
    </w:p>
    <w:tbl>
      <w:tblPr>
        <w:tblStyle w:val="35"/>
        <w:tblW w:w="974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93"/>
        <w:gridCol w:w="2500"/>
        <w:gridCol w:w="763"/>
        <w:gridCol w:w="757"/>
        <w:gridCol w:w="5035"/>
      </w:tblGrid>
      <w:tr w14:paraId="5EE6C2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693" w:type="dxa"/>
            <w:tcBorders>
              <w:top w:val="single" w:color="auto" w:sz="4" w:space="0"/>
              <w:left w:val="single" w:color="auto" w:sz="4" w:space="0"/>
              <w:bottom w:val="single" w:color="auto" w:sz="4" w:space="0"/>
              <w:right w:val="single" w:color="auto" w:sz="4" w:space="0"/>
            </w:tcBorders>
            <w:vAlign w:val="center"/>
          </w:tcPr>
          <w:p w14:paraId="52A1B37C">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序号</w:t>
            </w:r>
          </w:p>
        </w:tc>
        <w:tc>
          <w:tcPr>
            <w:tcW w:w="2500" w:type="dxa"/>
            <w:tcBorders>
              <w:top w:val="single" w:color="auto" w:sz="4" w:space="0"/>
              <w:left w:val="single" w:color="auto" w:sz="4" w:space="0"/>
              <w:bottom w:val="single" w:color="auto" w:sz="4" w:space="0"/>
              <w:right w:val="single" w:color="auto" w:sz="4" w:space="0"/>
            </w:tcBorders>
            <w:vAlign w:val="center"/>
          </w:tcPr>
          <w:p w14:paraId="206F78A9">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标的的名称</w:t>
            </w:r>
          </w:p>
        </w:tc>
        <w:tc>
          <w:tcPr>
            <w:tcW w:w="763" w:type="dxa"/>
            <w:tcBorders>
              <w:top w:val="single" w:color="auto" w:sz="4" w:space="0"/>
              <w:left w:val="single" w:color="auto" w:sz="4" w:space="0"/>
              <w:bottom w:val="single" w:color="auto" w:sz="4" w:space="0"/>
              <w:right w:val="single" w:color="auto" w:sz="4" w:space="0"/>
            </w:tcBorders>
            <w:vAlign w:val="center"/>
          </w:tcPr>
          <w:p w14:paraId="6F74B259">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数量</w:t>
            </w:r>
          </w:p>
        </w:tc>
        <w:tc>
          <w:tcPr>
            <w:tcW w:w="757" w:type="dxa"/>
            <w:tcBorders>
              <w:top w:val="single" w:color="auto" w:sz="4" w:space="0"/>
              <w:left w:val="single" w:color="auto" w:sz="4" w:space="0"/>
              <w:bottom w:val="single" w:color="auto" w:sz="4" w:space="0"/>
              <w:right w:val="single" w:color="auto" w:sz="4" w:space="0"/>
            </w:tcBorders>
            <w:vAlign w:val="center"/>
          </w:tcPr>
          <w:p w14:paraId="6AEB010E">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单位</w:t>
            </w:r>
          </w:p>
        </w:tc>
        <w:tc>
          <w:tcPr>
            <w:tcW w:w="5035" w:type="dxa"/>
            <w:tcBorders>
              <w:top w:val="single" w:color="auto" w:sz="4" w:space="0"/>
              <w:left w:val="single" w:color="auto" w:sz="4" w:space="0"/>
              <w:bottom w:val="single" w:color="auto" w:sz="4" w:space="0"/>
              <w:right w:val="single" w:color="auto" w:sz="4" w:space="0"/>
            </w:tcBorders>
            <w:vAlign w:val="center"/>
          </w:tcPr>
          <w:p w14:paraId="549478AF">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简要服务要求或者技术需求</w:t>
            </w:r>
          </w:p>
        </w:tc>
      </w:tr>
      <w:tr w14:paraId="76A915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93" w:type="dxa"/>
            <w:tcBorders>
              <w:top w:val="single" w:color="auto" w:sz="4" w:space="0"/>
              <w:left w:val="single" w:color="auto" w:sz="4" w:space="0"/>
              <w:bottom w:val="single" w:color="auto" w:sz="4" w:space="0"/>
              <w:right w:val="single" w:color="auto" w:sz="4" w:space="0"/>
            </w:tcBorders>
            <w:vAlign w:val="center"/>
          </w:tcPr>
          <w:p w14:paraId="55C02B59">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2500" w:type="dxa"/>
            <w:tcBorders>
              <w:top w:val="single" w:color="auto" w:sz="4" w:space="0"/>
              <w:left w:val="single" w:color="auto" w:sz="4" w:space="0"/>
              <w:bottom w:val="single" w:color="auto" w:sz="4" w:space="0"/>
              <w:right w:val="single" w:color="auto" w:sz="4" w:space="0"/>
            </w:tcBorders>
            <w:vAlign w:val="center"/>
          </w:tcPr>
          <w:p w14:paraId="484BCB6D">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宾阳县县域公共就业服务能力提升项目</w:t>
            </w:r>
          </w:p>
        </w:tc>
        <w:tc>
          <w:tcPr>
            <w:tcW w:w="763" w:type="dxa"/>
            <w:tcBorders>
              <w:top w:val="single" w:color="auto" w:sz="4" w:space="0"/>
              <w:left w:val="single" w:color="auto" w:sz="4" w:space="0"/>
              <w:bottom w:val="single" w:color="auto" w:sz="4" w:space="0"/>
              <w:right w:val="single" w:color="auto" w:sz="4" w:space="0"/>
            </w:tcBorders>
            <w:vAlign w:val="center"/>
          </w:tcPr>
          <w:p w14:paraId="1EC7E320">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757" w:type="dxa"/>
            <w:tcBorders>
              <w:top w:val="single" w:color="auto" w:sz="4" w:space="0"/>
              <w:left w:val="single" w:color="auto" w:sz="4" w:space="0"/>
              <w:bottom w:val="single" w:color="auto" w:sz="4" w:space="0"/>
              <w:right w:val="single" w:color="auto" w:sz="4" w:space="0"/>
            </w:tcBorders>
            <w:vAlign w:val="center"/>
          </w:tcPr>
          <w:p w14:paraId="756103E2">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项</w:t>
            </w:r>
          </w:p>
        </w:tc>
        <w:tc>
          <w:tcPr>
            <w:tcW w:w="5035" w:type="dxa"/>
            <w:tcBorders>
              <w:top w:val="single" w:color="auto" w:sz="4" w:space="0"/>
              <w:left w:val="single" w:color="auto" w:sz="4" w:space="0"/>
              <w:bottom w:val="single" w:color="auto" w:sz="4" w:space="0"/>
              <w:right w:val="single" w:color="auto" w:sz="4" w:space="0"/>
            </w:tcBorders>
            <w:vAlign w:val="center"/>
          </w:tcPr>
          <w:p w14:paraId="25DEFD53">
            <w:pPr>
              <w:snapToGrid w:val="0"/>
              <w:spacing w:line="400" w:lineRule="exact"/>
              <w:jc w:val="center"/>
              <w:rPr>
                <w:rFonts w:ascii="宋体" w:hAnsi="宋体" w:cs="宋体"/>
                <w:color w:val="auto"/>
                <w:highlight w:val="none"/>
              </w:rPr>
            </w:pPr>
            <w:r>
              <w:rPr>
                <w:rFonts w:hint="eastAsia" w:ascii="宋体" w:hAnsi="宋体" w:cs="宋体"/>
                <w:color w:val="auto"/>
                <w:highlight w:val="none"/>
              </w:rPr>
              <w:t>宾阳县县域公共就业服务能力提升项目，具体内容详见公开招标文件。</w:t>
            </w:r>
          </w:p>
        </w:tc>
      </w:tr>
    </w:tbl>
    <w:p w14:paraId="4FA3BF2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合同履行期限：服务期分为筹备和运营两个阶段。筹备期原则上为2026年11月30日前完成全部站点（1个人力资源市场（加挂零工市场）、17个就业服务站）的规范配备并投入试运营</w:t>
      </w:r>
      <w:r>
        <w:rPr>
          <w:rFonts w:hint="eastAsia" w:ascii="宋体" w:hAnsi="宋体"/>
          <w:color w:val="auto"/>
          <w:szCs w:val="21"/>
          <w:highlight w:val="none"/>
          <w:lang w:eastAsia="zh-CN"/>
        </w:rPr>
        <w:t>，</w:t>
      </w:r>
      <w:r>
        <w:rPr>
          <w:rFonts w:hint="eastAsia" w:ascii="宋体" w:hAnsi="宋体"/>
          <w:color w:val="auto"/>
          <w:szCs w:val="21"/>
          <w:highlight w:val="none"/>
        </w:rPr>
        <w:t>通过验收；运营服务期自全部新设立站点投入试运营之日的次月1日起24个月（即2026年12月至2028年11月）。</w:t>
      </w:r>
    </w:p>
    <w:p w14:paraId="57E94FC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本项目是否接受</w:t>
      </w:r>
      <w:bookmarkStart w:id="6" w:name="OLE_LINK1"/>
      <w:r>
        <w:rPr>
          <w:rFonts w:hint="eastAsia" w:ascii="宋体" w:hAnsi="宋体"/>
          <w:color w:val="auto"/>
          <w:szCs w:val="21"/>
          <w:highlight w:val="none"/>
        </w:rPr>
        <w:t>联合体投标</w:t>
      </w:r>
      <w:bookmarkEnd w:id="6"/>
      <w:r>
        <w:rPr>
          <w:rFonts w:hint="eastAsia" w:ascii="宋体" w:hAnsi="宋体"/>
          <w:color w:val="auto"/>
          <w:szCs w:val="21"/>
          <w:highlight w:val="none"/>
        </w:rPr>
        <w:t>：□是/☑否。</w:t>
      </w:r>
    </w:p>
    <w:p w14:paraId="2CA55A02">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二、投标人的资格要求：</w:t>
      </w:r>
    </w:p>
    <w:p w14:paraId="5E7ACFB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287FD39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2.落实政府采购政策需满足的资格要求：</w:t>
      </w:r>
    </w:p>
    <w:p w14:paraId="4AE5D49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□专门面向中小企业采购的项目（供应商应为中小企业或监狱企业或残疾人福利性单位</w:t>
      </w:r>
      <w:r>
        <w:rPr>
          <w:rFonts w:hint="eastAsia" w:ascii="宋体" w:hAnsi="宋体"/>
          <w:color w:val="auto"/>
          <w:szCs w:val="21"/>
          <w:highlight w:val="none"/>
          <w:lang w:eastAsia="zh-CN"/>
        </w:rPr>
        <w:t>）</w:t>
      </w:r>
    </w:p>
    <w:p w14:paraId="6E1AC68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☑非专门面向中小企业采购的项目</w:t>
      </w:r>
    </w:p>
    <w:p w14:paraId="143E2E8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3.本项目的特定资格要求：</w:t>
      </w:r>
      <w:r>
        <w:rPr>
          <w:rFonts w:hint="eastAsia" w:ascii="宋体" w:hAnsi="宋体" w:cs="Arial"/>
          <w:bCs/>
          <w:color w:val="auto"/>
          <w:kern w:val="0"/>
          <w:szCs w:val="21"/>
          <w:highlight w:val="none"/>
        </w:rPr>
        <w:t>依据《人力资源服务机构管理规定》的规定，投标人必须具有有效的《人力资源服务许可证》</w:t>
      </w:r>
      <w:r>
        <w:rPr>
          <w:rFonts w:hint="eastAsia" w:ascii="宋体" w:hAnsi="宋体"/>
          <w:color w:val="auto"/>
          <w:szCs w:val="21"/>
          <w:highlight w:val="none"/>
        </w:rPr>
        <w:t>。</w:t>
      </w:r>
    </w:p>
    <w:p w14:paraId="308C185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4.本项目的特定条件：无。</w:t>
      </w:r>
    </w:p>
    <w:p w14:paraId="098F4C0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965654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6.对在“信用中国”网站</w:t>
      </w:r>
      <w:r>
        <w:rPr>
          <w:rFonts w:hint="eastAsia" w:ascii="宋体" w:hAnsi="宋体"/>
          <w:color w:val="auto"/>
          <w:szCs w:val="21"/>
          <w:highlight w:val="none"/>
          <w:lang w:eastAsia="zh-CN"/>
        </w:rPr>
        <w:t>（</w:t>
      </w:r>
      <w:r>
        <w:rPr>
          <w:rFonts w:hint="eastAsia" w:ascii="宋体" w:hAnsi="宋体"/>
          <w:color w:val="auto"/>
          <w:szCs w:val="21"/>
          <w:highlight w:val="none"/>
        </w:rPr>
        <w:t>www.creditchina.gov.cn</w:t>
      </w:r>
      <w:r>
        <w:rPr>
          <w:rFonts w:hint="eastAsia" w:ascii="宋体" w:hAnsi="宋体"/>
          <w:color w:val="auto"/>
          <w:szCs w:val="21"/>
          <w:highlight w:val="none"/>
          <w:lang w:eastAsia="zh-CN"/>
        </w:rPr>
        <w:t>）</w:t>
      </w:r>
      <w:r>
        <w:rPr>
          <w:rFonts w:hint="eastAsia" w:ascii="宋体" w:hAnsi="宋体"/>
          <w:color w:val="auto"/>
          <w:szCs w:val="21"/>
          <w:highlight w:val="none"/>
        </w:rPr>
        <w:t xml:space="preserve"> 、中国政府采购网</w:t>
      </w:r>
      <w:r>
        <w:rPr>
          <w:rFonts w:hint="eastAsia" w:ascii="宋体" w:hAnsi="宋体"/>
          <w:color w:val="auto"/>
          <w:szCs w:val="21"/>
          <w:highlight w:val="none"/>
          <w:lang w:eastAsia="zh-CN"/>
        </w:rPr>
        <w:t>（</w:t>
      </w:r>
      <w:r>
        <w:rPr>
          <w:rFonts w:hint="eastAsia" w:ascii="宋体" w:hAnsi="宋体"/>
          <w:color w:val="auto"/>
          <w:szCs w:val="21"/>
          <w:highlight w:val="none"/>
        </w:rPr>
        <w:t>www.ccgp.gov.cn</w:t>
      </w:r>
      <w:r>
        <w:rPr>
          <w:rFonts w:hint="eastAsia" w:ascii="宋体" w:hAnsi="宋体"/>
          <w:color w:val="auto"/>
          <w:szCs w:val="21"/>
          <w:highlight w:val="none"/>
          <w:lang w:eastAsia="zh-CN"/>
        </w:rPr>
        <w:t>）</w:t>
      </w:r>
      <w:r>
        <w:rPr>
          <w:rFonts w:hint="eastAsia" w:ascii="宋体" w:hAnsi="宋体"/>
          <w:color w:val="auto"/>
          <w:szCs w:val="21"/>
          <w:highlight w:val="none"/>
        </w:rPr>
        <w:t>被列入失信被执行人、重大税收违法失信主体、政府采购严重违法失信行为记录名单及其他不符合《中华人民共和国政府采购法》第二十二条规定条件的供应商，不得参与政府采购活动。</w:t>
      </w:r>
    </w:p>
    <w:p w14:paraId="21EAB3AD">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三、获取招标文件</w:t>
      </w:r>
    </w:p>
    <w:p w14:paraId="43FBC2BF">
      <w:pPr>
        <w:snapToGrid w:val="0"/>
        <w:spacing w:line="360" w:lineRule="auto"/>
        <w:ind w:firstLine="472" w:firstLineChars="225"/>
        <w:rPr>
          <w:rFonts w:ascii="宋体" w:hAnsi="宋体"/>
          <w:color w:val="auto"/>
          <w:szCs w:val="21"/>
          <w:highlight w:val="none"/>
        </w:rPr>
      </w:pPr>
      <w:r>
        <w:rPr>
          <w:rFonts w:hint="eastAsia" w:ascii="宋体" w:hAnsi="宋体"/>
          <w:color w:val="auto"/>
          <w:szCs w:val="21"/>
          <w:highlight w:val="none"/>
        </w:rPr>
        <w:t>时间：自公告发布之日起。</w:t>
      </w:r>
    </w:p>
    <w:p w14:paraId="2C6AFD7E">
      <w:pPr>
        <w:spacing w:line="360" w:lineRule="auto"/>
        <w:ind w:firstLine="420" w:firstLineChars="200"/>
        <w:rPr>
          <w:rFonts w:ascii="黑体" w:hAnsi="黑体" w:eastAsia="黑体"/>
          <w:b/>
          <w:bCs/>
          <w:color w:val="auto"/>
          <w:sz w:val="24"/>
          <w:highlight w:val="none"/>
        </w:rPr>
      </w:pPr>
      <w:r>
        <w:rPr>
          <w:rFonts w:hint="eastAsia" w:ascii="宋体" w:hAnsi="宋体"/>
          <w:color w:val="auto"/>
          <w:szCs w:val="21"/>
          <w:highlight w:val="none"/>
        </w:rPr>
        <w:t>获取方式：网上下载。本项目不发放纸质文件，供应商可自行在广西政府采购云平台（https://www.gcy.zfcg.gxzf.gov.cn/）下载招标文件（操作路径：登录广西政府采购云平台-项目采购-获取采购文件-找到本项目-点击“申请获取采购文件”），电子投标文件制作需要基于广西政府采购云平台获取的招标文件编制。</w:t>
      </w:r>
    </w:p>
    <w:p w14:paraId="1F8B9807">
      <w:pPr>
        <w:snapToGrid w:val="0"/>
        <w:spacing w:line="360" w:lineRule="auto"/>
        <w:ind w:firstLine="472" w:firstLineChars="225"/>
        <w:rPr>
          <w:rFonts w:ascii="宋体" w:hAnsi="宋体"/>
          <w:color w:val="auto"/>
          <w:szCs w:val="21"/>
          <w:highlight w:val="none"/>
        </w:rPr>
      </w:pPr>
      <w:r>
        <w:rPr>
          <w:rFonts w:hint="eastAsia" w:ascii="宋体" w:hAnsi="宋体"/>
          <w:color w:val="auto"/>
          <w:szCs w:val="21"/>
          <w:highlight w:val="none"/>
        </w:rPr>
        <w:t>售价：0元。</w:t>
      </w:r>
    </w:p>
    <w:p w14:paraId="4954026F">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四、提交投标文件截止时间、开标时间和地点</w:t>
      </w:r>
    </w:p>
    <w:p w14:paraId="36EE3783">
      <w:pPr>
        <w:spacing w:line="360" w:lineRule="auto"/>
        <w:ind w:firstLine="420" w:firstLineChars="200"/>
        <w:rPr>
          <w:rFonts w:ascii="宋体" w:hAnsi="宋体" w:cs="宋体"/>
          <w:color w:val="auto"/>
          <w:szCs w:val="21"/>
          <w:highlight w:val="none"/>
          <w:u w:val="single"/>
        </w:rPr>
      </w:pPr>
      <w:r>
        <w:rPr>
          <w:rFonts w:hint="eastAsia" w:ascii="宋体" w:hAnsi="宋体"/>
          <w:bCs/>
          <w:color w:val="auto"/>
          <w:szCs w:val="21"/>
          <w:highlight w:val="none"/>
          <w:lang w:eastAsia="zh-CN"/>
        </w:rPr>
        <w:t>1.</w:t>
      </w:r>
      <w:r>
        <w:rPr>
          <w:rFonts w:hint="eastAsia" w:ascii="宋体" w:hAnsi="宋体"/>
          <w:bCs/>
          <w:color w:val="auto"/>
          <w:szCs w:val="21"/>
          <w:highlight w:val="none"/>
        </w:rPr>
        <w:t>提交投标文件截止时间和开标时间：</w:t>
      </w:r>
      <w:r>
        <w:rPr>
          <w:rFonts w:hint="eastAsia" w:ascii="宋体" w:hAnsi="宋体"/>
          <w:bCs/>
          <w:color w:val="auto"/>
          <w:szCs w:val="21"/>
          <w:highlight w:val="none"/>
          <w:u w:val="single"/>
        </w:rPr>
        <w:t>2026年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28</w:t>
      </w:r>
      <w:r>
        <w:rPr>
          <w:rFonts w:hint="eastAsia" w:ascii="宋体" w:hAnsi="宋体"/>
          <w:bCs/>
          <w:color w:val="auto"/>
          <w:szCs w:val="21"/>
          <w:highlight w:val="none"/>
          <w:u w:val="single"/>
        </w:rPr>
        <w:t>日09时30分</w:t>
      </w:r>
      <w:r>
        <w:rPr>
          <w:rFonts w:hint="eastAsia" w:ascii="宋体" w:hAnsi="宋体"/>
          <w:bCs/>
          <w:color w:val="auto"/>
          <w:szCs w:val="21"/>
          <w:highlight w:val="none"/>
        </w:rPr>
        <w:t>（北京时间）</w:t>
      </w:r>
    </w:p>
    <w:p w14:paraId="6BD4789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eastAsia="zh-CN"/>
        </w:rPr>
        <w:t>2.</w:t>
      </w:r>
      <w:r>
        <w:rPr>
          <w:rFonts w:hint="eastAsia" w:ascii="宋体" w:hAnsi="宋体"/>
          <w:color w:val="auto"/>
          <w:szCs w:val="21"/>
          <w:highlight w:val="none"/>
        </w:rPr>
        <w:t>投标和开标地点：</w:t>
      </w:r>
    </w:p>
    <w:p w14:paraId="512387E2">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投标文件提交方式：本项目为南宁市全流程电子化项目，通过广西政府采购云平台（https://www.gcy.zfcg.gxzf.gov.cn/）实行在线电子投标，供应商应先安装“政采云电子交易客户端”（请自行前往广西政府采购云平台进行下载），并按照本项目招标文件和广西政府采购云平台的要求编制、加密后在投标截止时间前通过网络上传至南宁市广西政府采购云平台，</w:t>
      </w:r>
      <w:r>
        <w:rPr>
          <w:rFonts w:hint="eastAsia" w:ascii="宋体" w:hAnsi="宋体"/>
          <w:b/>
          <w:color w:val="auto"/>
          <w:szCs w:val="21"/>
          <w:highlight w:val="none"/>
        </w:rPr>
        <w:t>供应商在广西政府采购云平台提交电子版投标文件时，请填写参加远程开标活动经办人联系方式，</w:t>
      </w:r>
      <w:r>
        <w:rPr>
          <w:rFonts w:hint="eastAsia" w:ascii="宋体" w:hAnsi="宋体"/>
          <w:color w:val="auto"/>
          <w:szCs w:val="21"/>
          <w:highlight w:val="none"/>
        </w:rPr>
        <w:t>电子投标具体操作流程详见本公告附件2。</w:t>
      </w:r>
    </w:p>
    <w:p w14:paraId="5B20BE25">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1）及投标文件的提交。完成CA数字证书办理预计7日左右，</w:t>
      </w:r>
      <w:r>
        <w:rPr>
          <w:rFonts w:hint="eastAsia" w:ascii="宋体" w:hAnsi="宋体" w:cs="宋体"/>
          <w:color w:val="auto"/>
          <w:szCs w:val="21"/>
          <w:highlight w:val="none"/>
        </w:rPr>
        <w:t>投标人只需办理其中一家CA数字证书及签章，</w:t>
      </w:r>
      <w:r>
        <w:rPr>
          <w:rFonts w:hint="eastAsia" w:ascii="宋体" w:hAnsi="宋体"/>
          <w:color w:val="auto"/>
          <w:szCs w:val="21"/>
          <w:highlight w:val="none"/>
        </w:rPr>
        <w:t>建议各投标人抓紧时间办理。</w:t>
      </w:r>
    </w:p>
    <w:p w14:paraId="122B7181">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（3）为确保网上操作合法、有效和安全，请投标供应商确保在电子投标过程中能够对相关数据电文进行加密和使用电子签章，妥善保管CA数字证书并使用有效的CA数字证书参与整个招标活动。</w:t>
      </w:r>
    </w:p>
    <w:p w14:paraId="27AE1019">
      <w:pPr>
        <w:spacing w:line="360" w:lineRule="auto"/>
        <w:ind w:firstLine="420" w:firstLineChars="200"/>
        <w:rPr>
          <w:rFonts w:ascii="宋体" w:hAnsi="宋体"/>
          <w:bCs/>
          <w:color w:val="auto"/>
          <w:szCs w:val="21"/>
          <w:highlight w:val="none"/>
          <w:u w:val="single"/>
        </w:rPr>
      </w:pPr>
      <w:r>
        <w:rPr>
          <w:rFonts w:hint="eastAsia" w:ascii="宋体" w:hAnsi="宋体"/>
          <w:bCs/>
          <w:color w:val="auto"/>
          <w:szCs w:val="21"/>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5BAC4554">
      <w:pPr>
        <w:widowControl/>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（4）开标地点：本次招标将于</w:t>
      </w:r>
      <w:r>
        <w:rPr>
          <w:rFonts w:hint="eastAsia" w:ascii="宋体" w:hAnsi="宋体"/>
          <w:bCs/>
          <w:color w:val="auto"/>
          <w:szCs w:val="21"/>
          <w:highlight w:val="none"/>
          <w:u w:val="single"/>
        </w:rPr>
        <w:t>2026年</w:t>
      </w:r>
      <w:r>
        <w:rPr>
          <w:rFonts w:hint="eastAsia" w:ascii="宋体" w:hAnsi="宋体"/>
          <w:bCs/>
          <w:color w:val="auto"/>
          <w:szCs w:val="21"/>
          <w:highlight w:val="none"/>
          <w:u w:val="single"/>
          <w:lang w:val="en-US" w:eastAsia="zh-CN"/>
        </w:rPr>
        <w:t>8</w:t>
      </w:r>
      <w:r>
        <w:rPr>
          <w:rFonts w:hint="eastAsia" w:ascii="宋体" w:hAnsi="宋体"/>
          <w:bCs/>
          <w:color w:val="auto"/>
          <w:szCs w:val="21"/>
          <w:highlight w:val="none"/>
          <w:u w:val="single"/>
        </w:rPr>
        <w:t>月</w:t>
      </w:r>
      <w:r>
        <w:rPr>
          <w:rFonts w:hint="eastAsia" w:ascii="宋体" w:hAnsi="宋体"/>
          <w:bCs/>
          <w:color w:val="auto"/>
          <w:szCs w:val="21"/>
          <w:highlight w:val="none"/>
          <w:u w:val="single"/>
          <w:lang w:val="en-US" w:eastAsia="zh-CN"/>
        </w:rPr>
        <w:t>28</w:t>
      </w:r>
      <w:r>
        <w:rPr>
          <w:rFonts w:hint="eastAsia" w:ascii="宋体" w:hAnsi="宋体"/>
          <w:bCs/>
          <w:color w:val="auto"/>
          <w:szCs w:val="21"/>
          <w:highlight w:val="none"/>
          <w:u w:val="single"/>
        </w:rPr>
        <w:t>日09时30分</w:t>
      </w:r>
      <w:r>
        <w:rPr>
          <w:rFonts w:hint="eastAsia" w:ascii="宋体" w:hAnsi="宋体"/>
          <w:color w:val="auto"/>
          <w:szCs w:val="21"/>
          <w:highlight w:val="none"/>
        </w:rPr>
        <w:t>在广西政府采购云平台电子开标大厅开标。</w:t>
      </w:r>
    </w:p>
    <w:p w14:paraId="7AEC94D5">
      <w:pPr>
        <w:widowControl/>
        <w:spacing w:line="360" w:lineRule="auto"/>
        <w:ind w:firstLine="420" w:firstLineChars="200"/>
        <w:jc w:val="left"/>
        <w:rPr>
          <w:rFonts w:ascii="宋体" w:hAnsi="宋体" w:cs="宋体"/>
          <w:color w:val="auto"/>
          <w:kern w:val="0"/>
          <w:szCs w:val="21"/>
          <w:highlight w:val="none"/>
        </w:rPr>
      </w:pPr>
      <w:r>
        <w:rPr>
          <w:rFonts w:hint="eastAsia" w:ascii="宋体" w:hAnsi="宋体"/>
          <w:color w:val="auto"/>
          <w:szCs w:val="21"/>
          <w:highlight w:val="none"/>
        </w:rPr>
        <w:t>（5）CA证书在线解密：供应商投标时，需携带制作投标文件时用来加密的有效数字证书</w:t>
      </w:r>
      <w:r>
        <w:rPr>
          <w:rFonts w:hint="eastAsia" w:ascii="宋体" w:hAnsi="宋体"/>
          <w:color w:val="auto"/>
          <w:szCs w:val="21"/>
          <w:highlight w:val="none"/>
          <w:lang w:eastAsia="zh-CN"/>
        </w:rPr>
        <w:t>（</w:t>
      </w:r>
      <w:r>
        <w:rPr>
          <w:rFonts w:hint="eastAsia" w:ascii="宋体" w:hAnsi="宋体"/>
          <w:color w:val="auto"/>
          <w:szCs w:val="21"/>
          <w:highlight w:val="none"/>
        </w:rPr>
        <w:t>CA认证</w:t>
      </w:r>
      <w:r>
        <w:rPr>
          <w:rFonts w:hint="eastAsia" w:ascii="宋体" w:hAnsi="宋体"/>
          <w:color w:val="auto"/>
          <w:szCs w:val="21"/>
          <w:highlight w:val="none"/>
          <w:lang w:eastAsia="zh-CN"/>
        </w:rPr>
        <w:t>）</w:t>
      </w:r>
      <w:r>
        <w:rPr>
          <w:rFonts w:hint="eastAsia" w:ascii="宋体" w:hAnsi="宋体"/>
          <w:color w:val="auto"/>
          <w:szCs w:val="21"/>
          <w:highlight w:val="none"/>
        </w:rPr>
        <w:t>登录广西政府采购云平台电子开标大厅现场按规定时间对加密的投标文件进行解密，未能按要求进行解密的，由此产生的后果由投标人自行承担</w:t>
      </w:r>
      <w:r>
        <w:rPr>
          <w:rFonts w:hint="eastAsia" w:ascii="宋体" w:hAnsi="宋体" w:cs="宋体"/>
          <w:color w:val="auto"/>
          <w:kern w:val="0"/>
          <w:szCs w:val="21"/>
          <w:highlight w:val="none"/>
        </w:rPr>
        <w:t>。</w:t>
      </w:r>
    </w:p>
    <w:p w14:paraId="6116B01B">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五、公告期限</w:t>
      </w:r>
    </w:p>
    <w:p w14:paraId="3E6ED80C">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3D630ED7">
      <w:pPr>
        <w:spacing w:line="360" w:lineRule="auto"/>
        <w:rPr>
          <w:rFonts w:ascii="黑体" w:hAnsi="黑体" w:eastAsia="黑体"/>
          <w:b/>
          <w:bCs/>
          <w:color w:val="auto"/>
          <w:sz w:val="24"/>
          <w:highlight w:val="none"/>
        </w:rPr>
      </w:pPr>
      <w:r>
        <w:rPr>
          <w:rFonts w:hint="eastAsia" w:ascii="黑体" w:hAnsi="黑体" w:eastAsia="黑体"/>
          <w:b/>
          <w:bCs/>
          <w:color w:val="auto"/>
          <w:sz w:val="24"/>
          <w:highlight w:val="none"/>
        </w:rPr>
        <w:t>六、其他补充事宜</w:t>
      </w:r>
    </w:p>
    <w:p w14:paraId="1C3D16B7">
      <w:pPr>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1.投标保证金：本项目不收取投标保证金</w:t>
      </w:r>
    </w:p>
    <w:p w14:paraId="6E9D1E54">
      <w:pPr>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2.采购意向公开链接：</w:t>
      </w:r>
    </w:p>
    <w:p w14:paraId="1CA17108">
      <w:pPr>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https://zfcg.gxzf.gov.cn/luban/detail?parentId=66485&amp;articleId=ann_Q25V95GRETCc4rqdJfb2cdD5ndTMr3NGt5TILBJnhQo=&amp;utm=web-micro-app-back-front.53b92544.cPlanInfo.3.aa88d2f0923d11f1b86e1d87bdee5ec3</w:t>
      </w:r>
      <w:bookmarkStart w:id="39" w:name="_GoBack"/>
      <w:bookmarkEnd w:id="39"/>
    </w:p>
    <w:p w14:paraId="787A04C3">
      <w:pPr>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3.网上查询地址</w:t>
      </w:r>
    </w:p>
    <w:p w14:paraId="7C15AA44">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http://www.ccgp.gov.cn</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中国政府采购网</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、http://zfcg.gxzf.gov.cn/</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广西壮族自治区政府采购网</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、http://ggzy.jgswj.gxzf.gov.cn/nnggzy/（全国公共资源交易平台</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广西·南宁））</w:t>
      </w:r>
    </w:p>
    <w:p w14:paraId="6631F59A">
      <w:pPr>
        <w:spacing w:line="360" w:lineRule="auto"/>
        <w:ind w:firstLine="315" w:firstLineChars="150"/>
        <w:rPr>
          <w:rFonts w:ascii="宋体" w:hAnsi="宋体" w:cs="宋体"/>
          <w:color w:val="auto"/>
          <w:kern w:val="0"/>
          <w:szCs w:val="21"/>
          <w:highlight w:val="none"/>
        </w:rPr>
      </w:pPr>
      <w:r>
        <w:rPr>
          <w:rFonts w:hint="eastAsia" w:ascii="宋体" w:hAnsi="宋体"/>
          <w:color w:val="auto"/>
          <w:szCs w:val="21"/>
          <w:highlight w:val="none"/>
        </w:rPr>
        <w:t>4.</w:t>
      </w:r>
      <w:r>
        <w:rPr>
          <w:rFonts w:hint="eastAsia" w:ascii="宋体" w:hAnsi="宋体" w:cs="宋体"/>
          <w:color w:val="auto"/>
          <w:kern w:val="0"/>
          <w:szCs w:val="21"/>
          <w:highlight w:val="none"/>
        </w:rPr>
        <w:t>本项目需要落实的政府采购政策：</w:t>
      </w:r>
    </w:p>
    <w:p w14:paraId="25A7FB60">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386350F7">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5525EB52">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2AC18F9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5EAE75C9">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p w14:paraId="65E9895E">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（6）扶持不发达地区和少数民族地区政策。</w:t>
      </w:r>
    </w:p>
    <w:p w14:paraId="4B47C3D3">
      <w:pPr>
        <w:spacing w:line="360" w:lineRule="auto"/>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1B3045FA">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6.若对项目采购电子交易系统操作有疑问，可登录广西政府采购云平台（https://www.gcy.zfcg.gxzf.gov.cn/），点击右侧咨询小采，获取采小蜜智能服务管家帮助，或拨打政采云服务热线95763获取热线服务帮助。</w:t>
      </w:r>
    </w:p>
    <w:p w14:paraId="25F956DF">
      <w:pPr>
        <w:spacing w:line="360" w:lineRule="auto"/>
        <w:rPr>
          <w:rFonts w:ascii="宋体" w:hAnsi="宋体" w:cs="宋体"/>
          <w:color w:val="auto"/>
          <w:kern w:val="0"/>
          <w:szCs w:val="21"/>
          <w:highlight w:val="none"/>
        </w:rPr>
      </w:pPr>
      <w:r>
        <w:rPr>
          <w:rFonts w:hint="eastAsia" w:ascii="黑体" w:hAnsi="黑体" w:eastAsia="黑体"/>
          <w:b/>
          <w:bCs/>
          <w:color w:val="auto"/>
          <w:sz w:val="24"/>
          <w:highlight w:val="none"/>
        </w:rPr>
        <w:t>七、对本次招标提出询问，请按以下方式联系。</w:t>
      </w:r>
    </w:p>
    <w:p w14:paraId="698674B0">
      <w:pPr>
        <w:spacing w:line="360" w:lineRule="auto"/>
        <w:ind w:firstLine="420" w:firstLineChars="200"/>
        <w:rPr>
          <w:rFonts w:ascii="宋体" w:hAnsi="宋体"/>
          <w:color w:val="auto"/>
          <w:szCs w:val="21"/>
          <w:highlight w:val="none"/>
        </w:rPr>
      </w:pPr>
      <w:r>
        <w:rPr>
          <w:rFonts w:hint="eastAsia" w:ascii="宋体" w:hAnsi="宋体" w:cs="宋体"/>
          <w:color w:val="auto"/>
          <w:kern w:val="0"/>
          <w:szCs w:val="21"/>
          <w:highlight w:val="none"/>
        </w:rPr>
        <w:t>1</w:t>
      </w:r>
      <w:r>
        <w:rPr>
          <w:rFonts w:hint="eastAsia" w:ascii="宋体" w:hAnsi="宋体" w:cs="宋体"/>
          <w:color w:val="auto"/>
          <w:szCs w:val="21"/>
          <w:highlight w:val="none"/>
        </w:rPr>
        <w:t>.采购人信息</w:t>
      </w:r>
    </w:p>
    <w:p w14:paraId="66376F4F">
      <w:pPr>
        <w:spacing w:line="360" w:lineRule="auto"/>
        <w:ind w:left="1041" w:leftChars="371" w:hanging="262" w:hangingChars="125"/>
        <w:jc w:val="left"/>
        <w:rPr>
          <w:rFonts w:ascii="宋体" w:hAnsi="宋体"/>
          <w:color w:val="auto"/>
          <w:szCs w:val="21"/>
          <w:highlight w:val="none"/>
          <w:u w:val="single"/>
        </w:rPr>
      </w:pPr>
      <w:r>
        <w:rPr>
          <w:rFonts w:hint="eastAsia" w:ascii="宋体" w:hAnsi="宋体"/>
          <w:color w:val="auto"/>
          <w:szCs w:val="21"/>
          <w:highlight w:val="none"/>
        </w:rPr>
        <w:t>名称：</w:t>
      </w:r>
      <w:r>
        <w:rPr>
          <w:rFonts w:hint="eastAsia" w:ascii="宋体" w:hAnsi="宋体"/>
          <w:color w:val="auto"/>
          <w:szCs w:val="21"/>
          <w:highlight w:val="none"/>
          <w:u w:val="single"/>
        </w:rPr>
        <w:t>宾阳县就业服务中心</w:t>
      </w:r>
    </w:p>
    <w:p w14:paraId="77B60EB3">
      <w:pPr>
        <w:spacing w:line="360" w:lineRule="auto"/>
        <w:ind w:left="1041" w:leftChars="371" w:hanging="262" w:hangingChars="125"/>
        <w:jc w:val="left"/>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s="Helvetica"/>
          <w:color w:val="auto"/>
          <w:szCs w:val="21"/>
          <w:highlight w:val="none"/>
          <w:u w:val="single"/>
        </w:rPr>
        <w:t>宾阳县宾州镇临浦路457号</w:t>
      </w:r>
    </w:p>
    <w:p w14:paraId="1E5EE38A">
      <w:pPr>
        <w:pStyle w:val="14"/>
        <w:spacing w:line="360" w:lineRule="auto"/>
        <w:ind w:firstLine="735" w:firstLineChars="350"/>
        <w:rPr>
          <w:rFonts w:hAnsi="宋体"/>
          <w:color w:val="auto"/>
          <w:highlight w:val="none"/>
          <w:u w:val="single"/>
        </w:rPr>
      </w:pPr>
      <w:r>
        <w:rPr>
          <w:rFonts w:hint="eastAsia" w:hAnsi="宋体"/>
          <w:color w:val="auto"/>
          <w:highlight w:val="none"/>
        </w:rPr>
        <w:t>项目联系人：蒋秋玲</w:t>
      </w:r>
    </w:p>
    <w:p w14:paraId="394BD803">
      <w:pPr>
        <w:spacing w:line="360" w:lineRule="auto"/>
        <w:ind w:left="1041" w:leftChars="371" w:hanging="262" w:hangingChars="125"/>
        <w:jc w:val="left"/>
        <w:rPr>
          <w:rFonts w:ascii="宋体" w:hAnsi="宋体"/>
          <w:color w:val="auto"/>
          <w:szCs w:val="21"/>
          <w:highlight w:val="none"/>
          <w:u w:val="single"/>
        </w:rPr>
      </w:pPr>
      <w:r>
        <w:rPr>
          <w:rFonts w:hint="eastAsia" w:ascii="宋体" w:hAnsi="宋体"/>
          <w:color w:val="auto"/>
          <w:szCs w:val="21"/>
          <w:highlight w:val="none"/>
        </w:rPr>
        <w:t>联系电话：</w:t>
      </w:r>
      <w:r>
        <w:rPr>
          <w:rFonts w:hint="eastAsia"/>
          <w:color w:val="auto"/>
          <w:highlight w:val="none"/>
        </w:rPr>
        <w:t>8221826</w:t>
      </w:r>
    </w:p>
    <w:p w14:paraId="2DAAAB61">
      <w:pPr>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2.采购代理机构信息</w:t>
      </w:r>
    </w:p>
    <w:p w14:paraId="077D7C3D">
      <w:pPr>
        <w:spacing w:line="360" w:lineRule="auto"/>
        <w:ind w:firstLine="735" w:firstLineChars="350"/>
        <w:rPr>
          <w:rFonts w:ascii="宋体" w:hAnsi="宋体"/>
          <w:color w:val="auto"/>
          <w:szCs w:val="21"/>
          <w:highlight w:val="none"/>
          <w:u w:val="single"/>
        </w:rPr>
      </w:pPr>
      <w:r>
        <w:rPr>
          <w:rFonts w:hint="eastAsia" w:ascii="宋体" w:hAnsi="宋体"/>
          <w:color w:val="auto"/>
          <w:szCs w:val="21"/>
          <w:highlight w:val="none"/>
        </w:rPr>
        <w:t>名 称：</w:t>
      </w:r>
      <w:r>
        <w:rPr>
          <w:rFonts w:hint="eastAsia" w:ascii="宋体" w:hAnsi="宋体"/>
          <w:color w:val="auto"/>
          <w:szCs w:val="21"/>
          <w:highlight w:val="none"/>
          <w:u w:val="single"/>
        </w:rPr>
        <w:t>广西机电设备招标有限公司</w:t>
      </w:r>
    </w:p>
    <w:p w14:paraId="7413D506">
      <w:pPr>
        <w:spacing w:line="360" w:lineRule="auto"/>
        <w:ind w:firstLine="735" w:firstLineChars="350"/>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广西南宁市金湖路63号金源CBD现代城B座7层</w:t>
      </w:r>
    </w:p>
    <w:p w14:paraId="37E02F1B">
      <w:pPr>
        <w:spacing w:line="360" w:lineRule="auto"/>
        <w:ind w:firstLine="735" w:firstLineChars="350"/>
        <w:rPr>
          <w:rFonts w:ascii="宋体" w:hAnsi="宋体"/>
          <w:color w:val="auto"/>
          <w:szCs w:val="21"/>
          <w:highlight w:val="none"/>
        </w:rPr>
      </w:pPr>
      <w:r>
        <w:rPr>
          <w:rFonts w:hint="eastAsia" w:ascii="宋体" w:hAnsi="宋体"/>
          <w:color w:val="auto"/>
          <w:szCs w:val="21"/>
          <w:highlight w:val="none"/>
        </w:rPr>
        <w:t>联系电话：</w:t>
      </w:r>
      <w:r>
        <w:rPr>
          <w:rFonts w:hint="eastAsia" w:ascii="宋体" w:hAnsi="宋体"/>
          <w:color w:val="auto"/>
          <w:szCs w:val="21"/>
          <w:highlight w:val="none"/>
          <w:u w:val="single"/>
        </w:rPr>
        <w:t>0771-2833821</w:t>
      </w:r>
    </w:p>
    <w:p w14:paraId="2E7BF64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项目联系方式</w:t>
      </w:r>
    </w:p>
    <w:p w14:paraId="64A2CE1D">
      <w:pPr>
        <w:spacing w:line="360" w:lineRule="auto"/>
        <w:ind w:firstLine="735" w:firstLineChars="350"/>
        <w:rPr>
          <w:rFonts w:hint="eastAsia" w:ascii="宋体" w:hAnsi="宋体" w:eastAsia="宋体"/>
          <w:color w:val="auto"/>
          <w:szCs w:val="21"/>
          <w:highlight w:val="none"/>
          <w:lang w:eastAsia="zh-CN"/>
        </w:rPr>
      </w:pPr>
      <w:r>
        <w:rPr>
          <w:rFonts w:hint="eastAsia" w:ascii="宋体" w:hAnsi="宋体"/>
          <w:color w:val="auto"/>
          <w:szCs w:val="21"/>
          <w:highlight w:val="none"/>
        </w:rPr>
        <w:t>项目联系人：</w:t>
      </w:r>
      <w:r>
        <w:rPr>
          <w:rFonts w:hint="eastAsia" w:ascii="宋体" w:hAnsi="宋体"/>
          <w:color w:val="auto"/>
          <w:szCs w:val="21"/>
          <w:highlight w:val="none"/>
          <w:u w:val="single"/>
        </w:rPr>
        <w:t>杨钊、</w:t>
      </w:r>
      <w:r>
        <w:rPr>
          <w:rFonts w:hint="eastAsia" w:ascii="宋体" w:hAnsi="宋体"/>
          <w:color w:val="auto"/>
          <w:szCs w:val="21"/>
          <w:highlight w:val="none"/>
          <w:u w:val="single"/>
          <w:lang w:val="en-US" w:eastAsia="zh-CN"/>
        </w:rPr>
        <w:t>苏畅</w:t>
      </w:r>
    </w:p>
    <w:p w14:paraId="54CA18B5">
      <w:pPr>
        <w:spacing w:line="360" w:lineRule="auto"/>
        <w:ind w:firstLine="735" w:firstLineChars="350"/>
        <w:rPr>
          <w:rFonts w:ascii="宋体" w:hAnsi="宋体"/>
          <w:color w:val="auto"/>
          <w:szCs w:val="21"/>
          <w:highlight w:val="non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0771-2833821</w:t>
      </w:r>
    </w:p>
    <w:p w14:paraId="6822C05A">
      <w:pPr>
        <w:spacing w:line="360" w:lineRule="auto"/>
        <w:ind w:firstLine="735" w:firstLineChars="350"/>
        <w:rPr>
          <w:rFonts w:ascii="宋体" w:hAnsi="宋体"/>
          <w:color w:val="auto"/>
          <w:szCs w:val="21"/>
          <w:highlight w:val="none"/>
        </w:rPr>
      </w:pPr>
    </w:p>
    <w:p w14:paraId="183A2C6B">
      <w:pPr>
        <w:rPr>
          <w:rFonts w:ascii="宋体" w:hAnsi="宋体"/>
          <w:color w:val="auto"/>
          <w:szCs w:val="21"/>
          <w:highlight w:val="none"/>
        </w:rPr>
      </w:pPr>
    </w:p>
    <w:p w14:paraId="0AC6B1AF">
      <w:pPr>
        <w:pStyle w:val="11"/>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附件：1.CA证书申请方式及操作指南下载地址(</w:t>
      </w:r>
      <w:r>
        <w:rPr>
          <w:rFonts w:hint="eastAsia" w:ascii="宋体" w:hAnsi="宋体"/>
          <w:color w:val="auto"/>
          <w:szCs w:val="21"/>
          <w:highlight w:val="none"/>
          <w:lang w:eastAsia="zh-CN"/>
        </w:rPr>
        <w:t>登录</w:t>
      </w:r>
      <w:r>
        <w:rPr>
          <w:rFonts w:hint="eastAsia" w:ascii="宋体" w:hAnsi="宋体"/>
          <w:color w:val="auto"/>
          <w:szCs w:val="21"/>
          <w:highlight w:val="none"/>
        </w:rPr>
        <w:t xml:space="preserve">htp://ncz.nanning gov.cn/ </w:t>
      </w:r>
      <w:r>
        <w:rPr>
          <w:rFonts w:hint="eastAsia" w:ascii="宋体" w:hAnsi="宋体"/>
          <w:color w:val="auto"/>
          <w:szCs w:val="21"/>
          <w:highlight w:val="none"/>
          <w:lang w:eastAsia="zh-CN"/>
        </w:rPr>
        <w:t>（</w:t>
      </w:r>
      <w:r>
        <w:rPr>
          <w:rFonts w:hint="eastAsia" w:ascii="宋体" w:hAnsi="宋体"/>
          <w:color w:val="auto"/>
          <w:szCs w:val="21"/>
          <w:highlight w:val="none"/>
        </w:rPr>
        <w:t>南宁市财政局宜网业务专题-政府采购监督管理资料下载-“广西政采云西部CA办理方式”或“南宁市政采云CA证书办理操作指南”</w:t>
      </w:r>
      <w:r>
        <w:rPr>
          <w:rFonts w:hint="eastAsia" w:ascii="宋体" w:hAnsi="宋体"/>
          <w:color w:val="auto"/>
          <w:szCs w:val="21"/>
          <w:highlight w:val="none"/>
          <w:lang w:eastAsia="zh-CN"/>
        </w:rPr>
        <w:t>）</w:t>
      </w:r>
    </w:p>
    <w:p w14:paraId="039B2B85">
      <w:pPr>
        <w:pStyle w:val="11"/>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2.电子投标文件制作与投送教程</w:t>
      </w:r>
      <w:r>
        <w:rPr>
          <w:rFonts w:hint="eastAsia" w:ascii="宋体" w:hAnsi="宋体"/>
          <w:color w:val="auto"/>
          <w:szCs w:val="21"/>
          <w:highlight w:val="none"/>
          <w:lang w:eastAsia="zh-CN"/>
        </w:rPr>
        <w:t>（</w:t>
      </w:r>
      <w:r>
        <w:rPr>
          <w:rFonts w:hint="eastAsia" w:ascii="宋体" w:hAnsi="宋体"/>
          <w:color w:val="auto"/>
          <w:szCs w:val="21"/>
          <w:highlight w:val="none"/>
        </w:rPr>
        <w:t>在此网址下载</w:t>
      </w:r>
      <w:r>
        <w:rPr>
          <w:rFonts w:hint="eastAsia" w:ascii="宋体" w:hAnsi="宋体"/>
          <w:color w:val="auto"/>
          <w:szCs w:val="21"/>
          <w:highlight w:val="none"/>
          <w:lang w:eastAsia="zh-CN"/>
        </w:rPr>
        <w:t>：</w:t>
      </w:r>
      <w:r>
        <w:rPr>
          <w:rFonts w:hint="eastAsia" w:ascii="宋体" w:hAnsi="宋体"/>
          <w:color w:val="auto"/>
          <w:szCs w:val="21"/>
          <w:highlight w:val="none"/>
        </w:rPr>
        <w:t xml:space="preserve"> htp://nncz.nanning.gov.cn/ </w:t>
      </w:r>
      <w:r>
        <w:rPr>
          <w:rFonts w:hint="eastAsia" w:ascii="宋体" w:hAnsi="宋体"/>
          <w:color w:val="auto"/>
          <w:szCs w:val="21"/>
          <w:highlight w:val="none"/>
          <w:lang w:eastAsia="zh-CN"/>
        </w:rPr>
        <w:t>（</w:t>
      </w:r>
      <w:r>
        <w:rPr>
          <w:rFonts w:hint="eastAsia" w:ascii="宋体" w:hAnsi="宋体"/>
          <w:color w:val="auto"/>
          <w:szCs w:val="21"/>
          <w:highlight w:val="none"/>
        </w:rPr>
        <w:t>南宁市财政局官网</w:t>
      </w:r>
      <w:r>
        <w:rPr>
          <w:rFonts w:hint="eastAsia" w:ascii="宋体" w:hAnsi="宋体"/>
          <w:color w:val="auto"/>
          <w:szCs w:val="21"/>
          <w:highlight w:val="none"/>
          <w:lang w:eastAsia="zh-CN"/>
        </w:rPr>
        <w:t>）</w:t>
      </w:r>
      <w:r>
        <w:rPr>
          <w:rFonts w:hint="eastAsia" w:ascii="宋体" w:hAnsi="宋体"/>
          <w:color w:val="auto"/>
          <w:szCs w:val="21"/>
          <w:highlight w:val="none"/>
        </w:rPr>
        <w:t>一业务专题-政府采购监督管理资料下载-南宁市政府采购项目全流程电子化交易操作指南</w:t>
      </w:r>
      <w:r>
        <w:rPr>
          <w:rFonts w:hint="eastAsia" w:ascii="宋体" w:hAnsi="宋体"/>
          <w:color w:val="auto"/>
          <w:szCs w:val="21"/>
          <w:highlight w:val="none"/>
          <w:lang w:eastAsia="zh-CN"/>
        </w:rPr>
        <w:t>）</w:t>
      </w:r>
    </w:p>
    <w:p w14:paraId="72E12F7B">
      <w:pPr>
        <w:pStyle w:val="11"/>
        <w:spacing w:line="360" w:lineRule="auto"/>
        <w:ind w:firstLine="420" w:firstLineChars="200"/>
        <w:rPr>
          <w:rFonts w:ascii="宋体" w:hAnsi="宋体"/>
          <w:color w:val="auto"/>
          <w:szCs w:val="21"/>
          <w:highlight w:val="none"/>
        </w:rPr>
      </w:pPr>
    </w:p>
    <w:p w14:paraId="43E77B4B">
      <w:pPr>
        <w:spacing w:line="360" w:lineRule="auto"/>
        <w:rPr>
          <w:rFonts w:ascii="宋体" w:hAnsi="宋体"/>
          <w:color w:val="auto"/>
          <w:szCs w:val="21"/>
          <w:highlight w:val="none"/>
        </w:rPr>
      </w:pPr>
    </w:p>
    <w:p w14:paraId="2271BE98">
      <w:pPr>
        <w:spacing w:line="360" w:lineRule="auto"/>
        <w:jc w:val="right"/>
        <w:rPr>
          <w:rFonts w:ascii="宋体" w:hAnsi="宋体"/>
          <w:color w:val="auto"/>
          <w:szCs w:val="21"/>
          <w:highlight w:val="none"/>
        </w:rPr>
      </w:pPr>
      <w:r>
        <w:rPr>
          <w:rFonts w:hint="eastAsia" w:ascii="宋体" w:hAnsi="宋体"/>
          <w:color w:val="auto"/>
          <w:szCs w:val="21"/>
          <w:highlight w:val="none"/>
          <w:u w:val="single"/>
        </w:rPr>
        <w:t>广西机电设备招标有限公司</w:t>
      </w:r>
    </w:p>
    <w:p w14:paraId="00A9989A">
      <w:pPr>
        <w:spacing w:line="360" w:lineRule="auto"/>
        <w:ind w:firstLine="210" w:firstLineChars="100"/>
        <w:jc w:val="right"/>
        <w:rPr>
          <w:rFonts w:ascii="宋体" w:hAnsi="宋体"/>
          <w:color w:val="auto"/>
          <w:highlight w:val="none"/>
        </w:rPr>
      </w:pPr>
      <w:r>
        <w:rPr>
          <w:rFonts w:hint="eastAsia" w:ascii="宋体" w:hAnsi="宋体"/>
          <w:color w:val="auto"/>
          <w:szCs w:val="21"/>
          <w:highlight w:val="none"/>
          <w:u w:val="single"/>
        </w:rPr>
        <w:t>2026年</w:t>
      </w:r>
      <w:r>
        <w:rPr>
          <w:rFonts w:hint="eastAsia" w:ascii="宋体" w:hAnsi="宋体"/>
          <w:color w:val="auto"/>
          <w:szCs w:val="21"/>
          <w:highlight w:val="none"/>
          <w:u w:val="single"/>
          <w:lang w:val="en-US" w:eastAsia="zh-CN"/>
        </w:rPr>
        <w:t>8</w:t>
      </w:r>
      <w:r>
        <w:rPr>
          <w:rFonts w:hint="eastAsia" w:ascii="宋体" w:hAnsi="宋体"/>
          <w:color w:val="auto"/>
          <w:szCs w:val="21"/>
          <w:highlight w:val="none"/>
          <w:u w:val="single"/>
        </w:rPr>
        <w:t>月</w:t>
      </w:r>
      <w:r>
        <w:rPr>
          <w:rFonts w:hint="eastAsia" w:ascii="宋体" w:hAnsi="宋体"/>
          <w:color w:val="auto"/>
          <w:szCs w:val="21"/>
          <w:highlight w:val="none"/>
          <w:u w:val="single"/>
          <w:lang w:val="en-US" w:eastAsia="zh-CN"/>
        </w:rPr>
        <w:t>7</w:t>
      </w:r>
      <w:r>
        <w:rPr>
          <w:rFonts w:hint="eastAsia" w:ascii="宋体" w:hAnsi="宋体"/>
          <w:color w:val="auto"/>
          <w:szCs w:val="21"/>
          <w:highlight w:val="none"/>
          <w:u w:val="single"/>
        </w:rPr>
        <w:t>日</w:t>
      </w:r>
    </w:p>
    <w:p w14:paraId="054FF516">
      <w:pPr>
        <w:widowControl/>
        <w:spacing w:line="360" w:lineRule="auto"/>
        <w:jc w:val="left"/>
        <w:rPr>
          <w:rFonts w:ascii="宋体" w:hAnsi="宋体" w:cs="宋体"/>
          <w:color w:val="auto"/>
          <w:sz w:val="24"/>
          <w:highlight w:val="none"/>
          <w:lang w:val="zh-CN"/>
        </w:rPr>
        <w:sectPr>
          <w:footerReference r:id="rId5" w:type="default"/>
          <w:pgSz w:w="11906" w:h="16838"/>
          <w:pgMar w:top="1134" w:right="1134" w:bottom="1134" w:left="1134" w:header="720" w:footer="720" w:gutter="0"/>
          <w:pgNumType w:start="1"/>
          <w:cols w:space="720" w:num="1"/>
          <w:docGrid w:type="lines" w:linePitch="331" w:charSpace="0"/>
        </w:sectPr>
      </w:pPr>
    </w:p>
    <w:p w14:paraId="6779F5C1">
      <w:pPr>
        <w:pStyle w:val="14"/>
        <w:jc w:val="center"/>
        <w:outlineLvl w:val="0"/>
        <w:rPr>
          <w:rFonts w:ascii="Times New Roman" w:hAnsi="Times New Roman"/>
          <w:b/>
          <w:color w:val="auto"/>
          <w:sz w:val="36"/>
          <w:highlight w:val="none"/>
        </w:rPr>
      </w:pPr>
      <w:bookmarkStart w:id="7" w:name="_Toc12376"/>
      <w:r>
        <w:rPr>
          <w:rFonts w:hint="eastAsia" w:ascii="Times New Roman" w:hAnsi="Times New Roman"/>
          <w:b/>
          <w:color w:val="auto"/>
          <w:sz w:val="36"/>
          <w:highlight w:val="none"/>
        </w:rPr>
        <w:t>第二章</w:t>
      </w:r>
      <w:r>
        <w:rPr>
          <w:rFonts w:ascii="Times New Roman" w:hAnsi="Times New Roman"/>
          <w:b/>
          <w:color w:val="auto"/>
          <w:sz w:val="36"/>
          <w:highlight w:val="none"/>
        </w:rPr>
        <w:t xml:space="preserve">  </w:t>
      </w:r>
      <w:r>
        <w:rPr>
          <w:rFonts w:hint="eastAsia" w:ascii="Times New Roman" w:hAnsi="Times New Roman"/>
          <w:b/>
          <w:color w:val="auto"/>
          <w:sz w:val="36"/>
          <w:highlight w:val="none"/>
        </w:rPr>
        <w:t>采购需求</w:t>
      </w:r>
      <w:bookmarkEnd w:id="7"/>
    </w:p>
    <w:p w14:paraId="4CD5CB41">
      <w:pPr>
        <w:adjustRightInd w:val="0"/>
        <w:spacing w:line="340" w:lineRule="exact"/>
        <w:rPr>
          <w:rFonts w:hAnsi="宋体"/>
          <w:b/>
          <w:color w:val="auto"/>
          <w:szCs w:val="21"/>
          <w:highlight w:val="none"/>
        </w:rPr>
      </w:pPr>
    </w:p>
    <w:p w14:paraId="40E36AE8">
      <w:pPr>
        <w:adjustRightInd w:val="0"/>
        <w:spacing w:line="340" w:lineRule="exact"/>
        <w:rPr>
          <w:rFonts w:hAnsi="宋体"/>
          <w:b/>
          <w:color w:val="auto"/>
          <w:szCs w:val="21"/>
          <w:highlight w:val="none"/>
        </w:rPr>
      </w:pPr>
      <w:r>
        <w:rPr>
          <w:rFonts w:hint="eastAsia" w:hAnsi="宋体"/>
          <w:b/>
          <w:color w:val="auto"/>
          <w:szCs w:val="21"/>
          <w:highlight w:val="none"/>
        </w:rPr>
        <w:t>说明：</w:t>
      </w:r>
    </w:p>
    <w:p w14:paraId="6F892E81">
      <w:pPr>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1.为落实政府采购政策需满足的要求</w:t>
      </w:r>
    </w:p>
    <w:p w14:paraId="7CC9FE1A">
      <w:pPr>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本招标文件所称中小企业必须符合《政府采购促进中小企业发展管理办法》（财库〔2020〕46号）的规定。</w:t>
      </w:r>
    </w:p>
    <w:p w14:paraId="6C26135E">
      <w:pPr>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2.“实质性要求”是指招标文件中已经指明不满足则投标无效的条款，或者不能负偏离的条款，或者采购需求中带“▲”的条款。下表中凡标注“▲”的参数或要求，不响应或不满足或不符合要求的，投标文件即作投标无效处理。</w:t>
      </w:r>
    </w:p>
    <w:p w14:paraId="0BC1FAF5">
      <w:pPr>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3.不需要投标人对采购需求响应为具体数值的，此采购需求的数值后将以◆号标注。</w:t>
      </w:r>
    </w:p>
    <w:p w14:paraId="2BC53B95">
      <w:pPr>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4.如投标人的投标产品存在侵犯他人的知识产权或者专利成果行为的，应承担相应法律责任。</w:t>
      </w:r>
    </w:p>
    <w:p w14:paraId="488B8DE8">
      <w:pPr>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5.本需求一览表中内容如与第五章“拟签订的合同文本”相关条款不一致的，以本表为准。</w:t>
      </w:r>
    </w:p>
    <w:p w14:paraId="2CCFE1C3">
      <w:pPr>
        <w:spacing w:line="360" w:lineRule="auto"/>
        <w:ind w:firstLine="422" w:firstLineChars="200"/>
        <w:jc w:val="left"/>
        <w:rPr>
          <w:rFonts w:ascii="宋体" w:hAnsi="宋体" w:cs="宋体"/>
          <w:b/>
          <w:bCs/>
          <w:color w:val="auto"/>
          <w:highlight w:val="none"/>
        </w:rPr>
      </w:pPr>
      <w:r>
        <w:rPr>
          <w:rFonts w:hint="eastAsia" w:ascii="宋体" w:hAnsi="宋体" w:cs="宋体"/>
          <w:b/>
          <w:bCs/>
          <w:color w:val="auto"/>
          <w:highlight w:val="none"/>
        </w:rPr>
        <w:t>6.本项目采购需求表中要求提供的文件材料或承诺函，请在《商务条款偏离表》或《服务需求偏离表》中应答时，注明相关文件材料或承诺函放置的页码。</w:t>
      </w:r>
    </w:p>
    <w:p w14:paraId="3E14BF92">
      <w:pPr>
        <w:spacing w:line="360" w:lineRule="auto"/>
        <w:ind w:firstLine="422" w:firstLineChars="200"/>
        <w:jc w:val="left"/>
        <w:rPr>
          <w:rFonts w:ascii="宋体" w:hAnsi="宋体" w:cs="宋体"/>
          <w:b/>
          <w:bCs/>
          <w:color w:val="auto"/>
          <w:highlight w:val="none"/>
        </w:rPr>
      </w:pPr>
      <w:r>
        <w:rPr>
          <w:rFonts w:hint="eastAsia" w:ascii="宋体" w:hAnsi="宋体" w:cs="宋体"/>
          <w:b/>
          <w:bCs/>
          <w:color w:val="auto"/>
          <w:highlight w:val="none"/>
        </w:rPr>
        <w:t>7.评标委员会认为投标人的报价明显低于其他通过符合性审查投标人的报价，有可能影响其服务或产品质量或者不能诚信履约的，应当要求其在评标现场合理的时间内提供书面说明，必要时提交相关证明材料；投标人不能证明其报价合理性的，评标委员会应当将其作为无效投标处理。</w:t>
      </w:r>
    </w:p>
    <w:p w14:paraId="3D0613B0">
      <w:pPr>
        <w:pStyle w:val="22"/>
        <w:rPr>
          <w:rFonts w:ascii="宋体" w:hAnsi="宋体" w:cs="宋体"/>
          <w:b/>
          <w:bCs/>
          <w:color w:val="auto"/>
          <w:highlight w:val="none"/>
        </w:rPr>
      </w:pPr>
    </w:p>
    <w:p w14:paraId="2D2E2400">
      <w:pPr>
        <w:pStyle w:val="22"/>
        <w:rPr>
          <w:rFonts w:ascii="宋体" w:hAnsi="宋体" w:cs="宋体"/>
          <w:b/>
          <w:bCs/>
          <w:color w:val="auto"/>
          <w:highlight w:val="none"/>
        </w:rPr>
      </w:pPr>
    </w:p>
    <w:p w14:paraId="5E27DE67">
      <w:pPr>
        <w:pStyle w:val="22"/>
        <w:rPr>
          <w:rFonts w:ascii="宋体" w:hAnsi="宋体" w:cs="宋体"/>
          <w:b/>
          <w:bCs/>
          <w:color w:val="auto"/>
          <w:highlight w:val="none"/>
        </w:rPr>
      </w:pPr>
    </w:p>
    <w:p w14:paraId="3A8BFD6B">
      <w:pPr>
        <w:pStyle w:val="22"/>
        <w:rPr>
          <w:rFonts w:ascii="宋体" w:hAnsi="宋体" w:cs="宋体"/>
          <w:b/>
          <w:bCs/>
          <w:color w:val="auto"/>
          <w:highlight w:val="none"/>
        </w:rPr>
      </w:pPr>
    </w:p>
    <w:p w14:paraId="2785D035">
      <w:pPr>
        <w:pStyle w:val="22"/>
        <w:rPr>
          <w:rFonts w:ascii="宋体" w:hAnsi="宋体" w:cs="宋体"/>
          <w:b/>
          <w:bCs/>
          <w:color w:val="auto"/>
          <w:highlight w:val="none"/>
        </w:rPr>
      </w:pPr>
    </w:p>
    <w:p w14:paraId="53914F07">
      <w:pPr>
        <w:pStyle w:val="22"/>
        <w:rPr>
          <w:rFonts w:ascii="宋体" w:hAnsi="宋体" w:cs="宋体"/>
          <w:b/>
          <w:bCs/>
          <w:color w:val="auto"/>
          <w:highlight w:val="none"/>
        </w:rPr>
      </w:pPr>
    </w:p>
    <w:p w14:paraId="0891AE37">
      <w:pPr>
        <w:pStyle w:val="22"/>
        <w:rPr>
          <w:rFonts w:ascii="宋体" w:hAnsi="宋体" w:cs="宋体"/>
          <w:b/>
          <w:bCs/>
          <w:color w:val="auto"/>
          <w:highlight w:val="none"/>
        </w:rPr>
      </w:pPr>
    </w:p>
    <w:p w14:paraId="57D53252">
      <w:pPr>
        <w:pStyle w:val="22"/>
        <w:rPr>
          <w:rFonts w:ascii="宋体" w:hAnsi="宋体" w:cs="宋体"/>
          <w:b/>
          <w:bCs/>
          <w:color w:val="auto"/>
          <w:highlight w:val="none"/>
        </w:rPr>
      </w:pPr>
    </w:p>
    <w:p w14:paraId="28F8526D">
      <w:pPr>
        <w:pStyle w:val="22"/>
        <w:rPr>
          <w:rFonts w:ascii="宋体" w:hAnsi="宋体" w:cs="宋体"/>
          <w:b/>
          <w:bCs/>
          <w:color w:val="auto"/>
          <w:highlight w:val="none"/>
        </w:rPr>
      </w:pPr>
    </w:p>
    <w:p w14:paraId="597EE2E2">
      <w:pPr>
        <w:pStyle w:val="22"/>
        <w:rPr>
          <w:rFonts w:ascii="宋体" w:hAnsi="宋体" w:cs="宋体"/>
          <w:b/>
          <w:bCs/>
          <w:color w:val="auto"/>
          <w:highlight w:val="none"/>
        </w:rPr>
      </w:pPr>
    </w:p>
    <w:p w14:paraId="73D2D649">
      <w:pPr>
        <w:pStyle w:val="22"/>
        <w:rPr>
          <w:rFonts w:ascii="宋体" w:hAnsi="宋体" w:cs="宋体"/>
          <w:b/>
          <w:bCs/>
          <w:color w:val="auto"/>
          <w:highlight w:val="none"/>
        </w:rPr>
      </w:pPr>
    </w:p>
    <w:p w14:paraId="7A7394B8">
      <w:pPr>
        <w:pStyle w:val="22"/>
        <w:rPr>
          <w:rFonts w:ascii="宋体" w:hAnsi="宋体" w:cs="宋体"/>
          <w:b/>
          <w:bCs/>
          <w:color w:val="auto"/>
          <w:highlight w:val="none"/>
        </w:rPr>
      </w:pPr>
    </w:p>
    <w:p w14:paraId="3F1D4DC1">
      <w:pPr>
        <w:pStyle w:val="22"/>
        <w:rPr>
          <w:rFonts w:ascii="宋体" w:hAnsi="宋体" w:cs="宋体"/>
          <w:b/>
          <w:bCs/>
          <w:color w:val="auto"/>
          <w:highlight w:val="none"/>
        </w:rPr>
      </w:pPr>
    </w:p>
    <w:p w14:paraId="623CC924">
      <w:pPr>
        <w:pStyle w:val="22"/>
        <w:rPr>
          <w:rFonts w:ascii="宋体" w:hAnsi="宋体" w:cs="宋体"/>
          <w:b/>
          <w:bCs/>
          <w:color w:val="auto"/>
          <w:highlight w:val="none"/>
        </w:rPr>
      </w:pPr>
    </w:p>
    <w:p w14:paraId="50FD56B9">
      <w:pPr>
        <w:pStyle w:val="22"/>
        <w:rPr>
          <w:rFonts w:ascii="宋体" w:hAnsi="宋体" w:cs="宋体"/>
          <w:b/>
          <w:bCs/>
          <w:color w:val="auto"/>
          <w:highlight w:val="none"/>
        </w:rPr>
      </w:pPr>
    </w:p>
    <w:p w14:paraId="21F4DF96">
      <w:pPr>
        <w:pStyle w:val="22"/>
        <w:rPr>
          <w:rFonts w:ascii="宋体" w:hAnsi="宋体" w:cs="宋体"/>
          <w:b/>
          <w:bCs/>
          <w:color w:val="auto"/>
          <w:highlight w:val="none"/>
        </w:rPr>
      </w:pPr>
    </w:p>
    <w:p w14:paraId="4A3231F1">
      <w:pPr>
        <w:pStyle w:val="22"/>
        <w:rPr>
          <w:rFonts w:ascii="宋体" w:hAnsi="宋体" w:cs="宋体"/>
          <w:b/>
          <w:bCs/>
          <w:color w:val="auto"/>
          <w:highlight w:val="none"/>
        </w:rPr>
      </w:pPr>
    </w:p>
    <w:p w14:paraId="02B2CA17">
      <w:pPr>
        <w:pStyle w:val="22"/>
        <w:rPr>
          <w:rFonts w:ascii="宋体" w:hAnsi="宋体" w:cs="宋体"/>
          <w:b/>
          <w:bCs/>
          <w:color w:val="auto"/>
          <w:highlight w:val="none"/>
        </w:rPr>
      </w:pPr>
    </w:p>
    <w:p w14:paraId="1FFF782C">
      <w:pPr>
        <w:pStyle w:val="22"/>
        <w:rPr>
          <w:rFonts w:ascii="宋体" w:hAnsi="宋体" w:cs="宋体"/>
          <w:b/>
          <w:bCs/>
          <w:color w:val="auto"/>
          <w:highlight w:val="none"/>
        </w:rPr>
      </w:pPr>
    </w:p>
    <w:p w14:paraId="26B20316">
      <w:pPr>
        <w:pStyle w:val="22"/>
        <w:rPr>
          <w:rFonts w:ascii="宋体" w:hAnsi="宋体" w:cs="宋体"/>
          <w:b/>
          <w:bCs/>
          <w:color w:val="auto"/>
          <w:highlight w:val="none"/>
        </w:rPr>
      </w:pPr>
    </w:p>
    <w:p w14:paraId="162D17F8">
      <w:pPr>
        <w:pStyle w:val="22"/>
        <w:rPr>
          <w:rFonts w:ascii="宋体" w:hAnsi="宋体" w:cs="宋体"/>
          <w:b/>
          <w:bCs/>
          <w:color w:val="auto"/>
          <w:highlight w:val="none"/>
        </w:rPr>
      </w:pPr>
    </w:p>
    <w:p w14:paraId="5AFD48AE">
      <w:pPr>
        <w:pStyle w:val="22"/>
        <w:rPr>
          <w:rFonts w:ascii="宋体" w:hAnsi="宋体" w:cs="宋体"/>
          <w:b/>
          <w:bCs/>
          <w:color w:val="auto"/>
          <w:highlight w:val="none"/>
        </w:rPr>
      </w:pPr>
    </w:p>
    <w:p w14:paraId="41DA0EE8">
      <w:pPr>
        <w:pStyle w:val="22"/>
        <w:rPr>
          <w:rFonts w:ascii="宋体" w:hAnsi="宋体" w:cs="宋体"/>
          <w:b/>
          <w:bCs/>
          <w:color w:val="auto"/>
          <w:highlight w:val="none"/>
        </w:rPr>
      </w:pPr>
    </w:p>
    <w:p w14:paraId="657AAFFF">
      <w:pPr>
        <w:pStyle w:val="22"/>
        <w:rPr>
          <w:rFonts w:ascii="宋体" w:hAnsi="宋体" w:cs="宋体"/>
          <w:b/>
          <w:bCs/>
          <w:color w:val="auto"/>
          <w:highlight w:val="none"/>
        </w:rPr>
      </w:pPr>
    </w:p>
    <w:p w14:paraId="2EBEC20C">
      <w:pPr>
        <w:pStyle w:val="22"/>
        <w:rPr>
          <w:rFonts w:ascii="宋体" w:hAnsi="宋体" w:cs="宋体"/>
          <w:b/>
          <w:bCs/>
          <w:color w:val="auto"/>
          <w:highlight w:val="none"/>
        </w:rPr>
      </w:pPr>
    </w:p>
    <w:p w14:paraId="67271C3A">
      <w:pPr>
        <w:pStyle w:val="22"/>
        <w:rPr>
          <w:rFonts w:ascii="宋体" w:hAnsi="宋体" w:cs="宋体"/>
          <w:b/>
          <w:bCs/>
          <w:color w:val="auto"/>
          <w:highlight w:val="none"/>
        </w:rPr>
      </w:pPr>
    </w:p>
    <w:tbl>
      <w:tblPr>
        <w:tblStyle w:val="35"/>
        <w:tblW w:w="9920" w:type="dxa"/>
        <w:tblInd w:w="-771"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595"/>
        <w:gridCol w:w="395"/>
        <w:gridCol w:w="766"/>
        <w:gridCol w:w="492"/>
        <w:gridCol w:w="6142"/>
        <w:gridCol w:w="530"/>
        <w:gridCol w:w="1000"/>
      </w:tblGrid>
      <w:tr w14:paraId="66CB8FB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0" w:hRule="atLeast"/>
        </w:trPr>
        <w:tc>
          <w:tcPr>
            <w:tcW w:w="9920" w:type="dxa"/>
            <w:gridSpan w:val="7"/>
            <w:tcBorders>
              <w:top w:val="single" w:color="auto" w:sz="4" w:space="0"/>
              <w:left w:val="single" w:color="auto" w:sz="4" w:space="0"/>
              <w:bottom w:val="nil"/>
              <w:right w:val="single" w:color="auto" w:sz="4" w:space="0"/>
            </w:tcBorders>
            <w:shd w:val="clear" w:color="auto" w:fill="auto"/>
            <w:vAlign w:val="center"/>
          </w:tcPr>
          <w:p w14:paraId="6272BD0D">
            <w:pPr>
              <w:jc w:val="center"/>
              <w:rPr>
                <w:rFonts w:ascii="Arial" w:hAnsi="Arial" w:cs="Arial"/>
                <w:b/>
                <w:color w:val="auto"/>
                <w:szCs w:val="21"/>
                <w:highlight w:val="none"/>
              </w:rPr>
            </w:pPr>
            <w:r>
              <w:rPr>
                <w:rFonts w:ascii="Arial" w:hAnsi="Arial" w:cs="Arial"/>
                <w:b/>
                <w:color w:val="auto"/>
                <w:sz w:val="32"/>
                <w:szCs w:val="32"/>
                <w:highlight w:val="none"/>
                <w:lang w:bidi="ar"/>
              </w:rPr>
              <w:t>服务需求一览表</w:t>
            </w:r>
          </w:p>
        </w:tc>
      </w:tr>
      <w:tr w14:paraId="70B85E2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0" w:hRule="atLeast"/>
        </w:trPr>
        <w:tc>
          <w:tcPr>
            <w:tcW w:w="1756" w:type="dxa"/>
            <w:gridSpan w:val="3"/>
            <w:tcBorders>
              <w:top w:val="single" w:color="auto" w:sz="4" w:space="0"/>
              <w:left w:val="single" w:color="auto" w:sz="4" w:space="0"/>
              <w:bottom w:val="nil"/>
              <w:right w:val="single" w:color="auto" w:sz="4" w:space="0"/>
            </w:tcBorders>
            <w:shd w:val="clear" w:color="auto" w:fill="auto"/>
            <w:vAlign w:val="center"/>
          </w:tcPr>
          <w:p w14:paraId="2A5519DA">
            <w:pPr>
              <w:jc w:val="center"/>
              <w:rPr>
                <w:rFonts w:ascii="Arial" w:hAnsi="Arial" w:cs="Arial"/>
                <w:color w:val="auto"/>
                <w:szCs w:val="21"/>
                <w:highlight w:val="none"/>
              </w:rPr>
            </w:pPr>
            <w:r>
              <w:rPr>
                <w:rFonts w:ascii="Arial" w:hAnsi="Arial" w:cs="Arial"/>
                <w:color w:val="auto"/>
                <w:sz w:val="32"/>
                <w:szCs w:val="32"/>
                <w:highlight w:val="none"/>
                <w:lang w:bidi="ar"/>
              </w:rPr>
              <w:t>标段</w:t>
            </w:r>
          </w:p>
        </w:tc>
        <w:tc>
          <w:tcPr>
            <w:tcW w:w="8164" w:type="dxa"/>
            <w:gridSpan w:val="4"/>
            <w:tcBorders>
              <w:top w:val="single" w:color="auto" w:sz="4" w:space="0"/>
              <w:left w:val="single" w:color="auto" w:sz="4" w:space="0"/>
              <w:bottom w:val="nil"/>
              <w:right w:val="single" w:color="auto" w:sz="4" w:space="0"/>
            </w:tcBorders>
            <w:shd w:val="clear" w:color="auto" w:fill="auto"/>
            <w:vAlign w:val="center"/>
          </w:tcPr>
          <w:p w14:paraId="1DCD86C8">
            <w:pPr>
              <w:jc w:val="left"/>
              <w:rPr>
                <w:rFonts w:ascii="Arial" w:hAnsi="Arial" w:cs="Arial"/>
                <w:b/>
                <w:bCs/>
                <w:color w:val="auto"/>
                <w:szCs w:val="21"/>
                <w:highlight w:val="none"/>
              </w:rPr>
            </w:pPr>
            <w:r>
              <w:rPr>
                <w:rFonts w:ascii="Arial" w:hAnsi="Arial" w:cs="Arial"/>
                <w:b/>
                <w:bCs/>
                <w:color w:val="auto"/>
                <w:sz w:val="28"/>
                <w:highlight w:val="none"/>
                <w:lang w:bidi="ar"/>
              </w:rPr>
              <w:t>无分标</w:t>
            </w:r>
          </w:p>
        </w:tc>
      </w:tr>
      <w:tr w14:paraId="3DD8DFC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756" w:hRule="atLeast"/>
        </w:trPr>
        <w:tc>
          <w:tcPr>
            <w:tcW w:w="595" w:type="dxa"/>
            <w:vMerge w:val="restart"/>
            <w:tcBorders>
              <w:top w:val="single" w:color="auto" w:sz="4" w:space="0"/>
              <w:left w:val="single" w:color="auto" w:sz="4" w:space="0"/>
              <w:bottom w:val="nil"/>
              <w:right w:val="single" w:color="auto" w:sz="4" w:space="0"/>
            </w:tcBorders>
            <w:shd w:val="clear" w:color="auto" w:fill="auto"/>
            <w:vAlign w:val="center"/>
          </w:tcPr>
          <w:p w14:paraId="6C01D50A">
            <w:pPr>
              <w:jc w:val="center"/>
              <w:rPr>
                <w:rFonts w:hint="eastAsia" w:ascii="Arial" w:hAnsi="Arial" w:eastAsia="宋体" w:cs="Arial"/>
                <w:color w:val="auto"/>
                <w:szCs w:val="21"/>
                <w:highlight w:val="none"/>
                <w:lang w:val="en-US" w:eastAsia="zh-CN"/>
              </w:rPr>
            </w:pPr>
            <w:r>
              <w:rPr>
                <w:rFonts w:ascii="Arial" w:hAnsi="Arial" w:cs="Arial"/>
                <w:color w:val="auto"/>
                <w:szCs w:val="21"/>
                <w:highlight w:val="none"/>
                <w:lang w:bidi="ar"/>
              </w:rPr>
              <w:t>采购清单及技术</w:t>
            </w:r>
            <w:r>
              <w:rPr>
                <w:rFonts w:hint="eastAsia" w:ascii="Arial" w:hAnsi="Arial" w:cs="Arial"/>
                <w:color w:val="auto"/>
                <w:szCs w:val="21"/>
                <w:highlight w:val="none"/>
                <w:lang w:val="en-US" w:eastAsia="zh-CN" w:bidi="ar"/>
              </w:rPr>
              <w:t>需求</w:t>
            </w:r>
          </w:p>
        </w:tc>
        <w:tc>
          <w:tcPr>
            <w:tcW w:w="395" w:type="dxa"/>
            <w:tcBorders>
              <w:top w:val="single" w:color="auto" w:sz="4" w:space="0"/>
              <w:left w:val="single" w:color="auto" w:sz="4" w:space="0"/>
              <w:bottom w:val="single" w:color="auto" w:sz="4" w:space="0"/>
              <w:right w:val="single" w:color="auto" w:sz="4" w:space="0"/>
            </w:tcBorders>
            <w:shd w:val="clear" w:color="auto" w:fill="auto"/>
            <w:tcMar>
              <w:left w:w="0" w:type="dxa"/>
              <w:right w:w="0" w:type="dxa"/>
            </w:tcMar>
            <w:vAlign w:val="center"/>
          </w:tcPr>
          <w:p w14:paraId="1D56C1AB">
            <w:pPr>
              <w:jc w:val="center"/>
              <w:rPr>
                <w:rFonts w:ascii="Arial" w:hAnsi="Arial" w:cs="Arial"/>
                <w:color w:val="auto"/>
                <w:sz w:val="24"/>
                <w:highlight w:val="none"/>
              </w:rPr>
            </w:pPr>
            <w:r>
              <w:rPr>
                <w:rFonts w:ascii="Arial" w:hAnsi="Arial" w:cs="Arial"/>
                <w:color w:val="auto"/>
                <w:sz w:val="24"/>
                <w:highlight w:val="none"/>
                <w:lang w:bidi="ar"/>
              </w:rPr>
              <w:t>序号</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2450794A">
            <w:pPr>
              <w:jc w:val="center"/>
              <w:rPr>
                <w:rFonts w:ascii="Arial" w:hAnsi="Arial" w:cs="Arial"/>
                <w:color w:val="auto"/>
                <w:sz w:val="24"/>
                <w:highlight w:val="none"/>
              </w:rPr>
            </w:pPr>
            <w:r>
              <w:rPr>
                <w:rFonts w:ascii="Arial" w:hAnsi="Arial" w:cs="Arial"/>
                <w:color w:val="auto"/>
                <w:sz w:val="24"/>
                <w:highlight w:val="none"/>
                <w:lang w:bidi="ar"/>
              </w:rPr>
              <w:t>标的的名称</w:t>
            </w:r>
          </w:p>
        </w:tc>
        <w:tc>
          <w:tcPr>
            <w:tcW w:w="492" w:type="dxa"/>
            <w:tcBorders>
              <w:top w:val="single" w:color="auto" w:sz="4" w:space="0"/>
              <w:left w:val="single" w:color="auto" w:sz="4" w:space="0"/>
              <w:bottom w:val="single" w:color="auto" w:sz="4" w:space="0"/>
              <w:right w:val="single" w:color="auto" w:sz="4" w:space="0"/>
            </w:tcBorders>
            <w:shd w:val="clear" w:color="auto" w:fill="auto"/>
            <w:vAlign w:val="center"/>
          </w:tcPr>
          <w:p w14:paraId="3E49E041">
            <w:pPr>
              <w:jc w:val="center"/>
              <w:rPr>
                <w:rFonts w:ascii="Arial" w:hAnsi="Arial" w:cs="Arial"/>
                <w:color w:val="auto"/>
                <w:sz w:val="24"/>
                <w:highlight w:val="none"/>
              </w:rPr>
            </w:pPr>
            <w:r>
              <w:rPr>
                <w:rFonts w:ascii="Arial" w:hAnsi="Arial" w:cs="Arial"/>
                <w:color w:val="auto"/>
                <w:sz w:val="24"/>
                <w:highlight w:val="none"/>
                <w:lang w:bidi="ar"/>
              </w:rPr>
              <w:t>数量及单位</w:t>
            </w:r>
          </w:p>
        </w:tc>
        <w:tc>
          <w:tcPr>
            <w:tcW w:w="6142" w:type="dxa"/>
            <w:tcBorders>
              <w:top w:val="single" w:color="auto" w:sz="4" w:space="0"/>
              <w:left w:val="single" w:color="auto" w:sz="4" w:space="0"/>
              <w:bottom w:val="single" w:color="auto" w:sz="4" w:space="0"/>
              <w:right w:val="single" w:color="auto" w:sz="4" w:space="0"/>
            </w:tcBorders>
            <w:shd w:val="clear" w:color="auto" w:fill="auto"/>
            <w:vAlign w:val="center"/>
          </w:tcPr>
          <w:p w14:paraId="332CE552">
            <w:pPr>
              <w:jc w:val="center"/>
              <w:rPr>
                <w:rFonts w:ascii="Arial" w:hAnsi="Arial" w:cs="Arial"/>
                <w:color w:val="auto"/>
                <w:sz w:val="24"/>
                <w:highlight w:val="none"/>
              </w:rPr>
            </w:pPr>
            <w:r>
              <w:rPr>
                <w:rFonts w:ascii="Arial" w:hAnsi="Arial" w:cs="Arial"/>
                <w:color w:val="auto"/>
                <w:sz w:val="24"/>
                <w:highlight w:val="none"/>
                <w:lang w:bidi="ar"/>
              </w:rPr>
              <w:t>服务参数</w:t>
            </w:r>
          </w:p>
        </w:tc>
        <w:tc>
          <w:tcPr>
            <w:tcW w:w="530" w:type="dxa"/>
            <w:tcBorders>
              <w:top w:val="single" w:color="auto" w:sz="4" w:space="0"/>
              <w:left w:val="single" w:color="auto" w:sz="4" w:space="0"/>
              <w:bottom w:val="single" w:color="auto" w:sz="4" w:space="0"/>
              <w:right w:val="single" w:color="auto" w:sz="4" w:space="0"/>
            </w:tcBorders>
            <w:shd w:val="clear" w:color="auto" w:fill="auto"/>
            <w:vAlign w:val="center"/>
          </w:tcPr>
          <w:p w14:paraId="5C664E1C">
            <w:pPr>
              <w:jc w:val="center"/>
              <w:rPr>
                <w:rFonts w:ascii="Arial" w:hAnsi="Arial" w:cs="Arial"/>
                <w:color w:val="auto"/>
                <w:sz w:val="24"/>
                <w:highlight w:val="none"/>
              </w:rPr>
            </w:pPr>
            <w:r>
              <w:rPr>
                <w:rFonts w:ascii="Arial" w:hAnsi="Arial" w:cs="Arial"/>
                <w:color w:val="auto"/>
                <w:sz w:val="24"/>
                <w:highlight w:val="none"/>
                <w:lang w:bidi="ar"/>
              </w:rPr>
              <w:t>分项预算合计（万元）</w:t>
            </w:r>
          </w:p>
        </w:tc>
        <w:tc>
          <w:tcPr>
            <w:tcW w:w="1000" w:type="dxa"/>
            <w:tcBorders>
              <w:top w:val="single" w:color="auto" w:sz="4" w:space="0"/>
              <w:left w:val="single" w:color="auto" w:sz="4" w:space="0"/>
              <w:bottom w:val="single" w:color="auto" w:sz="4" w:space="0"/>
              <w:right w:val="single" w:color="auto" w:sz="4" w:space="0"/>
            </w:tcBorders>
            <w:shd w:val="clear" w:color="auto" w:fill="auto"/>
            <w:vAlign w:val="center"/>
          </w:tcPr>
          <w:p w14:paraId="5BCF6169">
            <w:pPr>
              <w:jc w:val="center"/>
              <w:rPr>
                <w:rFonts w:ascii="Arial" w:hAnsi="Arial" w:cs="Arial"/>
                <w:color w:val="auto"/>
                <w:sz w:val="24"/>
                <w:highlight w:val="none"/>
              </w:rPr>
            </w:pPr>
            <w:r>
              <w:rPr>
                <w:rFonts w:ascii="Arial" w:hAnsi="Arial" w:cs="Arial"/>
                <w:color w:val="auto"/>
                <w:sz w:val="24"/>
                <w:highlight w:val="none"/>
                <w:lang w:bidi="ar"/>
              </w:rPr>
              <w:t>中小企业划分标准所属行业名称（行业名称及划分见本章附件2）</w:t>
            </w:r>
          </w:p>
        </w:tc>
      </w:tr>
      <w:tr w14:paraId="6844B4A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39" w:hRule="atLeast"/>
        </w:trPr>
        <w:tc>
          <w:tcPr>
            <w:tcW w:w="595" w:type="dxa"/>
            <w:vMerge w:val="continue"/>
            <w:tcBorders>
              <w:top w:val="single" w:color="auto" w:sz="4" w:space="0"/>
              <w:left w:val="single" w:color="auto" w:sz="4" w:space="0"/>
              <w:bottom w:val="nil"/>
              <w:right w:val="single" w:color="auto" w:sz="4" w:space="0"/>
            </w:tcBorders>
            <w:shd w:val="clear" w:color="auto" w:fill="auto"/>
            <w:vAlign w:val="center"/>
          </w:tcPr>
          <w:p w14:paraId="440E691B">
            <w:pPr>
              <w:rPr>
                <w:rFonts w:ascii="Arial" w:hAnsi="Arial" w:cs="Arial"/>
                <w:color w:val="auto"/>
                <w:sz w:val="20"/>
                <w:szCs w:val="20"/>
                <w:highlight w:val="none"/>
              </w:rPr>
            </w:pPr>
          </w:p>
        </w:tc>
        <w:tc>
          <w:tcPr>
            <w:tcW w:w="395" w:type="dxa"/>
            <w:tcBorders>
              <w:top w:val="single" w:color="auto" w:sz="4" w:space="0"/>
              <w:left w:val="single" w:color="auto" w:sz="4" w:space="0"/>
              <w:bottom w:val="single" w:color="auto" w:sz="4" w:space="0"/>
              <w:right w:val="single" w:color="auto" w:sz="4" w:space="0"/>
            </w:tcBorders>
            <w:shd w:val="clear" w:color="auto" w:fill="auto"/>
            <w:vAlign w:val="center"/>
          </w:tcPr>
          <w:p w14:paraId="77E2FC09">
            <w:pPr>
              <w:jc w:val="center"/>
              <w:rPr>
                <w:rFonts w:ascii="Arial" w:hAnsi="Arial" w:cs="Arial"/>
                <w:color w:val="auto"/>
                <w:szCs w:val="21"/>
                <w:highlight w:val="none"/>
              </w:rPr>
            </w:pPr>
          </w:p>
          <w:p w14:paraId="59EBCD32">
            <w:pPr>
              <w:jc w:val="center"/>
              <w:rPr>
                <w:rFonts w:ascii="Arial" w:hAnsi="Arial" w:cs="Arial"/>
                <w:color w:val="auto"/>
                <w:szCs w:val="21"/>
                <w:highlight w:val="none"/>
              </w:rPr>
            </w:pP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462BCE9B">
            <w:pPr>
              <w:jc w:val="center"/>
              <w:rPr>
                <w:rFonts w:ascii="Arial" w:hAnsi="Arial" w:cs="Arial"/>
                <w:color w:val="auto"/>
                <w:szCs w:val="21"/>
                <w:highlight w:val="none"/>
              </w:rPr>
            </w:pPr>
            <w:r>
              <w:rPr>
                <w:rFonts w:ascii="Arial" w:hAnsi="Arial" w:cs="Arial"/>
                <w:color w:val="auto"/>
                <w:szCs w:val="21"/>
                <w:highlight w:val="none"/>
                <w:lang w:bidi="ar"/>
              </w:rPr>
              <w:t>宾阳县县域公共就业服务能力提升项目</w:t>
            </w:r>
          </w:p>
        </w:tc>
        <w:tc>
          <w:tcPr>
            <w:tcW w:w="492" w:type="dxa"/>
            <w:tcBorders>
              <w:top w:val="single" w:color="auto" w:sz="4" w:space="0"/>
              <w:left w:val="single" w:color="auto" w:sz="4" w:space="0"/>
              <w:bottom w:val="single" w:color="auto" w:sz="4" w:space="0"/>
              <w:right w:val="single" w:color="auto" w:sz="4" w:space="0"/>
            </w:tcBorders>
            <w:shd w:val="clear" w:color="auto" w:fill="auto"/>
            <w:vAlign w:val="center"/>
          </w:tcPr>
          <w:p w14:paraId="19A1E92D">
            <w:pPr>
              <w:jc w:val="center"/>
              <w:rPr>
                <w:rFonts w:ascii="Arial" w:hAnsi="Arial" w:cs="Arial"/>
                <w:color w:val="auto"/>
                <w:szCs w:val="21"/>
                <w:highlight w:val="none"/>
              </w:rPr>
            </w:pPr>
            <w:r>
              <w:rPr>
                <w:rFonts w:ascii="Arial" w:hAnsi="Arial" w:cs="Arial"/>
                <w:color w:val="auto"/>
                <w:szCs w:val="21"/>
                <w:highlight w:val="none"/>
                <w:lang w:bidi="ar"/>
              </w:rPr>
              <w:t>1项</w:t>
            </w:r>
          </w:p>
        </w:tc>
        <w:tc>
          <w:tcPr>
            <w:tcW w:w="6142" w:type="dxa"/>
            <w:tcBorders>
              <w:top w:val="single" w:color="auto" w:sz="4" w:space="0"/>
              <w:left w:val="single" w:color="auto" w:sz="4" w:space="0"/>
              <w:bottom w:val="single" w:color="auto" w:sz="4" w:space="0"/>
              <w:right w:val="single" w:color="auto" w:sz="4" w:space="0"/>
            </w:tcBorders>
            <w:shd w:val="clear" w:color="auto" w:fill="auto"/>
            <w:vAlign w:val="center"/>
          </w:tcPr>
          <w:p w14:paraId="737B2728">
            <w:pPr>
              <w:pStyle w:val="121"/>
              <w:widowControl/>
              <w:ind w:firstLine="422"/>
              <w:rPr>
                <w:rFonts w:ascii="Arial" w:hAnsi="Arial" w:cs="Arial"/>
                <w:b/>
                <w:bCs/>
                <w:color w:val="auto"/>
                <w:highlight w:val="none"/>
              </w:rPr>
            </w:pPr>
            <w:r>
              <w:rPr>
                <w:rFonts w:ascii="Arial" w:hAnsi="Arial" w:cs="Arial"/>
                <w:b/>
                <w:bCs/>
                <w:color w:val="auto"/>
                <w:highlight w:val="none"/>
              </w:rPr>
              <w:t>▲一、项目概况</w:t>
            </w:r>
          </w:p>
          <w:p w14:paraId="569A1221">
            <w:pPr>
              <w:pStyle w:val="121"/>
              <w:widowControl/>
              <w:rPr>
                <w:rFonts w:ascii="Arial" w:hAnsi="Arial" w:cs="Arial"/>
                <w:color w:val="auto"/>
                <w:highlight w:val="none"/>
              </w:rPr>
            </w:pPr>
            <w:r>
              <w:rPr>
                <w:rFonts w:ascii="Arial" w:hAnsi="Arial" w:cs="Arial"/>
                <w:color w:val="auto"/>
                <w:highlight w:val="none"/>
              </w:rPr>
              <w:t>2026年，通过政府购买服务的方式，委托第三方标准化规范化布局、提升并运营各类基层公共就业服务网点18个（1个人力资源市场（加挂宾阳县零工市场）、16个一级就业服务站、1个二级就业服务站），为防止返贫致贫对象、返乡回流人员、高校毕业生等青年、失业人员、就业困难人员、农民工等重点群体进行求职登记、岗位推送、技能培训、政策咨询、就业援助等和为用人单位进行用工登记、招聘组织、信息发布等线上线下一体化服务的免费公共就业服务，形成县、镇、村三级就业服务网点上下联动、优势互补的公共就业服务新格局，打造全域覆盖的“15分钟就业服务圈”。</w:t>
            </w:r>
          </w:p>
          <w:p w14:paraId="6FB66BB4">
            <w:pPr>
              <w:pStyle w:val="121"/>
              <w:widowControl/>
              <w:rPr>
                <w:rFonts w:ascii="Arial" w:hAnsi="Arial" w:cs="Arial"/>
                <w:color w:val="auto"/>
                <w:highlight w:val="none"/>
              </w:rPr>
            </w:pPr>
            <w:r>
              <w:rPr>
                <w:rFonts w:ascii="Arial" w:hAnsi="Arial" w:cs="Arial"/>
                <w:color w:val="auto"/>
                <w:highlight w:val="none"/>
              </w:rPr>
              <w:t>2027年，对人力资源市场（加挂零工市场）、就业服务站等18个基层公共就业服务网点开展效能提升，实现就业服务从“有阵地”向“有特色、有品牌、有效率”升级，推动岗位对接更精准、技能培训更对路、政策落地更快捷、群众就业更稳定，以特色化服务支撑高质量充分就业。</w:t>
            </w:r>
          </w:p>
          <w:p w14:paraId="444ED1ED">
            <w:pPr>
              <w:pStyle w:val="121"/>
              <w:widowControl/>
              <w:ind w:firstLine="422"/>
              <w:rPr>
                <w:rFonts w:ascii="Arial" w:hAnsi="Arial" w:cs="Arial"/>
                <w:b/>
                <w:bCs/>
                <w:color w:val="auto"/>
                <w:highlight w:val="none"/>
              </w:rPr>
            </w:pPr>
            <w:r>
              <w:rPr>
                <w:rFonts w:ascii="Arial" w:hAnsi="Arial" w:cs="Arial"/>
                <w:b/>
                <w:bCs/>
                <w:color w:val="auto"/>
                <w:highlight w:val="none"/>
              </w:rPr>
              <w:t>▲二、采购服务内容</w:t>
            </w:r>
          </w:p>
          <w:p w14:paraId="1ED83C8E">
            <w:pPr>
              <w:pStyle w:val="121"/>
              <w:widowControl/>
              <w:spacing w:line="360" w:lineRule="auto"/>
              <w:ind w:firstLine="422"/>
              <w:rPr>
                <w:rFonts w:ascii="Arial" w:hAnsi="Arial" w:cs="Arial"/>
                <w:b/>
                <w:bCs/>
                <w:color w:val="auto"/>
                <w:highlight w:val="none"/>
              </w:rPr>
            </w:pPr>
            <w:r>
              <w:rPr>
                <w:rFonts w:ascii="Arial" w:hAnsi="Arial" w:cs="Arial"/>
                <w:b/>
                <w:bCs/>
                <w:color w:val="auto"/>
                <w:highlight w:val="none"/>
              </w:rPr>
              <w:t>（一）人力资源市场（加挂零工市场）服务内容</w:t>
            </w:r>
          </w:p>
          <w:p w14:paraId="6897C3B0">
            <w:pPr>
              <w:pStyle w:val="121"/>
              <w:widowControl/>
              <w:spacing w:line="360" w:lineRule="auto"/>
              <w:rPr>
                <w:rFonts w:ascii="Arial" w:hAnsi="Arial" w:cs="Arial"/>
                <w:color w:val="auto"/>
                <w:highlight w:val="none"/>
              </w:rPr>
            </w:pPr>
            <w:r>
              <w:rPr>
                <w:rFonts w:ascii="Arial" w:hAnsi="Arial" w:cs="Arial"/>
                <w:color w:val="auto"/>
                <w:highlight w:val="none"/>
              </w:rPr>
              <w:t>由县就业服务中心提供人力资源市场运营服务场地，中标人按照“六统一”的原则，参照宾阳县人力资源市场</w:t>
            </w:r>
            <w:r>
              <w:rPr>
                <w:rFonts w:hint="eastAsia" w:ascii="Arial" w:hAnsi="Arial" w:cs="Arial"/>
                <w:color w:val="auto"/>
                <w:highlight w:val="none"/>
                <w:lang w:val="en-US" w:eastAsia="zh-CN"/>
              </w:rPr>
              <w:t>/</w:t>
            </w:r>
            <w:r>
              <w:rPr>
                <w:rFonts w:ascii="Arial" w:hAnsi="Arial" w:cs="Arial"/>
                <w:color w:val="auto"/>
                <w:highlight w:val="none"/>
              </w:rPr>
              <w:t>零工市场规范配备标准，配备支持包括但不限于办公服务、求职服务、便民服务、爱心服务、安全防护等必要的服务设备。并配备开展就业服务所需的专门运营团队（不少于3人），对照人力资源市场（加挂零工市场）服务内容，常态化为全县用工单位和群众提供免费的就业公共服务，让更多人实现“好就业”“就好业”。</w:t>
            </w:r>
          </w:p>
          <w:p w14:paraId="213B284E">
            <w:pPr>
              <w:pStyle w:val="121"/>
              <w:widowControl/>
              <w:spacing w:line="360" w:lineRule="auto"/>
              <w:ind w:firstLine="422"/>
              <w:rPr>
                <w:rFonts w:ascii="Arial" w:hAnsi="Arial" w:cs="Arial"/>
                <w:b/>
                <w:bCs/>
                <w:color w:val="auto"/>
                <w:highlight w:val="none"/>
              </w:rPr>
            </w:pPr>
            <w:r>
              <w:rPr>
                <w:rFonts w:ascii="Arial" w:hAnsi="Arial" w:cs="Arial"/>
                <w:b/>
                <w:bCs/>
                <w:color w:val="auto"/>
                <w:highlight w:val="none"/>
              </w:rPr>
              <w:t>（二）一级就业服务站服务内容</w:t>
            </w:r>
          </w:p>
          <w:p w14:paraId="75860B5B">
            <w:pPr>
              <w:pStyle w:val="121"/>
              <w:widowControl/>
              <w:spacing w:line="360" w:lineRule="auto"/>
              <w:rPr>
                <w:rFonts w:ascii="Arial" w:hAnsi="Arial" w:cs="Arial"/>
                <w:color w:val="auto"/>
                <w:highlight w:val="none"/>
              </w:rPr>
            </w:pPr>
            <w:r>
              <w:rPr>
                <w:rFonts w:ascii="Arial" w:hAnsi="Arial" w:cs="Arial"/>
                <w:color w:val="auto"/>
                <w:highlight w:val="none"/>
              </w:rPr>
              <w:t>由各镇提供就业服务站运营服务场地，中标人按照“六统一”的原则，参照宾阳县一级就业服务站规范配备标准，配备支持包括但不限于办公服务、求职服务、便民服务、爱心服务、安全防护等必要的服务设备。并配备开展就业服务所需的专门运营团队（不少于2人），对照一级就业服务站的服务内容，挖掘市场用工需求和掌握群众就业意向，常态化为辖区内外的用工单位和群众提供免费的就业公共服务，对辖区重点群体开展就业帮扶服务，让更多群众实现在“家门口”就业。</w:t>
            </w:r>
          </w:p>
          <w:p w14:paraId="326E85CA">
            <w:pPr>
              <w:pStyle w:val="121"/>
              <w:widowControl/>
              <w:spacing w:line="360" w:lineRule="auto"/>
              <w:ind w:firstLine="422"/>
              <w:rPr>
                <w:rFonts w:ascii="Arial" w:hAnsi="Arial" w:cs="Arial"/>
                <w:b/>
                <w:bCs/>
                <w:color w:val="auto"/>
                <w:highlight w:val="none"/>
              </w:rPr>
            </w:pPr>
            <w:r>
              <w:rPr>
                <w:rFonts w:ascii="Arial" w:hAnsi="Arial" w:cs="Arial"/>
                <w:b/>
                <w:bCs/>
                <w:color w:val="auto"/>
                <w:highlight w:val="none"/>
              </w:rPr>
              <w:t>（三）二级就业服务站服务内容</w:t>
            </w:r>
          </w:p>
          <w:p w14:paraId="550F673B">
            <w:pPr>
              <w:pStyle w:val="121"/>
              <w:widowControl/>
              <w:spacing w:line="360" w:lineRule="auto"/>
              <w:rPr>
                <w:rFonts w:ascii="Arial" w:hAnsi="Arial" w:cs="Arial"/>
                <w:color w:val="auto"/>
                <w:highlight w:val="none"/>
              </w:rPr>
            </w:pPr>
            <w:r>
              <w:rPr>
                <w:rFonts w:ascii="Arial" w:hAnsi="Arial" w:cs="Arial"/>
                <w:color w:val="auto"/>
                <w:highlight w:val="none"/>
              </w:rPr>
              <w:t>由人社局协调县农商行免费提供场地作为二级就业服务站运营服务场地，中标人按照“六统一”的原则，参照宾阳县二级就业服务站规范配备标准，配备支持包括但不限于办公服务、求职服务、便民服务、爱心服务、安全防护等必要的服务设备。并配备开展就业服务所需的专门运营团队（不少于</w:t>
            </w:r>
            <w:r>
              <w:rPr>
                <w:rFonts w:hint="eastAsia" w:ascii="Arial" w:hAnsi="Arial" w:cs="Arial"/>
                <w:color w:val="auto"/>
                <w:highlight w:val="none"/>
                <w:lang w:val="en-US" w:eastAsia="zh-CN"/>
              </w:rPr>
              <w:t>2</w:t>
            </w:r>
            <w:r>
              <w:rPr>
                <w:rFonts w:ascii="Arial" w:hAnsi="Arial" w:cs="Arial"/>
                <w:color w:val="auto"/>
                <w:highlight w:val="none"/>
              </w:rPr>
              <w:t xml:space="preserve">人），在一级就业服务站的指导下，对照二级就业服务站的服务内容，重点对站点周边的劳动力开展摸排，对零工求职人员、未就业高校毕业生、失业人员和就业困难人员等开展就业需求摸排、提供求职登记和岗位推荐服务，对有培训需求的人员提供培训需求登记和培训信息推荐等服务，提升基层公共就业服务能力。  </w:t>
            </w:r>
          </w:p>
          <w:p w14:paraId="4AF81BE6">
            <w:pPr>
              <w:pStyle w:val="121"/>
              <w:widowControl/>
              <w:spacing w:line="360" w:lineRule="auto"/>
              <w:ind w:firstLine="422"/>
              <w:rPr>
                <w:rFonts w:ascii="Arial" w:hAnsi="Arial" w:cs="Arial"/>
                <w:b/>
                <w:bCs/>
                <w:color w:val="auto"/>
                <w:highlight w:val="none"/>
              </w:rPr>
            </w:pPr>
            <w:r>
              <w:rPr>
                <w:rFonts w:ascii="Arial" w:hAnsi="Arial" w:cs="Arial"/>
                <w:b/>
                <w:bCs/>
                <w:color w:val="auto"/>
                <w:highlight w:val="none"/>
              </w:rPr>
              <w:t>（四）提供智能化就业平台服务</w:t>
            </w:r>
          </w:p>
          <w:p w14:paraId="2B531BC0">
            <w:pPr>
              <w:pStyle w:val="121"/>
              <w:widowControl/>
              <w:spacing w:line="360" w:lineRule="auto"/>
              <w:rPr>
                <w:rFonts w:ascii="Arial" w:hAnsi="Arial" w:cs="Arial"/>
                <w:color w:val="auto"/>
                <w:highlight w:val="none"/>
              </w:rPr>
            </w:pPr>
            <w:r>
              <w:rPr>
                <w:rFonts w:ascii="Arial" w:hAnsi="Arial" w:cs="Arial"/>
                <w:color w:val="auto"/>
                <w:highlight w:val="none"/>
              </w:rPr>
              <w:t>在采购人未指定运营管理信息服务平台前，由中标供应商提供</w:t>
            </w:r>
            <w:r>
              <w:rPr>
                <w:rFonts w:hint="eastAsia" w:ascii="Arial" w:hAnsi="Arial" w:cs="Arial"/>
                <w:color w:val="auto"/>
                <w:highlight w:val="none"/>
              </w:rPr>
              <w:t>自有开发的</w:t>
            </w:r>
            <w:r>
              <w:rPr>
                <w:rFonts w:ascii="Arial" w:hAnsi="Arial" w:cs="Arial"/>
                <w:color w:val="auto"/>
                <w:highlight w:val="none"/>
              </w:rPr>
              <w:t>线上线下一体化信息平台（平台需按照《网络招聘服务管理规定》的规定，取得《电信业务经营许可证》等法定资质），利用大数据分析、云计算、人工智能等技术，为项目提供集就业服务APP或微信小程序等于一体的综合智能化就业服务平台。企业、群众可通过平台在线进行“找政策、找工作、找人才、找招聘会、找零工、找创业、找培训”等服务，采购方和基层管理人可通过后台查阅、调取服务数据和资料，以及进行服务监测分析和展示，实现线上线下就业服务网点数据实时同步，相关数据应积极配合同步共享关联至广西“数智人社”系统或采购人指定的其他信息平台。如采购人指定有运营能力的信息服务平台，中标供应商应全面统一使用该平台进行日常运营管理。中标供应商应对平台内所有数据（包括但不限于求职者个人信息、企业信息、服务记录等）承担保密义务，不得向任何第三方泄露、出售或用于本项目以外的任何目的。涉及个人信息处理的活动，应严格遵守《中华人民共和国个人信息保护法》相关规定。服务期满或合同终止后，中标供应商应配合采购人完成数据迁移或销毁，不得留存任何数据副本。</w:t>
            </w:r>
          </w:p>
          <w:p w14:paraId="2E5C5C62">
            <w:pPr>
              <w:pStyle w:val="121"/>
              <w:widowControl/>
              <w:spacing w:line="360" w:lineRule="auto"/>
              <w:ind w:firstLine="422"/>
              <w:rPr>
                <w:rFonts w:ascii="Arial" w:hAnsi="Arial" w:cs="Arial"/>
                <w:b/>
                <w:bCs/>
                <w:color w:val="auto"/>
                <w:highlight w:val="none"/>
              </w:rPr>
            </w:pPr>
            <w:r>
              <w:rPr>
                <w:rFonts w:ascii="Arial" w:hAnsi="Arial" w:cs="Arial"/>
                <w:b/>
                <w:bCs/>
                <w:color w:val="auto"/>
                <w:highlight w:val="none"/>
                <w:lang w:bidi="ar"/>
              </w:rPr>
              <w:t>（五）</w:t>
            </w:r>
            <w:r>
              <w:rPr>
                <w:rFonts w:ascii="Arial" w:hAnsi="Arial" w:cs="Arial"/>
                <w:b/>
                <w:bCs/>
                <w:color w:val="auto"/>
                <w:highlight w:val="none"/>
              </w:rPr>
              <w:t>服务能力要求</w:t>
            </w:r>
          </w:p>
          <w:p w14:paraId="2850E7F5">
            <w:pPr>
              <w:pStyle w:val="121"/>
              <w:widowControl/>
              <w:spacing w:line="360" w:lineRule="auto"/>
              <w:rPr>
                <w:rFonts w:ascii="Arial" w:hAnsi="Arial" w:cs="Arial"/>
                <w:color w:val="auto"/>
                <w:highlight w:val="none"/>
              </w:rPr>
            </w:pPr>
            <w:r>
              <w:rPr>
                <w:rFonts w:ascii="Arial" w:hAnsi="Arial" w:cs="Arial"/>
                <w:color w:val="auto"/>
                <w:highlight w:val="none"/>
              </w:rPr>
              <w:t>1. 团队与服务能力。 供应商应具备稳定的招聘、运营及信息化服务团队，承诺为项目组建不少于</w:t>
            </w:r>
            <w:r>
              <w:rPr>
                <w:rFonts w:ascii="Arial" w:hAnsi="Arial" w:cs="Arial"/>
                <w:b/>
                <w:bCs/>
                <w:color w:val="auto"/>
                <w:highlight w:val="none"/>
              </w:rPr>
              <w:t>3</w:t>
            </w:r>
            <w:r>
              <w:rPr>
                <w:rFonts w:hint="eastAsia" w:ascii="Arial" w:hAnsi="Arial" w:cs="Arial"/>
                <w:b/>
                <w:bCs/>
                <w:color w:val="auto"/>
                <w:highlight w:val="none"/>
              </w:rPr>
              <w:t>9</w:t>
            </w:r>
            <w:r>
              <w:rPr>
                <w:rFonts w:ascii="Arial" w:hAnsi="Arial" w:cs="Arial"/>
                <w:color w:val="auto"/>
                <w:highlight w:val="none"/>
              </w:rPr>
              <w:t>人的专属团队（含不少于2人的信息化运营人员），人员工资待遇不低于当年度适用于我县的最低工资标准的2.2倍</w:t>
            </w:r>
            <w:r>
              <w:rPr>
                <w:rFonts w:hint="eastAsia" w:ascii="Arial" w:hAnsi="Arial" w:cs="Arial"/>
                <w:color w:val="auto"/>
                <w:highlight w:val="none"/>
                <w:lang w:eastAsia="zh-CN"/>
              </w:rPr>
              <w:t>（（包含应发工资，单位部分的社会保险等）</w:t>
            </w:r>
            <w:r>
              <w:rPr>
                <w:rFonts w:ascii="Arial" w:hAnsi="Arial" w:cs="Arial"/>
                <w:color w:val="auto"/>
                <w:highlight w:val="none"/>
              </w:rPr>
              <w:t>，依法参加社会保险；提供针对性公共就业服务，日常驻站人员须熟悉辖区情况。</w:t>
            </w:r>
            <w:r>
              <w:rPr>
                <w:rFonts w:hint="eastAsia" w:ascii="Arial" w:hAnsi="Arial" w:cs="Arial"/>
                <w:color w:val="auto"/>
                <w:highlight w:val="none"/>
              </w:rPr>
              <w:t>人员必须保持在岗状态，不允许存在脱岗，</w:t>
            </w:r>
            <w:r>
              <w:rPr>
                <w:rFonts w:ascii="Arial" w:hAnsi="Arial" w:cs="Arial"/>
                <w:color w:val="auto"/>
                <w:kern w:val="0"/>
                <w:szCs w:val="21"/>
                <w:highlight w:val="none"/>
                <w:lang w:bidi="ar"/>
              </w:rPr>
              <w:t>驻点主任</w:t>
            </w:r>
            <w:r>
              <w:rPr>
                <w:rFonts w:hint="eastAsia" w:ascii="Arial" w:hAnsi="Arial" w:cs="Arial"/>
                <w:color w:val="auto"/>
                <w:kern w:val="0"/>
                <w:szCs w:val="21"/>
                <w:highlight w:val="none"/>
                <w:lang w:eastAsia="zh-CN" w:bidi="ar"/>
              </w:rPr>
              <w:t>（（站长）</w:t>
            </w:r>
            <w:r>
              <w:rPr>
                <w:rFonts w:ascii="Arial" w:hAnsi="Arial" w:cs="Arial"/>
                <w:color w:val="auto"/>
                <w:kern w:val="0"/>
                <w:szCs w:val="21"/>
                <w:highlight w:val="none"/>
                <w:lang w:bidi="ar"/>
              </w:rPr>
              <w:t>1人，常态化在岗专职服务人员不少于2人</w:t>
            </w:r>
            <w:r>
              <w:rPr>
                <w:rFonts w:hint="eastAsia" w:ascii="Arial" w:hAnsi="Arial" w:cs="Arial"/>
                <w:color w:val="auto"/>
                <w:kern w:val="0"/>
                <w:szCs w:val="21"/>
                <w:highlight w:val="none"/>
                <w:lang w:bidi="ar"/>
              </w:rPr>
              <w:t>（一级站、二级站常态化站点专职人员不少于1人）</w:t>
            </w:r>
            <w:r>
              <w:rPr>
                <w:rFonts w:ascii="Arial" w:hAnsi="Arial" w:cs="Arial"/>
                <w:color w:val="auto"/>
                <w:kern w:val="0"/>
                <w:szCs w:val="21"/>
                <w:highlight w:val="none"/>
                <w:lang w:bidi="ar"/>
              </w:rPr>
              <w:t>，</w:t>
            </w:r>
            <w:r>
              <w:rPr>
                <w:rFonts w:hint="eastAsia" w:ascii="Arial" w:hAnsi="Arial" w:cs="Arial"/>
                <w:color w:val="auto"/>
                <w:kern w:val="0"/>
                <w:szCs w:val="21"/>
                <w:highlight w:val="none"/>
                <w:lang w:bidi="ar"/>
              </w:rPr>
              <w:t>各站点</w:t>
            </w:r>
            <w:r>
              <w:rPr>
                <w:rFonts w:ascii="Arial" w:hAnsi="Arial" w:cs="Arial"/>
                <w:color w:val="auto"/>
                <w:kern w:val="0"/>
                <w:szCs w:val="21"/>
                <w:highlight w:val="none"/>
                <w:lang w:bidi="ar"/>
              </w:rPr>
              <w:t>每周服务不少于6天、每天服务时长不少于8小时的服务要求。</w:t>
            </w:r>
            <w:r>
              <w:rPr>
                <w:rFonts w:ascii="Arial" w:hAnsi="Arial" w:cs="Arial"/>
                <w:b/>
                <w:bCs/>
                <w:color w:val="auto"/>
                <w:highlight w:val="none"/>
              </w:rPr>
              <w:t>（提供承诺函）</w:t>
            </w:r>
          </w:p>
          <w:p w14:paraId="42DF5900">
            <w:pPr>
              <w:pStyle w:val="121"/>
              <w:widowControl/>
              <w:spacing w:line="360" w:lineRule="auto"/>
              <w:rPr>
                <w:rFonts w:ascii="Arial" w:hAnsi="Arial" w:cs="Arial"/>
                <w:color w:val="auto"/>
                <w:highlight w:val="none"/>
              </w:rPr>
            </w:pPr>
            <w:r>
              <w:rPr>
                <w:rFonts w:ascii="Arial" w:hAnsi="Arial" w:cs="Arial"/>
                <w:color w:val="auto"/>
                <w:highlight w:val="none"/>
              </w:rPr>
              <w:t xml:space="preserve">2. </w:t>
            </w:r>
            <w:r>
              <w:rPr>
                <w:rFonts w:ascii="Arial" w:hAnsi="Arial" w:cs="Arial"/>
                <w:color w:val="auto"/>
                <w:szCs w:val="21"/>
                <w:highlight w:val="none"/>
                <w:shd w:val="clear" w:color="auto" w:fill="FFFFFF"/>
                <w:lang w:bidi="ar"/>
              </w:rPr>
              <w:t>投标人具有技能培训服务能力。</w:t>
            </w:r>
            <w:r>
              <w:rPr>
                <w:rFonts w:ascii="Arial" w:hAnsi="Arial" w:cs="Arial"/>
                <w:color w:val="auto"/>
                <w:highlight w:val="none"/>
              </w:rPr>
              <w:t xml:space="preserve"> 供应商须自主（控股或参股）经营有符合规定的职业技能培训机构，</w:t>
            </w:r>
            <w:r>
              <w:rPr>
                <w:rFonts w:hint="eastAsia" w:ascii="Arial" w:hAnsi="Arial" w:cs="Arial"/>
                <w:color w:val="auto"/>
                <w:highlight w:val="none"/>
              </w:rPr>
              <w:t>或承诺中标后与经我单位同意备案的培训机构签订合作协议</w:t>
            </w:r>
            <w:r>
              <w:rPr>
                <w:rFonts w:ascii="Arial" w:hAnsi="Arial" w:cs="Arial"/>
                <w:color w:val="auto"/>
                <w:highlight w:val="none"/>
              </w:rPr>
              <w:t>，具备常态化提供“岗位需求+技能培训+技能评价+就业服务”四位一体服务的能力。</w:t>
            </w:r>
            <w:r>
              <w:rPr>
                <w:rFonts w:ascii="Arial" w:hAnsi="Arial" w:cs="Arial"/>
                <w:b/>
                <w:bCs/>
                <w:color w:val="auto"/>
                <w:highlight w:val="none"/>
              </w:rPr>
              <w:t>（提供承诺函）</w:t>
            </w:r>
          </w:p>
          <w:p w14:paraId="0D663B48">
            <w:pPr>
              <w:pStyle w:val="121"/>
              <w:widowControl/>
              <w:spacing w:line="360" w:lineRule="auto"/>
              <w:rPr>
                <w:rFonts w:ascii="Arial" w:hAnsi="Arial" w:cs="Arial"/>
                <w:color w:val="auto"/>
                <w:highlight w:val="none"/>
              </w:rPr>
            </w:pPr>
            <w:r>
              <w:rPr>
                <w:rFonts w:ascii="Arial" w:hAnsi="Arial" w:cs="Arial"/>
                <w:color w:val="auto"/>
                <w:highlight w:val="none"/>
              </w:rPr>
              <w:t>3. 平台与运营能力。 供应商须承诺提供集就业APP、微信小程序、PC网站于一体的综合线上智能服务平台，并具备跨区域、多层级资源整合及市场运营能力，确保项目长期稳定运行，实现“政府资金小投入，撬动就业大市场”的目标。</w:t>
            </w:r>
            <w:r>
              <w:rPr>
                <w:rFonts w:ascii="Arial" w:hAnsi="Arial" w:cs="Arial"/>
                <w:b/>
                <w:bCs/>
                <w:color w:val="auto"/>
                <w:highlight w:val="none"/>
              </w:rPr>
              <w:t>（提供承诺函）</w:t>
            </w:r>
          </w:p>
        </w:tc>
        <w:tc>
          <w:tcPr>
            <w:tcW w:w="530" w:type="dxa"/>
            <w:tcBorders>
              <w:top w:val="single" w:color="auto" w:sz="4" w:space="0"/>
              <w:left w:val="single" w:color="auto" w:sz="4" w:space="0"/>
              <w:bottom w:val="single" w:color="auto" w:sz="4" w:space="0"/>
              <w:right w:val="single" w:color="auto" w:sz="4" w:space="0"/>
            </w:tcBorders>
            <w:shd w:val="clear" w:color="auto" w:fill="auto"/>
            <w:vAlign w:val="center"/>
          </w:tcPr>
          <w:p w14:paraId="25FCEA50">
            <w:pPr>
              <w:jc w:val="center"/>
              <w:rPr>
                <w:rFonts w:ascii="Arial" w:hAnsi="Arial" w:cs="Arial"/>
                <w:color w:val="auto"/>
                <w:szCs w:val="21"/>
                <w:highlight w:val="none"/>
              </w:rPr>
            </w:pPr>
            <w:r>
              <w:rPr>
                <w:rFonts w:ascii="Arial" w:hAnsi="Arial" w:cs="Arial"/>
                <w:color w:val="auto"/>
                <w:szCs w:val="21"/>
                <w:highlight w:val="none"/>
                <w:lang w:bidi="ar"/>
              </w:rPr>
              <w:t>820</w:t>
            </w:r>
          </w:p>
          <w:p w14:paraId="72B5B888">
            <w:pPr>
              <w:jc w:val="center"/>
              <w:rPr>
                <w:rFonts w:ascii="Arial" w:hAnsi="Arial" w:cs="Arial"/>
                <w:color w:val="auto"/>
                <w:szCs w:val="21"/>
                <w:highlight w:val="none"/>
              </w:rPr>
            </w:pPr>
          </w:p>
        </w:tc>
        <w:tc>
          <w:tcPr>
            <w:tcW w:w="1000" w:type="dxa"/>
            <w:tcBorders>
              <w:top w:val="single" w:color="auto" w:sz="4" w:space="0"/>
              <w:left w:val="single" w:color="auto" w:sz="4" w:space="0"/>
              <w:bottom w:val="single" w:color="auto" w:sz="4" w:space="0"/>
              <w:right w:val="single" w:color="auto" w:sz="4" w:space="0"/>
            </w:tcBorders>
            <w:shd w:val="clear" w:color="auto" w:fill="auto"/>
            <w:vAlign w:val="center"/>
          </w:tcPr>
          <w:p w14:paraId="40751F75">
            <w:pPr>
              <w:jc w:val="center"/>
              <w:rPr>
                <w:rFonts w:ascii="Arial" w:hAnsi="Arial" w:cs="Arial"/>
                <w:color w:val="auto"/>
                <w:szCs w:val="21"/>
                <w:highlight w:val="none"/>
              </w:rPr>
            </w:pPr>
            <w:r>
              <w:rPr>
                <w:rFonts w:ascii="Arial" w:hAnsi="Arial" w:cs="Arial"/>
                <w:color w:val="auto"/>
                <w:szCs w:val="21"/>
                <w:highlight w:val="none"/>
                <w:lang w:bidi="ar"/>
              </w:rPr>
              <w:t>租赁和商务服务业</w:t>
            </w:r>
          </w:p>
        </w:tc>
      </w:tr>
      <w:tr w14:paraId="56F7F2B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trPr>
        <w:tc>
          <w:tcPr>
            <w:tcW w:w="595" w:type="dxa"/>
            <w:tcBorders>
              <w:top w:val="single" w:color="auto" w:sz="4" w:space="0"/>
              <w:left w:val="single" w:color="auto" w:sz="4" w:space="0"/>
              <w:bottom w:val="single" w:color="auto" w:sz="4" w:space="0"/>
              <w:right w:val="single" w:color="auto" w:sz="4" w:space="0"/>
            </w:tcBorders>
            <w:shd w:val="clear" w:color="auto" w:fill="auto"/>
            <w:vAlign w:val="center"/>
          </w:tcPr>
          <w:p w14:paraId="2ED25842">
            <w:pPr>
              <w:spacing w:line="360" w:lineRule="auto"/>
              <w:ind w:firstLine="420" w:firstLineChars="200"/>
              <w:jc w:val="center"/>
              <w:rPr>
                <w:rFonts w:ascii="Arial" w:hAnsi="Arial" w:cs="Arial"/>
                <w:color w:val="auto"/>
                <w:szCs w:val="21"/>
                <w:highlight w:val="none"/>
              </w:rPr>
            </w:pPr>
          </w:p>
          <w:p w14:paraId="5690B8A9">
            <w:pPr>
              <w:spacing w:line="360" w:lineRule="auto"/>
              <w:ind w:firstLine="420" w:firstLineChars="200"/>
              <w:jc w:val="center"/>
              <w:rPr>
                <w:rFonts w:ascii="Arial" w:hAnsi="Arial" w:cs="Arial"/>
                <w:color w:val="auto"/>
                <w:szCs w:val="21"/>
                <w:highlight w:val="none"/>
              </w:rPr>
            </w:pPr>
          </w:p>
          <w:p w14:paraId="09091FB0">
            <w:pPr>
              <w:spacing w:line="360" w:lineRule="auto"/>
              <w:jc w:val="center"/>
              <w:rPr>
                <w:rFonts w:ascii="Arial" w:hAnsi="Arial" w:cs="Arial"/>
                <w:color w:val="auto"/>
                <w:szCs w:val="21"/>
                <w:highlight w:val="none"/>
              </w:rPr>
            </w:pPr>
            <w:r>
              <w:rPr>
                <w:rFonts w:ascii="Arial" w:hAnsi="Arial" w:cs="Arial"/>
                <w:color w:val="auto"/>
                <w:szCs w:val="21"/>
                <w:highlight w:val="none"/>
                <w:lang w:bidi="ar"/>
              </w:rPr>
              <w:t>商务条款</w:t>
            </w:r>
          </w:p>
        </w:tc>
        <w:tc>
          <w:tcPr>
            <w:tcW w:w="9325" w:type="dxa"/>
            <w:gridSpan w:val="6"/>
            <w:tcBorders>
              <w:top w:val="single" w:color="auto" w:sz="4" w:space="0"/>
              <w:left w:val="single" w:color="auto" w:sz="4" w:space="0"/>
              <w:bottom w:val="single" w:color="auto" w:sz="4" w:space="0"/>
              <w:right w:val="single" w:color="auto" w:sz="4" w:space="0"/>
            </w:tcBorders>
            <w:shd w:val="clear" w:color="auto" w:fill="auto"/>
          </w:tcPr>
          <w:p w14:paraId="3E1152D1">
            <w:pPr>
              <w:widowControl/>
              <w:shd w:val="clear" w:color="auto" w:fill="FFFFFF"/>
              <w:spacing w:line="360" w:lineRule="auto"/>
              <w:rPr>
                <w:rFonts w:ascii="Arial" w:hAnsi="Arial" w:cs="Arial"/>
                <w:color w:val="auto"/>
                <w:szCs w:val="21"/>
                <w:highlight w:val="none"/>
                <w:shd w:val="clear" w:color="auto" w:fill="FFFFFF"/>
              </w:rPr>
            </w:pPr>
            <w:r>
              <w:rPr>
                <w:rFonts w:ascii="Arial" w:hAnsi="Arial" w:cs="Arial"/>
                <w:color w:val="auto"/>
                <w:szCs w:val="21"/>
                <w:highlight w:val="none"/>
                <w:shd w:val="clear" w:color="auto" w:fill="FFFFFF"/>
                <w:lang w:bidi="ar"/>
              </w:rPr>
              <w:t>▲一、合同签订期：自中标通知书发出之日起</w:t>
            </w:r>
            <w:r>
              <w:rPr>
                <w:rFonts w:ascii="Arial" w:hAnsi="Arial" w:cs="Arial"/>
                <w:color w:val="auto"/>
                <w:szCs w:val="21"/>
                <w:highlight w:val="none"/>
                <w:u w:val="single"/>
                <w:shd w:val="clear" w:color="auto" w:fill="FFFFFF"/>
                <w:lang w:bidi="ar"/>
              </w:rPr>
              <w:t>25日内</w:t>
            </w:r>
            <w:r>
              <w:rPr>
                <w:rFonts w:ascii="Arial" w:hAnsi="Arial" w:cs="Arial"/>
                <w:color w:val="auto"/>
                <w:szCs w:val="21"/>
                <w:highlight w:val="none"/>
                <w:shd w:val="clear" w:color="auto" w:fill="FFFFFF"/>
                <w:lang w:bidi="ar"/>
              </w:rPr>
              <w:t>。</w:t>
            </w:r>
          </w:p>
          <w:p w14:paraId="39A2F863">
            <w:pPr>
              <w:widowControl/>
              <w:shd w:val="clear" w:color="auto" w:fill="FFFFFF"/>
              <w:spacing w:line="360" w:lineRule="auto"/>
              <w:rPr>
                <w:rFonts w:ascii="Arial" w:hAnsi="Arial" w:cs="Arial"/>
                <w:color w:val="auto"/>
                <w:szCs w:val="21"/>
                <w:highlight w:val="none"/>
                <w:u w:val="single"/>
                <w:shd w:val="clear" w:color="auto" w:fill="FFFFFF"/>
              </w:rPr>
            </w:pPr>
            <w:r>
              <w:rPr>
                <w:rFonts w:ascii="Arial" w:hAnsi="Arial" w:cs="Arial"/>
                <w:color w:val="auto"/>
                <w:szCs w:val="21"/>
                <w:highlight w:val="none"/>
                <w:shd w:val="clear" w:color="auto" w:fill="FFFFFF"/>
                <w:lang w:bidi="ar"/>
              </w:rPr>
              <w:t>▲二、服务期：</w:t>
            </w:r>
            <w:r>
              <w:rPr>
                <w:rFonts w:hint="eastAsia" w:ascii="Arial" w:hAnsi="Arial" w:cs="Arial"/>
                <w:color w:val="auto"/>
                <w:szCs w:val="21"/>
                <w:highlight w:val="none"/>
                <w:shd w:val="clear" w:color="auto" w:fill="FFFFFF"/>
                <w:lang w:bidi="ar"/>
              </w:rPr>
              <w:t>服务期分为筹备和运营两个阶段。筹备期原则上为2026年11月30日前完成全部站点（1个人力资源市场（加挂零工市场）、17个就业服务站）的规范配备并投入试运营</w:t>
            </w:r>
            <w:r>
              <w:rPr>
                <w:rFonts w:hint="eastAsia" w:ascii="Arial" w:hAnsi="Arial" w:cs="Arial"/>
                <w:color w:val="auto"/>
                <w:szCs w:val="21"/>
                <w:highlight w:val="none"/>
                <w:shd w:val="clear" w:color="auto" w:fill="FFFFFF"/>
                <w:lang w:eastAsia="zh-CN" w:bidi="ar"/>
              </w:rPr>
              <w:t>，</w:t>
            </w:r>
            <w:r>
              <w:rPr>
                <w:rFonts w:hint="eastAsia" w:ascii="Arial" w:hAnsi="Arial" w:cs="Arial"/>
                <w:color w:val="auto"/>
                <w:szCs w:val="21"/>
                <w:highlight w:val="none"/>
                <w:shd w:val="clear" w:color="auto" w:fill="FFFFFF"/>
                <w:lang w:bidi="ar"/>
              </w:rPr>
              <w:t>通过验收；运营服务期自全部新设立站点投入试运营之日的次月1日起24个月（即2026年12月至2028年11月）。</w:t>
            </w:r>
          </w:p>
          <w:p w14:paraId="3C1FCD59">
            <w:pPr>
              <w:widowControl/>
              <w:shd w:val="clear" w:color="auto" w:fill="FFFFFF"/>
              <w:spacing w:line="360" w:lineRule="auto"/>
              <w:rPr>
                <w:rFonts w:ascii="Arial" w:hAnsi="Arial" w:cs="Arial"/>
                <w:color w:val="auto"/>
                <w:szCs w:val="21"/>
                <w:highlight w:val="none"/>
                <w:u w:val="single"/>
                <w:shd w:val="clear" w:color="auto" w:fill="FFFFFF"/>
              </w:rPr>
            </w:pPr>
            <w:r>
              <w:rPr>
                <w:rFonts w:ascii="Arial" w:hAnsi="Arial" w:cs="Arial"/>
                <w:color w:val="auto"/>
                <w:szCs w:val="21"/>
                <w:highlight w:val="none"/>
                <w:shd w:val="clear" w:color="auto" w:fill="FFFFFF"/>
                <w:lang w:bidi="ar"/>
              </w:rPr>
              <w:t>▲三、服务地点：</w:t>
            </w:r>
            <w:r>
              <w:rPr>
                <w:rFonts w:ascii="Arial" w:hAnsi="Arial" w:cs="Arial"/>
                <w:color w:val="auto"/>
                <w:szCs w:val="21"/>
                <w:highlight w:val="none"/>
                <w:u w:val="single"/>
                <w:shd w:val="clear" w:color="auto" w:fill="FFFFFF"/>
                <w:lang w:bidi="ar"/>
              </w:rPr>
              <w:t>广西南宁市宾阳县采购人指定地点。</w:t>
            </w:r>
          </w:p>
          <w:p w14:paraId="2B15B1F0">
            <w:pPr>
              <w:spacing w:line="360" w:lineRule="auto"/>
              <w:rPr>
                <w:rFonts w:ascii="Arial" w:hAnsi="Arial" w:cs="Arial"/>
                <w:color w:val="auto"/>
                <w:szCs w:val="21"/>
                <w:highlight w:val="none"/>
              </w:rPr>
            </w:pPr>
            <w:r>
              <w:rPr>
                <w:rFonts w:ascii="Arial" w:hAnsi="Arial" w:cs="Arial"/>
                <w:color w:val="auto"/>
                <w:szCs w:val="21"/>
                <w:highlight w:val="none"/>
                <w:lang w:bidi="ar"/>
              </w:rPr>
              <w:t>▲四、其他要求：</w:t>
            </w:r>
          </w:p>
          <w:p w14:paraId="7A581F86">
            <w:pPr>
              <w:spacing w:line="360" w:lineRule="auto"/>
              <w:rPr>
                <w:rFonts w:ascii="Arial" w:hAnsi="Arial" w:cs="Arial"/>
                <w:color w:val="auto"/>
                <w:szCs w:val="21"/>
                <w:highlight w:val="none"/>
              </w:rPr>
            </w:pPr>
            <w:r>
              <w:rPr>
                <w:rFonts w:ascii="Arial" w:hAnsi="Arial" w:cs="Arial"/>
                <w:color w:val="auto"/>
                <w:szCs w:val="21"/>
                <w:highlight w:val="none"/>
                <w:lang w:bidi="ar"/>
              </w:rPr>
              <w:t>1.报价为人民币含税价，总价包干。包括但不限于：</w:t>
            </w:r>
          </w:p>
          <w:p w14:paraId="21BE41A1">
            <w:pPr>
              <w:spacing w:line="360" w:lineRule="auto"/>
              <w:rPr>
                <w:rFonts w:ascii="Arial" w:hAnsi="Arial" w:cs="Arial"/>
                <w:color w:val="auto"/>
                <w:szCs w:val="21"/>
                <w:highlight w:val="none"/>
              </w:rPr>
            </w:pPr>
            <w:r>
              <w:rPr>
                <w:rFonts w:ascii="Arial" w:hAnsi="Arial" w:cs="Arial"/>
                <w:color w:val="auto"/>
                <w:szCs w:val="21"/>
                <w:highlight w:val="none"/>
                <w:lang w:bidi="ar"/>
              </w:rPr>
              <w:t>（1）完成本次服务的价格（包括但不限于支持人力资源市场、就业服务站就业公共服务的规范配备、运营团队人员投入、人员报酬/住宿/交通，及为群众和用人单位提供咨询服务、求职服务、零工服务、创业服务、技能培训、就业援助、劳动维权、信息平台投入等）；</w:t>
            </w:r>
          </w:p>
          <w:p w14:paraId="1AE89156">
            <w:pPr>
              <w:spacing w:line="360" w:lineRule="auto"/>
              <w:rPr>
                <w:rFonts w:ascii="Arial" w:hAnsi="Arial" w:cs="Arial"/>
                <w:color w:val="auto"/>
                <w:szCs w:val="21"/>
                <w:highlight w:val="none"/>
              </w:rPr>
            </w:pPr>
            <w:r>
              <w:rPr>
                <w:rFonts w:ascii="Arial" w:hAnsi="Arial" w:cs="Arial"/>
                <w:color w:val="auto"/>
                <w:szCs w:val="21"/>
                <w:highlight w:val="none"/>
                <w:lang w:bidi="ar"/>
              </w:rPr>
              <w:t>（2）必要的保险费用和各项税金；</w:t>
            </w:r>
          </w:p>
          <w:p w14:paraId="671C4D88">
            <w:pPr>
              <w:spacing w:line="360" w:lineRule="auto"/>
              <w:rPr>
                <w:rFonts w:ascii="Arial" w:hAnsi="Arial" w:cs="Arial"/>
                <w:color w:val="auto"/>
                <w:szCs w:val="21"/>
                <w:highlight w:val="none"/>
              </w:rPr>
            </w:pPr>
            <w:r>
              <w:rPr>
                <w:rFonts w:ascii="Arial" w:hAnsi="Arial" w:cs="Arial"/>
                <w:color w:val="auto"/>
                <w:szCs w:val="21"/>
                <w:highlight w:val="none"/>
                <w:lang w:bidi="ar"/>
              </w:rPr>
              <w:t>（3）项目验收的费用、后期的技术支持、售后服务（如有）的费用；</w:t>
            </w:r>
          </w:p>
          <w:p w14:paraId="43D74A93">
            <w:pPr>
              <w:spacing w:line="360" w:lineRule="auto"/>
              <w:rPr>
                <w:rFonts w:ascii="Arial" w:hAnsi="Arial" w:cs="Arial"/>
                <w:color w:val="auto"/>
                <w:szCs w:val="21"/>
                <w:highlight w:val="none"/>
                <w:lang w:bidi="ar"/>
              </w:rPr>
            </w:pPr>
            <w:r>
              <w:rPr>
                <w:rFonts w:ascii="Arial" w:hAnsi="Arial" w:cs="Arial"/>
                <w:color w:val="auto"/>
                <w:szCs w:val="21"/>
                <w:highlight w:val="none"/>
                <w:lang w:bidi="ar"/>
              </w:rPr>
              <w:t>（4）管理、保险、税费、利润等，以及合同明示或暗示的所有责任、义务和一般风险等。</w:t>
            </w:r>
          </w:p>
          <w:p w14:paraId="3554C005">
            <w:pPr>
              <w:spacing w:line="360" w:lineRule="auto"/>
              <w:rPr>
                <w:rFonts w:ascii="Arial" w:hAnsi="Arial" w:cs="Arial"/>
                <w:color w:val="auto"/>
                <w:szCs w:val="21"/>
                <w:highlight w:val="none"/>
                <w:lang w:bidi="ar"/>
              </w:rPr>
            </w:pPr>
            <w:r>
              <w:rPr>
                <w:rFonts w:ascii="Arial" w:hAnsi="Arial" w:cs="Arial"/>
                <w:color w:val="auto"/>
                <w:szCs w:val="21"/>
                <w:highlight w:val="none"/>
                <w:lang w:bidi="ar"/>
              </w:rPr>
              <w:t>（5）投标人需提供18个站点的分项报价。</w:t>
            </w:r>
          </w:p>
          <w:p w14:paraId="0F5758C2">
            <w:pPr>
              <w:spacing w:line="360" w:lineRule="auto"/>
              <w:rPr>
                <w:rFonts w:ascii="Arial" w:hAnsi="Arial" w:cs="Arial"/>
                <w:color w:val="auto"/>
                <w:szCs w:val="21"/>
                <w:highlight w:val="none"/>
              </w:rPr>
            </w:pPr>
            <w:r>
              <w:rPr>
                <w:rFonts w:ascii="Arial" w:hAnsi="Arial" w:cs="Arial"/>
                <w:color w:val="auto"/>
                <w:szCs w:val="21"/>
                <w:highlight w:val="none"/>
                <w:lang w:bidi="ar"/>
              </w:rPr>
              <w:t>2.产生的水电、物业、清洁、通信、网络等费用由中标供应商承担</w:t>
            </w:r>
            <w:r>
              <w:rPr>
                <w:rFonts w:hint="eastAsia" w:ascii="宋体" w:hAnsi="宋体" w:cs="宋体"/>
                <w:b/>
                <w:bCs/>
                <w:color w:val="auto"/>
                <w:szCs w:val="21"/>
                <w:highlight w:val="none"/>
              </w:rPr>
              <w:t>【各服务网点场地提供方或管理单位愿意提供的除外】。</w:t>
            </w:r>
          </w:p>
          <w:p w14:paraId="24F4D542">
            <w:pPr>
              <w:spacing w:line="360" w:lineRule="auto"/>
              <w:rPr>
                <w:rFonts w:ascii="Arial" w:hAnsi="Arial" w:cs="Arial"/>
                <w:color w:val="auto"/>
                <w:szCs w:val="21"/>
                <w:highlight w:val="none"/>
              </w:rPr>
            </w:pPr>
            <w:r>
              <w:rPr>
                <w:rFonts w:ascii="Arial" w:hAnsi="Arial" w:cs="Arial"/>
                <w:color w:val="auto"/>
                <w:szCs w:val="21"/>
                <w:highlight w:val="none"/>
                <w:lang w:bidi="ar"/>
              </w:rPr>
              <w:t>3.中标供应商所提供的相关服务，以及服务过程中，须免受第三方提出的侵犯其专利权或</w:t>
            </w:r>
            <w:r>
              <w:rPr>
                <w:rFonts w:hint="eastAsia" w:ascii="Arial" w:hAnsi="Arial" w:cs="Arial"/>
                <w:color w:val="auto"/>
                <w:szCs w:val="21"/>
                <w:highlight w:val="none"/>
                <w:lang w:eastAsia="zh-CN" w:bidi="ar"/>
              </w:rPr>
              <w:t>其他</w:t>
            </w:r>
            <w:r>
              <w:rPr>
                <w:rFonts w:ascii="Arial" w:hAnsi="Arial" w:cs="Arial"/>
                <w:color w:val="auto"/>
                <w:szCs w:val="21"/>
                <w:highlight w:val="none"/>
                <w:lang w:bidi="ar"/>
              </w:rPr>
              <w:t>知识产权的起诉。如果第三方提出侵权指控，中标供应商应承担由此而引起的一切法律责任和费用。</w:t>
            </w:r>
          </w:p>
          <w:p w14:paraId="5FA60317">
            <w:pPr>
              <w:spacing w:line="360" w:lineRule="auto"/>
              <w:rPr>
                <w:rFonts w:ascii="Arial" w:hAnsi="Arial" w:cs="Arial"/>
                <w:color w:val="auto"/>
                <w:szCs w:val="21"/>
                <w:highlight w:val="none"/>
              </w:rPr>
            </w:pPr>
            <w:r>
              <w:rPr>
                <w:rFonts w:ascii="Arial" w:hAnsi="Arial" w:cs="Arial"/>
                <w:color w:val="auto"/>
                <w:szCs w:val="21"/>
                <w:highlight w:val="none"/>
                <w:lang w:bidi="ar"/>
              </w:rPr>
              <w:t>4.保密要求：中标供应商应当严格执行保密和廉洁从业工作纪律，对在项目服务过程中的资料和获得信息要严格按保密管理，禁止与无关的人员交流或向第三方泄露其在提供服务期间获得项目涉及的相关信息、商业机密，否则须承担因此产生的全部责任。</w:t>
            </w:r>
          </w:p>
          <w:p w14:paraId="7ED17972">
            <w:pPr>
              <w:spacing w:line="360" w:lineRule="auto"/>
              <w:rPr>
                <w:rFonts w:ascii="Arial" w:hAnsi="Arial" w:cs="Arial"/>
                <w:color w:val="auto"/>
                <w:szCs w:val="21"/>
                <w:highlight w:val="none"/>
              </w:rPr>
            </w:pPr>
            <w:r>
              <w:rPr>
                <w:rFonts w:ascii="Arial" w:hAnsi="Arial" w:cs="Arial"/>
                <w:color w:val="auto"/>
                <w:szCs w:val="21"/>
                <w:highlight w:val="none"/>
                <w:lang w:bidi="ar"/>
              </w:rPr>
              <w:t>5.各服务站须在签订合同后四个月内完成筹备并投入正常运营，服务站筹备完成后，中标供应商须向采购人提供人力资源市场、各就业服务站规范配备的设备设施清单（作为验收依据之一）。服务期</w:t>
            </w:r>
            <w:r>
              <w:rPr>
                <w:rFonts w:hint="eastAsia" w:ascii="Arial" w:hAnsi="Arial" w:cs="Arial"/>
                <w:color w:val="auto"/>
                <w:szCs w:val="21"/>
                <w:highlight w:val="none"/>
                <w:lang w:eastAsia="zh-CN" w:bidi="ar"/>
              </w:rPr>
              <w:t>满后</w:t>
            </w:r>
            <w:r>
              <w:rPr>
                <w:rFonts w:ascii="Arial" w:hAnsi="Arial" w:cs="Arial"/>
                <w:color w:val="auto"/>
                <w:szCs w:val="21"/>
                <w:highlight w:val="none"/>
                <w:lang w:bidi="ar"/>
              </w:rPr>
              <w:t>，所有服务站点的设备设施不允许拆卸或破坏，并全部移交经招标或评审程序重新确定或采购方确定接管的服务单位继续使用。</w:t>
            </w:r>
          </w:p>
          <w:p w14:paraId="452D006D">
            <w:pPr>
              <w:spacing w:line="360" w:lineRule="auto"/>
              <w:rPr>
                <w:rFonts w:ascii="Arial" w:hAnsi="Arial" w:cs="Arial"/>
                <w:color w:val="auto"/>
                <w:szCs w:val="21"/>
                <w:highlight w:val="none"/>
              </w:rPr>
            </w:pPr>
            <w:r>
              <w:rPr>
                <w:rFonts w:ascii="Arial" w:hAnsi="Arial" w:cs="Arial"/>
                <w:color w:val="auto"/>
                <w:szCs w:val="21"/>
                <w:highlight w:val="none"/>
                <w:lang w:bidi="ar"/>
              </w:rPr>
              <w:t>6.规范配备前中标供应商须提供设计方案和设备设施配置方案供采购人审核同意后方可实施相关工作。</w:t>
            </w:r>
          </w:p>
          <w:p w14:paraId="6A7632BB">
            <w:pPr>
              <w:spacing w:line="360" w:lineRule="auto"/>
              <w:rPr>
                <w:rFonts w:ascii="Arial" w:hAnsi="Arial" w:cs="Arial"/>
                <w:color w:val="auto"/>
                <w:szCs w:val="21"/>
                <w:highlight w:val="none"/>
              </w:rPr>
            </w:pPr>
            <w:r>
              <w:rPr>
                <w:rFonts w:ascii="Arial" w:hAnsi="Arial" w:cs="Arial"/>
                <w:color w:val="auto"/>
                <w:szCs w:val="21"/>
                <w:highlight w:val="none"/>
                <w:lang w:bidi="ar"/>
              </w:rPr>
              <w:t>7.运营服务过程中，所提供服务内容涉及国家实行经营许可证制度或注册证制度的，中标供应商应按规定具备相关有效的证书，否则应承担违法责任；由此影响采购人项目服务实施工作或造成不良影响的还须承担违约责任。</w:t>
            </w:r>
          </w:p>
          <w:p w14:paraId="538527AB">
            <w:pPr>
              <w:spacing w:line="360" w:lineRule="auto"/>
              <w:rPr>
                <w:rFonts w:ascii="Arial" w:hAnsi="Arial" w:cs="Arial"/>
                <w:color w:val="auto"/>
                <w:szCs w:val="21"/>
                <w:highlight w:val="none"/>
              </w:rPr>
            </w:pPr>
            <w:r>
              <w:rPr>
                <w:rFonts w:ascii="Arial" w:hAnsi="Arial" w:cs="Arial"/>
                <w:color w:val="auto"/>
                <w:szCs w:val="21"/>
                <w:highlight w:val="none"/>
                <w:lang w:bidi="ar"/>
              </w:rPr>
              <w:t>8.投标人必须</w:t>
            </w:r>
            <w:r>
              <w:rPr>
                <w:rFonts w:hint="eastAsia" w:ascii="Arial" w:hAnsi="Arial" w:cs="Arial"/>
                <w:color w:val="auto"/>
                <w:szCs w:val="21"/>
                <w:highlight w:val="none"/>
                <w:lang w:eastAsia="zh-CN" w:bidi="ar"/>
              </w:rPr>
              <w:t>提供</w:t>
            </w:r>
            <w:r>
              <w:rPr>
                <w:rFonts w:ascii="Arial" w:hAnsi="Arial" w:cs="Arial"/>
                <w:color w:val="auto"/>
                <w:szCs w:val="21"/>
                <w:highlight w:val="none"/>
                <w:lang w:bidi="ar"/>
              </w:rPr>
              <w:t>应急响应方案（如承诺在项目执行期间，在项目地设立常驻服务点或拥有固定的经营场所和售后服务团队），承诺在接到服务通知后2小时内到达现场进行处理。</w:t>
            </w:r>
            <w:r>
              <w:rPr>
                <w:rFonts w:hint="eastAsia"/>
                <w:b/>
                <w:bCs/>
                <w:color w:val="auto"/>
                <w:highlight w:val="none"/>
              </w:rPr>
              <w:t>投标人未提供应急响应方案的，否决投标。</w:t>
            </w:r>
          </w:p>
          <w:p w14:paraId="364FAF00">
            <w:pPr>
              <w:spacing w:line="360" w:lineRule="auto"/>
              <w:rPr>
                <w:rFonts w:ascii="Arial" w:hAnsi="Arial" w:cs="Arial"/>
                <w:color w:val="auto"/>
                <w:szCs w:val="21"/>
                <w:highlight w:val="none"/>
              </w:rPr>
            </w:pPr>
            <w:r>
              <w:rPr>
                <w:rFonts w:ascii="Arial" w:hAnsi="Arial" w:cs="Arial"/>
                <w:color w:val="auto"/>
                <w:szCs w:val="21"/>
                <w:highlight w:val="none"/>
                <w:lang w:bidi="ar"/>
              </w:rPr>
              <w:t>▲五、付款方式：</w:t>
            </w:r>
          </w:p>
          <w:p w14:paraId="29F971B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lang w:bidi="ar"/>
              </w:rPr>
              <w:t>1.运营服务费共820万元，各站点每年运营服务费用参照南宁市标准，并结合站点实际情况根据中标金额进行资金测算。</w:t>
            </w:r>
          </w:p>
          <w:p w14:paraId="618C1D5F">
            <w:pPr>
              <w:spacing w:line="360" w:lineRule="auto"/>
              <w:ind w:firstLine="420" w:firstLineChars="200"/>
              <w:rPr>
                <w:rFonts w:ascii="Arial" w:hAnsi="Arial" w:cs="Arial"/>
                <w:color w:val="auto"/>
                <w:szCs w:val="21"/>
                <w:highlight w:val="none"/>
                <w:lang w:bidi="ar"/>
              </w:rPr>
            </w:pPr>
            <w:r>
              <w:rPr>
                <w:rFonts w:ascii="Arial" w:hAnsi="Arial" w:cs="Arial"/>
                <w:color w:val="auto"/>
                <w:szCs w:val="21"/>
                <w:highlight w:val="none"/>
                <w:lang w:bidi="ar"/>
              </w:rPr>
              <w:t>2.签订合同后向中标方预付合同总金额的</w:t>
            </w:r>
            <w:r>
              <w:rPr>
                <w:rFonts w:hint="eastAsia" w:ascii="Arial" w:hAnsi="Arial" w:cs="Arial"/>
                <w:color w:val="auto"/>
                <w:szCs w:val="21"/>
                <w:highlight w:val="none"/>
                <w:lang w:bidi="ar"/>
              </w:rPr>
              <w:t>3</w:t>
            </w:r>
            <w:r>
              <w:rPr>
                <w:rFonts w:ascii="Arial" w:hAnsi="Arial" w:cs="Arial"/>
                <w:color w:val="auto"/>
                <w:szCs w:val="21"/>
                <w:highlight w:val="none"/>
                <w:lang w:bidi="ar"/>
              </w:rPr>
              <w:t>0%；待</w:t>
            </w:r>
            <w:r>
              <w:rPr>
                <w:rFonts w:ascii="Arial" w:hAnsi="Arial" w:cs="Arial"/>
                <w:b/>
                <w:bCs/>
                <w:color w:val="auto"/>
                <w:szCs w:val="21"/>
                <w:highlight w:val="none"/>
                <w:lang w:bidi="ar"/>
              </w:rPr>
              <w:t>完成18个基层服务网点规划建设，</w:t>
            </w:r>
            <w:r>
              <w:rPr>
                <w:rFonts w:ascii="Arial" w:hAnsi="Arial" w:cs="Arial"/>
                <w:color w:val="auto"/>
                <w:szCs w:val="21"/>
                <w:highlight w:val="none"/>
                <w:lang w:bidi="ar"/>
              </w:rPr>
              <w:t>并投入试运营验收合格后，支付合同总金额的</w:t>
            </w:r>
            <w:r>
              <w:rPr>
                <w:rFonts w:hint="eastAsia" w:ascii="Arial" w:hAnsi="Arial" w:cs="Arial"/>
                <w:color w:val="auto"/>
                <w:szCs w:val="21"/>
                <w:highlight w:val="none"/>
                <w:lang w:bidi="ar"/>
              </w:rPr>
              <w:t>1</w:t>
            </w:r>
            <w:r>
              <w:rPr>
                <w:rFonts w:ascii="Arial" w:hAnsi="Arial" w:cs="Arial"/>
                <w:color w:val="auto"/>
                <w:szCs w:val="21"/>
                <w:highlight w:val="none"/>
                <w:lang w:bidi="ar"/>
              </w:rPr>
              <w:t>0%；</w:t>
            </w:r>
            <w:r>
              <w:rPr>
                <w:rFonts w:hint="eastAsia" w:ascii="Arial" w:hAnsi="Arial" w:cs="Arial"/>
                <w:color w:val="auto"/>
                <w:szCs w:val="21"/>
                <w:highlight w:val="none"/>
                <w:lang w:bidi="ar"/>
              </w:rPr>
              <w:t>余下60%按4次进行支付，</w:t>
            </w:r>
            <w:r>
              <w:rPr>
                <w:rFonts w:ascii="Arial" w:hAnsi="Arial" w:cs="Arial"/>
                <w:color w:val="auto"/>
                <w:szCs w:val="21"/>
                <w:highlight w:val="none"/>
                <w:lang w:bidi="ar"/>
              </w:rPr>
              <w:t>正式运营后按半年、年度分别开展中期、年度考核，</w:t>
            </w:r>
            <w:r>
              <w:rPr>
                <w:rFonts w:hint="eastAsia" w:ascii="Arial" w:hAnsi="Arial" w:cs="Arial"/>
                <w:color w:val="auto"/>
                <w:szCs w:val="21"/>
                <w:highlight w:val="none"/>
                <w:lang w:bidi="ar"/>
              </w:rPr>
              <w:t>2年合计4次考核，</w:t>
            </w:r>
            <w:r>
              <w:rPr>
                <w:rFonts w:ascii="Arial" w:hAnsi="Arial" w:cs="Arial"/>
                <w:color w:val="auto"/>
                <w:szCs w:val="21"/>
                <w:highlight w:val="none"/>
                <w:lang w:bidi="ar"/>
              </w:rPr>
              <w:t>根据考核结果</w:t>
            </w:r>
            <w:r>
              <w:rPr>
                <w:rFonts w:hint="eastAsia" w:ascii="Arial" w:hAnsi="Arial" w:cs="Arial"/>
                <w:color w:val="auto"/>
                <w:szCs w:val="21"/>
                <w:highlight w:val="none"/>
                <w:lang w:bidi="ar"/>
              </w:rPr>
              <w:t>进行</w:t>
            </w:r>
            <w:r>
              <w:rPr>
                <w:rFonts w:ascii="Arial" w:hAnsi="Arial" w:cs="Arial"/>
                <w:color w:val="auto"/>
                <w:szCs w:val="21"/>
                <w:highlight w:val="none"/>
                <w:lang w:bidi="ar"/>
              </w:rPr>
              <w:t>支付</w:t>
            </w:r>
            <w:r>
              <w:rPr>
                <w:rFonts w:hint="eastAsia" w:ascii="Arial" w:hAnsi="Arial" w:cs="Arial"/>
                <w:color w:val="auto"/>
                <w:szCs w:val="21"/>
                <w:highlight w:val="none"/>
                <w:lang w:bidi="ar"/>
              </w:rPr>
              <w:t>。</w:t>
            </w:r>
          </w:p>
          <w:p w14:paraId="574F9F93">
            <w:pPr>
              <w:spacing w:line="360" w:lineRule="auto"/>
              <w:ind w:firstLine="420" w:firstLineChars="200"/>
              <w:rPr>
                <w:rFonts w:ascii="Arial" w:hAnsi="Arial" w:cs="Arial"/>
                <w:color w:val="auto"/>
                <w:szCs w:val="21"/>
                <w:highlight w:val="none"/>
                <w:lang w:bidi="ar"/>
              </w:rPr>
            </w:pPr>
            <w:r>
              <w:rPr>
                <w:rFonts w:hint="eastAsia" w:ascii="Arial" w:hAnsi="Arial" w:cs="Arial"/>
                <w:color w:val="auto"/>
                <w:szCs w:val="21"/>
                <w:highlight w:val="none"/>
                <w:lang w:bidi="ar"/>
              </w:rPr>
              <w:t>第1次考核：第1年中期考核按各站点考核的等次结果，最多支付</w:t>
            </w:r>
            <w:r>
              <w:rPr>
                <w:rFonts w:ascii="Arial" w:hAnsi="Arial" w:cs="Arial"/>
                <w:color w:val="auto"/>
                <w:szCs w:val="21"/>
                <w:highlight w:val="none"/>
                <w:lang w:bidi="ar"/>
              </w:rPr>
              <w:t>合同</w:t>
            </w:r>
            <w:r>
              <w:rPr>
                <w:rFonts w:hint="eastAsia" w:ascii="Arial" w:hAnsi="Arial" w:cs="Arial"/>
                <w:color w:val="auto"/>
                <w:szCs w:val="21"/>
                <w:highlight w:val="none"/>
                <w:lang w:bidi="ar"/>
              </w:rPr>
              <w:t>总金额的15%；</w:t>
            </w:r>
          </w:p>
          <w:p w14:paraId="24A9B0FB">
            <w:pPr>
              <w:spacing w:line="360" w:lineRule="auto"/>
              <w:ind w:firstLine="420" w:firstLineChars="200"/>
              <w:rPr>
                <w:rFonts w:ascii="Arial" w:hAnsi="Arial" w:cs="Arial"/>
                <w:color w:val="auto"/>
                <w:szCs w:val="21"/>
                <w:highlight w:val="none"/>
                <w:lang w:bidi="ar"/>
              </w:rPr>
            </w:pPr>
            <w:r>
              <w:rPr>
                <w:rFonts w:hint="eastAsia" w:ascii="Arial" w:hAnsi="Arial" w:cs="Arial"/>
                <w:color w:val="auto"/>
                <w:szCs w:val="21"/>
                <w:highlight w:val="none"/>
                <w:lang w:bidi="ar"/>
              </w:rPr>
              <w:t>第2次考核：第1年年度考核按各站点考核的等次结果，最多支付</w:t>
            </w:r>
            <w:r>
              <w:rPr>
                <w:rFonts w:ascii="Arial" w:hAnsi="Arial" w:cs="Arial"/>
                <w:color w:val="auto"/>
                <w:szCs w:val="21"/>
                <w:highlight w:val="none"/>
                <w:lang w:bidi="ar"/>
              </w:rPr>
              <w:t>合同</w:t>
            </w:r>
            <w:r>
              <w:rPr>
                <w:rFonts w:hint="eastAsia" w:ascii="Arial" w:hAnsi="Arial" w:cs="Arial"/>
                <w:color w:val="auto"/>
                <w:szCs w:val="21"/>
                <w:highlight w:val="none"/>
                <w:lang w:bidi="ar"/>
              </w:rPr>
              <w:t>总金额的15%；</w:t>
            </w:r>
          </w:p>
          <w:p w14:paraId="1CF75A36">
            <w:pPr>
              <w:spacing w:line="360" w:lineRule="auto"/>
              <w:ind w:firstLine="420" w:firstLineChars="200"/>
              <w:rPr>
                <w:rFonts w:ascii="Arial" w:hAnsi="Arial" w:cs="Arial"/>
                <w:color w:val="auto"/>
                <w:szCs w:val="21"/>
                <w:highlight w:val="none"/>
                <w:lang w:bidi="ar"/>
              </w:rPr>
            </w:pPr>
            <w:r>
              <w:rPr>
                <w:rFonts w:hint="eastAsia" w:ascii="Arial" w:hAnsi="Arial" w:cs="Arial"/>
                <w:color w:val="auto"/>
                <w:szCs w:val="21"/>
                <w:highlight w:val="none"/>
                <w:lang w:bidi="ar"/>
              </w:rPr>
              <w:t>第3次考核：第2年中期考核按各站点考核的等次结果，最多支付</w:t>
            </w:r>
            <w:r>
              <w:rPr>
                <w:rFonts w:ascii="Arial" w:hAnsi="Arial" w:cs="Arial"/>
                <w:color w:val="auto"/>
                <w:szCs w:val="21"/>
                <w:highlight w:val="none"/>
                <w:lang w:bidi="ar"/>
              </w:rPr>
              <w:t>合同</w:t>
            </w:r>
            <w:r>
              <w:rPr>
                <w:rFonts w:hint="eastAsia" w:ascii="Arial" w:hAnsi="Arial" w:cs="Arial"/>
                <w:color w:val="auto"/>
                <w:szCs w:val="21"/>
                <w:highlight w:val="none"/>
                <w:lang w:bidi="ar"/>
              </w:rPr>
              <w:t>总金额的15%；</w:t>
            </w:r>
          </w:p>
          <w:p w14:paraId="584C98F7">
            <w:pPr>
              <w:spacing w:line="360" w:lineRule="auto"/>
              <w:ind w:firstLine="420" w:firstLineChars="200"/>
              <w:rPr>
                <w:rFonts w:ascii="Arial" w:hAnsi="Arial" w:cs="Arial"/>
                <w:color w:val="auto"/>
                <w:szCs w:val="21"/>
                <w:highlight w:val="none"/>
                <w:lang w:bidi="ar"/>
              </w:rPr>
            </w:pPr>
            <w:r>
              <w:rPr>
                <w:rFonts w:hint="eastAsia" w:ascii="Arial" w:hAnsi="Arial" w:cs="Arial"/>
                <w:color w:val="auto"/>
                <w:szCs w:val="21"/>
                <w:highlight w:val="none"/>
                <w:lang w:bidi="ar"/>
              </w:rPr>
              <w:t>第4次考核：第2年年度考核按各站点考核的等次结果，最多支付</w:t>
            </w:r>
            <w:r>
              <w:rPr>
                <w:rFonts w:ascii="Arial" w:hAnsi="Arial" w:cs="Arial"/>
                <w:color w:val="auto"/>
                <w:szCs w:val="21"/>
                <w:highlight w:val="none"/>
                <w:lang w:bidi="ar"/>
              </w:rPr>
              <w:t>合同</w:t>
            </w:r>
            <w:r>
              <w:rPr>
                <w:rFonts w:hint="eastAsia" w:ascii="Arial" w:hAnsi="Arial" w:cs="Arial"/>
                <w:color w:val="auto"/>
                <w:szCs w:val="21"/>
                <w:highlight w:val="none"/>
                <w:lang w:bidi="ar"/>
              </w:rPr>
              <w:t>总金额的15%；</w:t>
            </w:r>
          </w:p>
          <w:p w14:paraId="0D95234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lang w:bidi="ar"/>
              </w:rPr>
              <w:t>（考核标准详见本章附件</w:t>
            </w:r>
            <w:r>
              <w:rPr>
                <w:rFonts w:hint="eastAsia" w:ascii="Arial" w:hAnsi="Arial" w:cs="Arial"/>
                <w:color w:val="auto"/>
                <w:szCs w:val="21"/>
                <w:highlight w:val="none"/>
                <w:lang w:bidi="ar"/>
              </w:rPr>
              <w:t>8</w:t>
            </w:r>
            <w:r>
              <w:rPr>
                <w:rFonts w:ascii="Arial" w:hAnsi="Arial" w:cs="Arial"/>
                <w:color w:val="auto"/>
                <w:szCs w:val="21"/>
                <w:highlight w:val="none"/>
                <w:lang w:bidi="ar"/>
              </w:rPr>
              <w:t>、</w:t>
            </w:r>
            <w:r>
              <w:rPr>
                <w:rFonts w:hint="eastAsia" w:ascii="Arial" w:hAnsi="Arial" w:cs="Arial"/>
                <w:color w:val="auto"/>
                <w:szCs w:val="21"/>
                <w:highlight w:val="none"/>
                <w:lang w:bidi="ar"/>
              </w:rPr>
              <w:t>9</w:t>
            </w:r>
            <w:r>
              <w:rPr>
                <w:rFonts w:ascii="Arial" w:hAnsi="Arial" w:cs="Arial"/>
                <w:color w:val="auto"/>
                <w:szCs w:val="21"/>
                <w:highlight w:val="none"/>
                <w:lang w:bidi="ar"/>
              </w:rPr>
              <w:t>、10）：</w:t>
            </w:r>
          </w:p>
          <w:p w14:paraId="2D775C0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lang w:bidi="ar"/>
              </w:rPr>
              <w:t>（1）</w:t>
            </w:r>
            <w:r>
              <w:rPr>
                <w:rFonts w:hint="eastAsia" w:ascii="Arial" w:hAnsi="Arial" w:cs="Arial"/>
                <w:color w:val="auto"/>
                <w:szCs w:val="21"/>
                <w:highlight w:val="none"/>
                <w:lang w:bidi="ar"/>
              </w:rPr>
              <w:t>当次</w:t>
            </w:r>
            <w:r>
              <w:rPr>
                <w:rFonts w:ascii="Arial" w:hAnsi="Arial" w:cs="Arial"/>
                <w:color w:val="auto"/>
                <w:szCs w:val="21"/>
                <w:highlight w:val="none"/>
                <w:lang w:bidi="ar"/>
              </w:rPr>
              <w:t>考核得分达到90分</w:t>
            </w:r>
            <w:r>
              <w:rPr>
                <w:rFonts w:hint="eastAsia" w:ascii="Arial" w:hAnsi="Arial" w:cs="Arial"/>
                <w:color w:val="auto"/>
                <w:szCs w:val="21"/>
                <w:highlight w:val="none"/>
                <w:lang w:bidi="ar"/>
              </w:rPr>
              <w:t>（含）以上</w:t>
            </w:r>
            <w:r>
              <w:rPr>
                <w:rFonts w:hint="eastAsia" w:ascii="Arial" w:hAnsi="Arial" w:cs="Arial"/>
                <w:color w:val="auto"/>
                <w:szCs w:val="21"/>
                <w:highlight w:val="none"/>
                <w:lang w:eastAsia="zh-CN" w:bidi="ar"/>
              </w:rPr>
              <w:t>的认</w:t>
            </w:r>
            <w:r>
              <w:rPr>
                <w:rFonts w:hint="eastAsia" w:ascii="Arial" w:hAnsi="Arial" w:cs="Arial"/>
                <w:color w:val="auto"/>
                <w:szCs w:val="21"/>
                <w:highlight w:val="none"/>
                <w:lang w:bidi="ar"/>
              </w:rPr>
              <w:t>定为A等次，</w:t>
            </w:r>
            <w:r>
              <w:rPr>
                <w:rFonts w:ascii="Arial" w:hAnsi="Arial" w:cs="Arial"/>
                <w:color w:val="auto"/>
                <w:szCs w:val="21"/>
                <w:highlight w:val="none"/>
                <w:lang w:bidi="ar"/>
              </w:rPr>
              <w:t>支付合同约定</w:t>
            </w:r>
            <w:r>
              <w:rPr>
                <w:rFonts w:hint="eastAsia" w:ascii="Arial" w:hAnsi="Arial" w:cs="Arial"/>
                <w:color w:val="auto"/>
                <w:szCs w:val="21"/>
                <w:highlight w:val="none"/>
                <w:lang w:bidi="ar"/>
              </w:rPr>
              <w:t>当次考核应付</w:t>
            </w:r>
            <w:r>
              <w:rPr>
                <w:rFonts w:ascii="Arial" w:hAnsi="Arial" w:cs="Arial"/>
                <w:color w:val="auto"/>
                <w:szCs w:val="21"/>
                <w:highlight w:val="none"/>
                <w:lang w:bidi="ar"/>
              </w:rPr>
              <w:t>费用的100%；</w:t>
            </w:r>
          </w:p>
          <w:p w14:paraId="5712F87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lang w:bidi="ar"/>
              </w:rPr>
              <w:t>（2）</w:t>
            </w:r>
            <w:r>
              <w:rPr>
                <w:rFonts w:hint="eastAsia" w:ascii="Arial" w:hAnsi="Arial" w:cs="Arial"/>
                <w:color w:val="auto"/>
                <w:szCs w:val="21"/>
                <w:highlight w:val="none"/>
                <w:lang w:bidi="ar"/>
              </w:rPr>
              <w:t>当次</w:t>
            </w:r>
            <w:r>
              <w:rPr>
                <w:rFonts w:ascii="Arial" w:hAnsi="Arial" w:cs="Arial"/>
                <w:color w:val="auto"/>
                <w:szCs w:val="21"/>
                <w:highlight w:val="none"/>
                <w:lang w:bidi="ar"/>
              </w:rPr>
              <w:t>考核得分达到</w:t>
            </w:r>
            <w:r>
              <w:rPr>
                <w:rFonts w:hint="eastAsia" w:ascii="Arial" w:hAnsi="Arial" w:cs="Arial"/>
                <w:color w:val="auto"/>
                <w:szCs w:val="21"/>
                <w:highlight w:val="none"/>
                <w:lang w:bidi="ar"/>
              </w:rPr>
              <w:t>85</w:t>
            </w:r>
            <w:r>
              <w:rPr>
                <w:rFonts w:ascii="Arial" w:hAnsi="Arial" w:cs="Arial"/>
                <w:color w:val="auto"/>
                <w:szCs w:val="21"/>
                <w:highlight w:val="none"/>
                <w:lang w:bidi="ar"/>
              </w:rPr>
              <w:t>分</w:t>
            </w:r>
            <w:r>
              <w:rPr>
                <w:rFonts w:hint="eastAsia" w:ascii="Arial" w:hAnsi="Arial" w:cs="Arial"/>
                <w:color w:val="auto"/>
                <w:szCs w:val="21"/>
                <w:highlight w:val="none"/>
                <w:lang w:bidi="ar"/>
              </w:rPr>
              <w:t>（含）—90（不含）的</w:t>
            </w:r>
            <w:r>
              <w:rPr>
                <w:rFonts w:hint="eastAsia" w:ascii="Arial" w:hAnsi="Arial" w:cs="Arial"/>
                <w:color w:val="auto"/>
                <w:szCs w:val="21"/>
                <w:highlight w:val="none"/>
                <w:lang w:eastAsia="zh-CN" w:bidi="ar"/>
              </w:rPr>
              <w:t>认</w:t>
            </w:r>
            <w:r>
              <w:rPr>
                <w:rFonts w:hint="eastAsia" w:ascii="Arial" w:hAnsi="Arial" w:cs="Arial"/>
                <w:color w:val="auto"/>
                <w:szCs w:val="21"/>
                <w:highlight w:val="none"/>
                <w:lang w:bidi="ar"/>
              </w:rPr>
              <w:t>定为B等次，</w:t>
            </w:r>
            <w:r>
              <w:rPr>
                <w:rFonts w:ascii="Arial" w:hAnsi="Arial" w:cs="Arial"/>
                <w:color w:val="auto"/>
                <w:szCs w:val="21"/>
                <w:highlight w:val="none"/>
                <w:lang w:bidi="ar"/>
              </w:rPr>
              <w:t>支付合同约定</w:t>
            </w:r>
            <w:r>
              <w:rPr>
                <w:rFonts w:hint="eastAsia" w:ascii="Arial" w:hAnsi="Arial" w:cs="Arial"/>
                <w:color w:val="auto"/>
                <w:szCs w:val="21"/>
                <w:highlight w:val="none"/>
                <w:lang w:bidi="ar"/>
              </w:rPr>
              <w:t>当次考核应付</w:t>
            </w:r>
            <w:r>
              <w:rPr>
                <w:rFonts w:ascii="Arial" w:hAnsi="Arial" w:cs="Arial"/>
                <w:color w:val="auto"/>
                <w:szCs w:val="21"/>
                <w:highlight w:val="none"/>
                <w:lang w:bidi="ar"/>
              </w:rPr>
              <w:t>费用的</w:t>
            </w:r>
            <w:r>
              <w:rPr>
                <w:rFonts w:hint="eastAsia" w:ascii="Arial" w:hAnsi="Arial" w:cs="Arial"/>
                <w:color w:val="auto"/>
                <w:szCs w:val="21"/>
                <w:highlight w:val="none"/>
                <w:lang w:bidi="ar"/>
              </w:rPr>
              <w:t>90</w:t>
            </w:r>
            <w:r>
              <w:rPr>
                <w:rFonts w:ascii="Arial" w:hAnsi="Arial" w:cs="Arial"/>
                <w:color w:val="auto"/>
                <w:szCs w:val="21"/>
                <w:highlight w:val="none"/>
                <w:lang w:bidi="ar"/>
              </w:rPr>
              <w:t>%；</w:t>
            </w:r>
          </w:p>
          <w:p w14:paraId="0DD40C90">
            <w:pPr>
              <w:spacing w:line="360" w:lineRule="auto"/>
              <w:ind w:firstLine="420" w:firstLineChars="200"/>
              <w:rPr>
                <w:rFonts w:ascii="Arial" w:hAnsi="Arial" w:cs="Arial"/>
                <w:color w:val="auto"/>
                <w:szCs w:val="21"/>
                <w:highlight w:val="none"/>
                <w:lang w:bidi="ar"/>
              </w:rPr>
            </w:pPr>
            <w:r>
              <w:rPr>
                <w:rFonts w:ascii="Arial" w:hAnsi="Arial" w:cs="Arial"/>
                <w:color w:val="auto"/>
                <w:szCs w:val="21"/>
                <w:highlight w:val="none"/>
                <w:lang w:bidi="ar"/>
              </w:rPr>
              <w:t>（3）</w:t>
            </w:r>
            <w:r>
              <w:rPr>
                <w:rFonts w:hint="eastAsia" w:ascii="Arial" w:hAnsi="Arial" w:cs="Arial"/>
                <w:color w:val="auto"/>
                <w:szCs w:val="21"/>
                <w:highlight w:val="none"/>
                <w:lang w:bidi="ar"/>
              </w:rPr>
              <w:t>当次</w:t>
            </w:r>
            <w:r>
              <w:rPr>
                <w:rFonts w:ascii="Arial" w:hAnsi="Arial" w:cs="Arial"/>
                <w:color w:val="auto"/>
                <w:szCs w:val="21"/>
                <w:highlight w:val="none"/>
                <w:lang w:bidi="ar"/>
              </w:rPr>
              <w:t>考核得分达到</w:t>
            </w:r>
            <w:r>
              <w:rPr>
                <w:rFonts w:hint="eastAsia" w:ascii="Arial" w:hAnsi="Arial" w:cs="Arial"/>
                <w:color w:val="auto"/>
                <w:szCs w:val="21"/>
                <w:highlight w:val="none"/>
                <w:lang w:bidi="ar"/>
              </w:rPr>
              <w:t>80</w:t>
            </w:r>
            <w:r>
              <w:rPr>
                <w:rFonts w:ascii="Arial" w:hAnsi="Arial" w:cs="Arial"/>
                <w:color w:val="auto"/>
                <w:szCs w:val="21"/>
                <w:highlight w:val="none"/>
                <w:lang w:bidi="ar"/>
              </w:rPr>
              <w:t>分</w:t>
            </w:r>
            <w:r>
              <w:rPr>
                <w:rFonts w:hint="eastAsia" w:ascii="Arial" w:hAnsi="Arial" w:cs="Arial"/>
                <w:color w:val="auto"/>
                <w:szCs w:val="21"/>
                <w:highlight w:val="none"/>
                <w:lang w:bidi="ar"/>
              </w:rPr>
              <w:t>（含）—85（不含）的</w:t>
            </w:r>
            <w:r>
              <w:rPr>
                <w:rFonts w:hint="eastAsia" w:ascii="Arial" w:hAnsi="Arial" w:cs="Arial"/>
                <w:color w:val="auto"/>
                <w:szCs w:val="21"/>
                <w:highlight w:val="none"/>
                <w:lang w:eastAsia="zh-CN" w:bidi="ar"/>
              </w:rPr>
              <w:t>认</w:t>
            </w:r>
            <w:r>
              <w:rPr>
                <w:rFonts w:hint="eastAsia" w:ascii="Arial" w:hAnsi="Arial" w:cs="Arial"/>
                <w:color w:val="auto"/>
                <w:szCs w:val="21"/>
                <w:highlight w:val="none"/>
                <w:lang w:bidi="ar"/>
              </w:rPr>
              <w:t>定为C等次，</w:t>
            </w:r>
            <w:r>
              <w:rPr>
                <w:rFonts w:ascii="Arial" w:hAnsi="Arial" w:cs="Arial"/>
                <w:color w:val="auto"/>
                <w:szCs w:val="21"/>
                <w:highlight w:val="none"/>
                <w:lang w:bidi="ar"/>
              </w:rPr>
              <w:t>支付合同约定</w:t>
            </w:r>
            <w:r>
              <w:rPr>
                <w:rFonts w:hint="eastAsia" w:ascii="Arial" w:hAnsi="Arial" w:cs="Arial"/>
                <w:color w:val="auto"/>
                <w:szCs w:val="21"/>
                <w:highlight w:val="none"/>
                <w:lang w:bidi="ar"/>
              </w:rPr>
              <w:t>当次考核应付</w:t>
            </w:r>
            <w:r>
              <w:rPr>
                <w:rFonts w:ascii="Arial" w:hAnsi="Arial" w:cs="Arial"/>
                <w:color w:val="auto"/>
                <w:szCs w:val="21"/>
                <w:highlight w:val="none"/>
                <w:lang w:bidi="ar"/>
              </w:rPr>
              <w:t>费用的</w:t>
            </w:r>
            <w:r>
              <w:rPr>
                <w:rFonts w:hint="eastAsia" w:ascii="Arial" w:hAnsi="Arial" w:cs="Arial"/>
                <w:color w:val="auto"/>
                <w:szCs w:val="21"/>
                <w:highlight w:val="none"/>
                <w:lang w:bidi="ar"/>
              </w:rPr>
              <w:t>80</w:t>
            </w:r>
            <w:r>
              <w:rPr>
                <w:rFonts w:ascii="Arial" w:hAnsi="Arial" w:cs="Arial"/>
                <w:color w:val="auto"/>
                <w:szCs w:val="21"/>
                <w:highlight w:val="none"/>
                <w:lang w:bidi="ar"/>
              </w:rPr>
              <w:t>%；</w:t>
            </w:r>
          </w:p>
          <w:p w14:paraId="1AF29D6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lang w:bidi="ar"/>
              </w:rPr>
              <w:t>（</w:t>
            </w:r>
            <w:r>
              <w:rPr>
                <w:rFonts w:hint="eastAsia" w:ascii="Arial" w:hAnsi="Arial" w:cs="Arial"/>
                <w:color w:val="auto"/>
                <w:szCs w:val="21"/>
                <w:highlight w:val="none"/>
                <w:lang w:bidi="ar"/>
              </w:rPr>
              <w:t>4</w:t>
            </w:r>
            <w:r>
              <w:rPr>
                <w:rFonts w:ascii="Arial" w:hAnsi="Arial" w:cs="Arial"/>
                <w:color w:val="auto"/>
                <w:szCs w:val="21"/>
                <w:highlight w:val="none"/>
                <w:lang w:bidi="ar"/>
              </w:rPr>
              <w:t>）</w:t>
            </w:r>
            <w:r>
              <w:rPr>
                <w:rFonts w:hint="eastAsia" w:ascii="Arial" w:hAnsi="Arial" w:cs="Arial"/>
                <w:color w:val="auto"/>
                <w:szCs w:val="21"/>
                <w:highlight w:val="none"/>
                <w:lang w:bidi="ar"/>
              </w:rPr>
              <w:t>当次</w:t>
            </w:r>
            <w:r>
              <w:rPr>
                <w:rFonts w:ascii="Arial" w:hAnsi="Arial" w:cs="Arial"/>
                <w:color w:val="auto"/>
                <w:szCs w:val="21"/>
                <w:highlight w:val="none"/>
                <w:lang w:bidi="ar"/>
              </w:rPr>
              <w:t>考核得分达到</w:t>
            </w:r>
            <w:r>
              <w:rPr>
                <w:rFonts w:hint="eastAsia" w:ascii="Arial" w:hAnsi="Arial" w:cs="Arial"/>
                <w:color w:val="auto"/>
                <w:szCs w:val="21"/>
                <w:highlight w:val="none"/>
                <w:lang w:bidi="ar"/>
              </w:rPr>
              <w:t>75</w:t>
            </w:r>
            <w:r>
              <w:rPr>
                <w:rFonts w:ascii="Arial" w:hAnsi="Arial" w:cs="Arial"/>
                <w:color w:val="auto"/>
                <w:szCs w:val="21"/>
                <w:highlight w:val="none"/>
                <w:lang w:bidi="ar"/>
              </w:rPr>
              <w:t>分</w:t>
            </w:r>
            <w:r>
              <w:rPr>
                <w:rFonts w:hint="eastAsia" w:ascii="Arial" w:hAnsi="Arial" w:cs="Arial"/>
                <w:color w:val="auto"/>
                <w:szCs w:val="21"/>
                <w:highlight w:val="none"/>
                <w:lang w:bidi="ar"/>
              </w:rPr>
              <w:t>（含）—80（不含）的</w:t>
            </w:r>
            <w:r>
              <w:rPr>
                <w:rFonts w:hint="eastAsia" w:ascii="Arial" w:hAnsi="Arial" w:cs="Arial"/>
                <w:color w:val="auto"/>
                <w:szCs w:val="21"/>
                <w:highlight w:val="none"/>
                <w:lang w:eastAsia="zh-CN" w:bidi="ar"/>
              </w:rPr>
              <w:t>认</w:t>
            </w:r>
            <w:r>
              <w:rPr>
                <w:rFonts w:hint="eastAsia" w:ascii="Arial" w:hAnsi="Arial" w:cs="Arial"/>
                <w:color w:val="auto"/>
                <w:szCs w:val="21"/>
                <w:highlight w:val="none"/>
                <w:lang w:bidi="ar"/>
              </w:rPr>
              <w:t>定为D等次，</w:t>
            </w:r>
            <w:r>
              <w:rPr>
                <w:rFonts w:ascii="Arial" w:hAnsi="Arial" w:cs="Arial"/>
                <w:color w:val="auto"/>
                <w:szCs w:val="21"/>
                <w:highlight w:val="none"/>
                <w:lang w:bidi="ar"/>
              </w:rPr>
              <w:t>支付合同约定</w:t>
            </w:r>
            <w:r>
              <w:rPr>
                <w:rFonts w:hint="eastAsia" w:ascii="Arial" w:hAnsi="Arial" w:cs="Arial"/>
                <w:color w:val="auto"/>
                <w:szCs w:val="21"/>
                <w:highlight w:val="none"/>
                <w:lang w:bidi="ar"/>
              </w:rPr>
              <w:t>当次考核应付</w:t>
            </w:r>
            <w:r>
              <w:rPr>
                <w:rFonts w:ascii="Arial" w:hAnsi="Arial" w:cs="Arial"/>
                <w:color w:val="auto"/>
                <w:szCs w:val="21"/>
                <w:highlight w:val="none"/>
                <w:lang w:bidi="ar"/>
              </w:rPr>
              <w:t>费用的</w:t>
            </w:r>
            <w:r>
              <w:rPr>
                <w:rFonts w:hint="eastAsia" w:ascii="Arial" w:hAnsi="Arial" w:cs="Arial"/>
                <w:color w:val="auto"/>
                <w:szCs w:val="21"/>
                <w:highlight w:val="none"/>
                <w:lang w:bidi="ar"/>
              </w:rPr>
              <w:t>70</w:t>
            </w:r>
            <w:r>
              <w:rPr>
                <w:rFonts w:ascii="Arial" w:hAnsi="Arial" w:cs="Arial"/>
                <w:color w:val="auto"/>
                <w:szCs w:val="21"/>
                <w:highlight w:val="none"/>
                <w:lang w:bidi="ar"/>
              </w:rPr>
              <w:t>%；</w:t>
            </w:r>
          </w:p>
          <w:p w14:paraId="688DF90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lang w:bidi="ar"/>
              </w:rPr>
              <w:t>（</w:t>
            </w:r>
            <w:r>
              <w:rPr>
                <w:rFonts w:hint="eastAsia" w:ascii="Arial" w:hAnsi="Arial" w:cs="Arial"/>
                <w:color w:val="auto"/>
                <w:szCs w:val="21"/>
                <w:highlight w:val="none"/>
                <w:lang w:bidi="ar"/>
              </w:rPr>
              <w:t>5</w:t>
            </w:r>
            <w:r>
              <w:rPr>
                <w:rFonts w:ascii="Arial" w:hAnsi="Arial" w:cs="Arial"/>
                <w:color w:val="auto"/>
                <w:szCs w:val="21"/>
                <w:highlight w:val="none"/>
                <w:lang w:bidi="ar"/>
              </w:rPr>
              <w:t>）</w:t>
            </w:r>
            <w:r>
              <w:rPr>
                <w:rFonts w:hint="eastAsia" w:ascii="Arial" w:hAnsi="Arial" w:cs="Arial"/>
                <w:color w:val="auto"/>
                <w:szCs w:val="21"/>
                <w:highlight w:val="none"/>
                <w:lang w:bidi="ar"/>
              </w:rPr>
              <w:t>当次</w:t>
            </w:r>
            <w:r>
              <w:rPr>
                <w:rFonts w:ascii="Arial" w:hAnsi="Arial" w:cs="Arial"/>
                <w:color w:val="auto"/>
                <w:szCs w:val="21"/>
                <w:highlight w:val="none"/>
                <w:lang w:bidi="ar"/>
              </w:rPr>
              <w:t>考核得分达到</w:t>
            </w:r>
            <w:r>
              <w:rPr>
                <w:rFonts w:hint="eastAsia" w:ascii="Arial" w:hAnsi="Arial" w:cs="Arial"/>
                <w:color w:val="auto"/>
                <w:szCs w:val="21"/>
                <w:highlight w:val="none"/>
                <w:lang w:bidi="ar"/>
              </w:rPr>
              <w:t>60</w:t>
            </w:r>
            <w:r>
              <w:rPr>
                <w:rFonts w:ascii="Arial" w:hAnsi="Arial" w:cs="Arial"/>
                <w:color w:val="auto"/>
                <w:szCs w:val="21"/>
                <w:highlight w:val="none"/>
                <w:lang w:bidi="ar"/>
              </w:rPr>
              <w:t>分</w:t>
            </w:r>
            <w:r>
              <w:rPr>
                <w:rFonts w:hint="eastAsia" w:ascii="Arial" w:hAnsi="Arial" w:cs="Arial"/>
                <w:color w:val="auto"/>
                <w:szCs w:val="21"/>
                <w:highlight w:val="none"/>
                <w:lang w:bidi="ar"/>
              </w:rPr>
              <w:t>（含）—75（不含）的</w:t>
            </w:r>
            <w:r>
              <w:rPr>
                <w:rFonts w:hint="eastAsia" w:ascii="Arial" w:hAnsi="Arial" w:cs="Arial"/>
                <w:color w:val="auto"/>
                <w:szCs w:val="21"/>
                <w:highlight w:val="none"/>
                <w:lang w:eastAsia="zh-CN" w:bidi="ar"/>
              </w:rPr>
              <w:t>认</w:t>
            </w:r>
            <w:r>
              <w:rPr>
                <w:rFonts w:hint="eastAsia" w:ascii="Arial" w:hAnsi="Arial" w:cs="Arial"/>
                <w:color w:val="auto"/>
                <w:szCs w:val="21"/>
                <w:highlight w:val="none"/>
                <w:lang w:bidi="ar"/>
              </w:rPr>
              <w:t>定为E等次，</w:t>
            </w:r>
            <w:r>
              <w:rPr>
                <w:rFonts w:ascii="Arial" w:hAnsi="Arial" w:cs="Arial"/>
                <w:color w:val="auto"/>
                <w:szCs w:val="21"/>
                <w:highlight w:val="none"/>
                <w:lang w:bidi="ar"/>
              </w:rPr>
              <w:t>支付合同约定</w:t>
            </w:r>
            <w:r>
              <w:rPr>
                <w:rFonts w:hint="eastAsia" w:ascii="Arial" w:hAnsi="Arial" w:cs="Arial"/>
                <w:color w:val="auto"/>
                <w:szCs w:val="21"/>
                <w:highlight w:val="none"/>
                <w:lang w:bidi="ar"/>
              </w:rPr>
              <w:t>当次考核应付</w:t>
            </w:r>
            <w:r>
              <w:rPr>
                <w:rFonts w:ascii="Arial" w:hAnsi="Arial" w:cs="Arial"/>
                <w:color w:val="auto"/>
                <w:szCs w:val="21"/>
                <w:highlight w:val="none"/>
                <w:lang w:bidi="ar"/>
              </w:rPr>
              <w:t>费用的</w:t>
            </w:r>
            <w:r>
              <w:rPr>
                <w:rFonts w:hint="eastAsia" w:ascii="Arial" w:hAnsi="Arial" w:cs="Arial"/>
                <w:color w:val="auto"/>
                <w:szCs w:val="21"/>
                <w:highlight w:val="none"/>
                <w:lang w:bidi="ar"/>
              </w:rPr>
              <w:t>50</w:t>
            </w:r>
            <w:r>
              <w:rPr>
                <w:rFonts w:ascii="Arial" w:hAnsi="Arial" w:cs="Arial"/>
                <w:color w:val="auto"/>
                <w:szCs w:val="21"/>
                <w:highlight w:val="none"/>
                <w:lang w:bidi="ar"/>
              </w:rPr>
              <w:t>%；</w:t>
            </w:r>
          </w:p>
          <w:p w14:paraId="29981FC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lang w:bidi="ar"/>
              </w:rPr>
              <w:t>（</w:t>
            </w:r>
            <w:r>
              <w:rPr>
                <w:rFonts w:hint="eastAsia" w:ascii="Arial" w:hAnsi="Arial" w:cs="Arial"/>
                <w:color w:val="auto"/>
                <w:szCs w:val="21"/>
                <w:highlight w:val="none"/>
                <w:lang w:bidi="ar"/>
              </w:rPr>
              <w:t>6</w:t>
            </w:r>
            <w:r>
              <w:rPr>
                <w:rFonts w:ascii="Arial" w:hAnsi="Arial" w:cs="Arial"/>
                <w:color w:val="auto"/>
                <w:szCs w:val="21"/>
                <w:highlight w:val="none"/>
                <w:lang w:bidi="ar"/>
              </w:rPr>
              <w:t>）</w:t>
            </w:r>
            <w:r>
              <w:rPr>
                <w:rFonts w:hint="eastAsia" w:ascii="Arial" w:hAnsi="Arial" w:cs="Arial"/>
                <w:color w:val="auto"/>
                <w:szCs w:val="21"/>
                <w:highlight w:val="none"/>
                <w:lang w:bidi="ar"/>
              </w:rPr>
              <w:t>当次</w:t>
            </w:r>
            <w:r>
              <w:rPr>
                <w:rFonts w:ascii="Arial" w:hAnsi="Arial" w:cs="Arial"/>
                <w:color w:val="auto"/>
                <w:szCs w:val="21"/>
                <w:highlight w:val="none"/>
                <w:lang w:bidi="ar"/>
              </w:rPr>
              <w:t>考核得分低于60分</w:t>
            </w:r>
            <w:r>
              <w:rPr>
                <w:rFonts w:hint="eastAsia" w:ascii="Arial" w:hAnsi="Arial" w:cs="Arial"/>
                <w:color w:val="auto"/>
                <w:szCs w:val="21"/>
                <w:highlight w:val="none"/>
                <w:lang w:bidi="ar"/>
              </w:rPr>
              <w:t>（不含）的</w:t>
            </w:r>
            <w:r>
              <w:rPr>
                <w:rFonts w:hint="eastAsia" w:ascii="Arial" w:hAnsi="Arial" w:cs="Arial"/>
                <w:color w:val="auto"/>
                <w:szCs w:val="21"/>
                <w:highlight w:val="none"/>
                <w:lang w:eastAsia="zh-CN" w:bidi="ar"/>
              </w:rPr>
              <w:t>认</w:t>
            </w:r>
            <w:r>
              <w:rPr>
                <w:rFonts w:hint="eastAsia" w:ascii="Arial" w:hAnsi="Arial" w:cs="Arial"/>
                <w:color w:val="auto"/>
                <w:szCs w:val="21"/>
                <w:highlight w:val="none"/>
                <w:lang w:bidi="ar"/>
              </w:rPr>
              <w:t>定</w:t>
            </w:r>
            <w:r>
              <w:rPr>
                <w:rFonts w:hint="eastAsia" w:ascii="Arial" w:hAnsi="Arial" w:cs="Arial"/>
                <w:color w:val="auto"/>
                <w:szCs w:val="21"/>
                <w:highlight w:val="none"/>
                <w:lang w:val="en-US" w:eastAsia="zh-CN" w:bidi="ar"/>
              </w:rPr>
              <w:t>为</w:t>
            </w:r>
            <w:r>
              <w:rPr>
                <w:rFonts w:hint="eastAsia" w:ascii="Arial" w:hAnsi="Arial" w:cs="Arial"/>
                <w:color w:val="auto"/>
                <w:szCs w:val="21"/>
                <w:highlight w:val="none"/>
                <w:lang w:bidi="ar"/>
              </w:rPr>
              <w:t>F等次（不合格）</w:t>
            </w:r>
            <w:r>
              <w:rPr>
                <w:rFonts w:ascii="Arial" w:hAnsi="Arial" w:cs="Arial"/>
                <w:color w:val="auto"/>
                <w:szCs w:val="21"/>
                <w:highlight w:val="none"/>
                <w:lang w:bidi="ar"/>
              </w:rPr>
              <w:t>，不支付合同约定</w:t>
            </w:r>
            <w:r>
              <w:rPr>
                <w:rFonts w:hint="eastAsia" w:ascii="Arial" w:hAnsi="Arial" w:cs="Arial"/>
                <w:color w:val="auto"/>
                <w:szCs w:val="21"/>
                <w:highlight w:val="none"/>
                <w:lang w:bidi="ar"/>
              </w:rPr>
              <w:t>当次考核应付</w:t>
            </w:r>
            <w:r>
              <w:rPr>
                <w:rFonts w:ascii="Arial" w:hAnsi="Arial" w:cs="Arial"/>
                <w:color w:val="auto"/>
                <w:szCs w:val="21"/>
                <w:highlight w:val="none"/>
                <w:lang w:bidi="ar"/>
              </w:rPr>
              <w:t>费用，</w:t>
            </w:r>
            <w:r>
              <w:rPr>
                <w:rFonts w:ascii="Arial" w:hAnsi="Arial" w:cs="Arial"/>
                <w:b/>
                <w:bCs/>
                <w:color w:val="auto"/>
                <w:szCs w:val="21"/>
                <w:highlight w:val="none"/>
                <w:lang w:bidi="ar"/>
              </w:rPr>
              <w:t>并根据约定情况要求整改或终止与中标供应商的服务</w:t>
            </w:r>
            <w:r>
              <w:rPr>
                <w:rFonts w:hint="eastAsia" w:ascii="Arial" w:hAnsi="Arial" w:cs="Arial"/>
                <w:b/>
                <w:bCs/>
                <w:color w:val="auto"/>
                <w:szCs w:val="21"/>
                <w:highlight w:val="none"/>
                <w:lang w:bidi="ar"/>
              </w:rPr>
              <w:t>，退还前期支付的所有合同款项。</w:t>
            </w:r>
            <w:r>
              <w:rPr>
                <w:rFonts w:ascii="Arial" w:hAnsi="Arial" w:cs="Arial"/>
                <w:b/>
                <w:bCs/>
                <w:color w:val="auto"/>
                <w:szCs w:val="21"/>
                <w:highlight w:val="none"/>
                <w:lang w:bidi="ar"/>
              </w:rPr>
              <w:t>给采购人造成经济损失或不良社会影响的，中标供应商支付合同金额的30%违约金，违约金不足以弥补损失的，采购人还有权向中标供应商追偿。</w:t>
            </w:r>
          </w:p>
          <w:p w14:paraId="4C079D4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lang w:bidi="ar"/>
              </w:rPr>
              <w:t>3.中标供应商在验收合格后，申请支付合同款项前5个工作日内向采购人提供等额合法有效的发票，否则采购人有权延期付款并不承担逾期付款的责任。</w:t>
            </w:r>
          </w:p>
          <w:p w14:paraId="5B2ACA3F">
            <w:pPr>
              <w:spacing w:line="360" w:lineRule="auto"/>
              <w:rPr>
                <w:rFonts w:ascii="Arial" w:hAnsi="Arial" w:cs="Arial"/>
                <w:color w:val="auto"/>
                <w:szCs w:val="21"/>
                <w:highlight w:val="none"/>
              </w:rPr>
            </w:pPr>
            <w:r>
              <w:rPr>
                <w:rFonts w:ascii="Arial" w:hAnsi="Arial" w:cs="Arial"/>
                <w:color w:val="auto"/>
                <w:szCs w:val="21"/>
                <w:highlight w:val="none"/>
                <w:lang w:bidi="ar"/>
              </w:rPr>
              <w:t>▲六、验收标准</w:t>
            </w:r>
          </w:p>
          <w:p w14:paraId="139DB7F8">
            <w:pPr>
              <w:spacing w:line="360" w:lineRule="auto"/>
              <w:ind w:firstLine="420"/>
              <w:rPr>
                <w:rFonts w:ascii="Arial" w:hAnsi="Arial" w:cs="Arial"/>
                <w:color w:val="auto"/>
                <w:szCs w:val="21"/>
                <w:highlight w:val="none"/>
              </w:rPr>
            </w:pPr>
            <w:r>
              <w:rPr>
                <w:rFonts w:ascii="Arial" w:hAnsi="Arial" w:cs="Arial"/>
                <w:color w:val="auto"/>
                <w:szCs w:val="21"/>
                <w:highlight w:val="none"/>
                <w:lang w:bidi="ar"/>
              </w:rPr>
              <w:t>1.验收依据：本项目招标文件、中标供应商的投标文件、合同书及《关于印发广西壮族自治区政府采购项目履约验收管理办法的通知》（桂财采〔2015〕22号）、《财政部关于进一步加强政府采购需求和履约验收管理的指导意见》（财库〔2016〕205号）。</w:t>
            </w:r>
          </w:p>
          <w:p w14:paraId="24A759D8">
            <w:pPr>
              <w:spacing w:line="360" w:lineRule="auto"/>
              <w:ind w:firstLine="420"/>
              <w:rPr>
                <w:rFonts w:ascii="Arial" w:hAnsi="Arial" w:cs="Arial"/>
                <w:color w:val="auto"/>
                <w:szCs w:val="21"/>
                <w:highlight w:val="none"/>
              </w:rPr>
            </w:pPr>
            <w:r>
              <w:rPr>
                <w:rFonts w:ascii="Arial" w:hAnsi="Arial" w:cs="Arial"/>
                <w:color w:val="auto"/>
                <w:szCs w:val="21"/>
                <w:highlight w:val="none"/>
                <w:lang w:bidi="ar"/>
              </w:rPr>
              <w:t>2.验收所需交付的材料：</w:t>
            </w:r>
          </w:p>
          <w:p w14:paraId="432E8883">
            <w:pPr>
              <w:spacing w:line="360" w:lineRule="auto"/>
              <w:ind w:firstLine="420"/>
              <w:rPr>
                <w:rFonts w:ascii="Arial" w:hAnsi="Arial" w:cs="Arial"/>
                <w:color w:val="auto"/>
                <w:szCs w:val="21"/>
                <w:highlight w:val="none"/>
              </w:rPr>
            </w:pPr>
            <w:r>
              <w:rPr>
                <w:rFonts w:ascii="Arial" w:hAnsi="Arial" w:cs="Arial"/>
                <w:color w:val="auto"/>
                <w:szCs w:val="21"/>
                <w:highlight w:val="none"/>
                <w:lang w:bidi="ar"/>
              </w:rPr>
              <w:t>（1）筹备：人力资源市场、就业服务站规范配备的设备设施清单，各站点运营团队人员投入名录及人员基本信息等。</w:t>
            </w:r>
          </w:p>
          <w:p w14:paraId="6B37E9A5">
            <w:pPr>
              <w:spacing w:line="360" w:lineRule="auto"/>
              <w:ind w:firstLine="420"/>
              <w:rPr>
                <w:rFonts w:ascii="Arial" w:hAnsi="Arial" w:cs="Arial"/>
                <w:color w:val="auto"/>
                <w:szCs w:val="21"/>
                <w:highlight w:val="none"/>
              </w:rPr>
            </w:pPr>
            <w:r>
              <w:rPr>
                <w:rFonts w:ascii="Arial" w:hAnsi="Arial" w:cs="Arial"/>
                <w:color w:val="auto"/>
                <w:szCs w:val="21"/>
                <w:highlight w:val="none"/>
                <w:lang w:bidi="ar"/>
              </w:rPr>
              <w:t>（2）运营：满足人力资源市场、就业服务站服务内容、考核标准的运营服务成果资料等。</w:t>
            </w:r>
          </w:p>
          <w:p w14:paraId="5B0B59E6">
            <w:pPr>
              <w:spacing w:line="360" w:lineRule="auto"/>
              <w:ind w:firstLine="420"/>
              <w:rPr>
                <w:rFonts w:ascii="Arial" w:hAnsi="Arial" w:cs="Arial"/>
                <w:color w:val="auto"/>
                <w:szCs w:val="21"/>
                <w:highlight w:val="none"/>
              </w:rPr>
            </w:pPr>
            <w:r>
              <w:rPr>
                <w:rFonts w:ascii="Arial" w:hAnsi="Arial" w:cs="Arial"/>
                <w:color w:val="auto"/>
                <w:szCs w:val="21"/>
                <w:highlight w:val="none"/>
                <w:lang w:bidi="ar"/>
              </w:rPr>
              <w:t>3.验收事项</w:t>
            </w:r>
          </w:p>
          <w:p w14:paraId="5D84A93D">
            <w:pPr>
              <w:spacing w:line="360" w:lineRule="auto"/>
              <w:ind w:firstLine="420"/>
              <w:rPr>
                <w:rFonts w:ascii="Arial" w:hAnsi="Arial" w:cs="Arial"/>
                <w:color w:val="auto"/>
                <w:szCs w:val="21"/>
                <w:highlight w:val="none"/>
              </w:rPr>
            </w:pPr>
            <w:r>
              <w:rPr>
                <w:rFonts w:ascii="Arial" w:hAnsi="Arial" w:cs="Arial"/>
                <w:color w:val="auto"/>
                <w:szCs w:val="21"/>
                <w:highlight w:val="none"/>
                <w:lang w:bidi="ar"/>
              </w:rPr>
              <w:t>3.1采购人可以根据采购项目具体情况自行组织验收，或者委托第三方机构或部门开展采购项目履约验收工作，中标供应商应予以全力配合。</w:t>
            </w:r>
          </w:p>
          <w:p w14:paraId="455D7D73">
            <w:pPr>
              <w:spacing w:line="360" w:lineRule="auto"/>
              <w:ind w:firstLine="420"/>
              <w:rPr>
                <w:rFonts w:ascii="Arial" w:hAnsi="Arial" w:cs="Arial"/>
                <w:color w:val="auto"/>
                <w:szCs w:val="21"/>
                <w:highlight w:val="none"/>
              </w:rPr>
            </w:pPr>
            <w:r>
              <w:rPr>
                <w:rFonts w:ascii="Arial" w:hAnsi="Arial" w:cs="Arial"/>
                <w:color w:val="auto"/>
                <w:szCs w:val="21"/>
                <w:highlight w:val="none"/>
                <w:lang w:bidi="ar"/>
              </w:rPr>
              <w:t>3.2在验收过程中发现中标供应商有违约问题，可暂缓资金结算，待违约问题解决后，方可办理资金结算事宜。</w:t>
            </w:r>
          </w:p>
          <w:p w14:paraId="2EA27B05">
            <w:pPr>
              <w:spacing w:line="360" w:lineRule="auto"/>
              <w:ind w:firstLine="420"/>
              <w:rPr>
                <w:rFonts w:ascii="Arial" w:hAnsi="Arial" w:cs="Arial"/>
                <w:color w:val="auto"/>
                <w:szCs w:val="21"/>
                <w:highlight w:val="none"/>
              </w:rPr>
            </w:pPr>
            <w:r>
              <w:rPr>
                <w:rFonts w:ascii="Arial" w:hAnsi="Arial" w:cs="Arial"/>
                <w:color w:val="auto"/>
                <w:szCs w:val="21"/>
                <w:highlight w:val="none"/>
                <w:lang w:bidi="ar"/>
              </w:rPr>
              <w:t>3.3提供的服务内容与采购合同及投标承诺一致；中标供应商根据采购人要求提交相关技术或服务成果资料。由于中标供应商原因，未能按本合同规定的内容、时间及相关要求向采购人交付服务成果的，中标供应商承担违约责任</w:t>
            </w:r>
            <w:r>
              <w:rPr>
                <w:rFonts w:hint="eastAsia" w:ascii="Arial" w:hAnsi="Arial" w:cs="Arial"/>
                <w:color w:val="auto"/>
                <w:szCs w:val="21"/>
                <w:highlight w:val="none"/>
                <w:lang w:eastAsia="zh-CN" w:bidi="ar"/>
              </w:rPr>
              <w:t>，并</w:t>
            </w:r>
            <w:r>
              <w:rPr>
                <w:rFonts w:ascii="Arial" w:hAnsi="Arial" w:cs="Arial"/>
                <w:color w:val="auto"/>
                <w:szCs w:val="21"/>
                <w:highlight w:val="none"/>
                <w:lang w:bidi="ar"/>
              </w:rPr>
              <w:t>支付违约金。每逾期一天交付，按合同总费用的千分之三支付违约金。</w:t>
            </w:r>
          </w:p>
          <w:p w14:paraId="2A564B48">
            <w:pPr>
              <w:spacing w:line="360" w:lineRule="auto"/>
              <w:ind w:firstLine="420"/>
              <w:rPr>
                <w:rFonts w:ascii="Arial" w:hAnsi="Arial" w:cs="Arial"/>
                <w:color w:val="auto"/>
                <w:szCs w:val="21"/>
                <w:highlight w:val="none"/>
              </w:rPr>
            </w:pPr>
            <w:r>
              <w:rPr>
                <w:rFonts w:ascii="Arial" w:hAnsi="Arial" w:cs="Arial"/>
                <w:color w:val="auto"/>
                <w:szCs w:val="21"/>
                <w:highlight w:val="none"/>
                <w:lang w:bidi="ar"/>
              </w:rPr>
              <w:t>3.4中标供应商按时间</w:t>
            </w:r>
            <w:r>
              <w:rPr>
                <w:rFonts w:hint="eastAsia" w:ascii="Arial" w:hAnsi="Arial" w:cs="Arial"/>
                <w:color w:val="auto"/>
                <w:szCs w:val="21"/>
                <w:highlight w:val="none"/>
                <w:lang w:eastAsia="zh-CN" w:bidi="ar"/>
              </w:rPr>
              <w:t>节点</w:t>
            </w:r>
            <w:r>
              <w:rPr>
                <w:rFonts w:ascii="Arial" w:hAnsi="Arial" w:cs="Arial"/>
                <w:color w:val="auto"/>
                <w:szCs w:val="21"/>
                <w:highlight w:val="none"/>
                <w:lang w:bidi="ar"/>
              </w:rPr>
              <w:t>完成服务站点的筹备和运营服务，并应及时整理筹备和运营服务成果资料并作出全面检查和整理，列出清单（包括但不限于涉及投入到服务所需的软硬件设备），作为采购人验收和使用的条件依据，清单应交给采购人；同时以书面形式通知采购人进行验收，采购人在收到通知后7个工作日内进行验收。中标供应商必须到场配合，验收合格后双方在验收记录上签字确认。</w:t>
            </w:r>
          </w:p>
          <w:p w14:paraId="4B92C22D">
            <w:pPr>
              <w:spacing w:line="360" w:lineRule="auto"/>
              <w:ind w:firstLine="420"/>
              <w:rPr>
                <w:rFonts w:ascii="Arial" w:hAnsi="Arial" w:cs="Arial"/>
                <w:color w:val="auto"/>
                <w:szCs w:val="21"/>
                <w:highlight w:val="none"/>
              </w:rPr>
            </w:pPr>
            <w:r>
              <w:rPr>
                <w:rFonts w:ascii="Arial" w:hAnsi="Arial" w:cs="Arial"/>
                <w:color w:val="auto"/>
                <w:szCs w:val="21"/>
                <w:highlight w:val="none"/>
                <w:lang w:bidi="ar"/>
              </w:rPr>
              <w:t>3.5本项目服务涉及的配备的软硬件设备应对应服务站罗列清单</w:t>
            </w:r>
            <w:r>
              <w:rPr>
                <w:rFonts w:hint="eastAsia" w:ascii="Arial" w:hAnsi="Arial" w:cs="Arial"/>
                <w:color w:val="auto"/>
                <w:szCs w:val="21"/>
                <w:highlight w:val="none"/>
                <w:lang w:eastAsia="zh-CN" w:bidi="ar"/>
              </w:rPr>
              <w:t>，由</w:t>
            </w:r>
            <w:r>
              <w:rPr>
                <w:rFonts w:ascii="Arial" w:hAnsi="Arial" w:cs="Arial"/>
                <w:color w:val="auto"/>
                <w:szCs w:val="21"/>
                <w:highlight w:val="none"/>
                <w:lang w:bidi="ar"/>
              </w:rPr>
              <w:t>采购人或采购人委托的第三方机构等多方组成验收小组，将同时对中标供应商承诺配备的所有软硬件进行核实和验收。</w:t>
            </w:r>
          </w:p>
          <w:p w14:paraId="58301AF4">
            <w:pPr>
              <w:spacing w:line="360" w:lineRule="auto"/>
              <w:ind w:firstLine="420"/>
              <w:rPr>
                <w:rFonts w:ascii="Arial" w:hAnsi="Arial" w:cs="Arial"/>
                <w:color w:val="auto"/>
                <w:szCs w:val="21"/>
                <w:highlight w:val="none"/>
              </w:rPr>
            </w:pPr>
            <w:r>
              <w:rPr>
                <w:rFonts w:ascii="Arial" w:hAnsi="Arial" w:cs="Arial"/>
                <w:color w:val="auto"/>
                <w:szCs w:val="21"/>
                <w:highlight w:val="none"/>
                <w:lang w:bidi="ar"/>
              </w:rPr>
              <w:t>3.6在项目验收过程中，如项目验收不合格，有关返工、再行验收产生相关成本费用，以及给采购人造成的损失等费用由中标供应商承担。连续两次项目验收不合格的，或存在弄虚作假行为的，采购人将不予验收，采购人有权解除合同，并追究中标供应商的责任，由此带来的一切责任由中标供应商自行承担。</w:t>
            </w:r>
          </w:p>
          <w:p w14:paraId="4886DDF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lang w:bidi="ar"/>
              </w:rPr>
              <w:t>4.其他未尽事宜应严格按照《关于南宁市本级启用政府采购履约验收系统有关事项的通知》（南财采〔2024〕34号）以及《南宁市政府采购供应商履约验收评价管理办法》（南财采</w:t>
            </w:r>
            <w:r>
              <w:rPr>
                <w:rFonts w:hint="eastAsia" w:ascii="Arial" w:hAnsi="Arial" w:cs="Arial"/>
                <w:color w:val="auto"/>
                <w:szCs w:val="21"/>
                <w:highlight w:val="none"/>
                <w:lang w:eastAsia="zh-CN" w:bidi="ar"/>
              </w:rPr>
              <w:t>〔2019〕217号</w:t>
            </w:r>
            <w:r>
              <w:rPr>
                <w:rFonts w:ascii="Arial" w:hAnsi="Arial" w:cs="Arial"/>
                <w:color w:val="auto"/>
                <w:szCs w:val="21"/>
                <w:highlight w:val="none"/>
                <w:lang w:bidi="ar"/>
              </w:rPr>
              <w:t>）规定执行。</w:t>
            </w:r>
          </w:p>
          <w:p w14:paraId="78FEA9C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lang w:bidi="ar"/>
              </w:rPr>
              <w:t>5.其他未尽事宜由双方签订补充协议进行约定。</w:t>
            </w:r>
          </w:p>
          <w:p w14:paraId="5CC3BE43">
            <w:pPr>
              <w:spacing w:line="360" w:lineRule="auto"/>
              <w:rPr>
                <w:rFonts w:ascii="Arial" w:hAnsi="Arial" w:cs="Arial"/>
                <w:color w:val="auto"/>
                <w:szCs w:val="21"/>
                <w:highlight w:val="none"/>
              </w:rPr>
            </w:pPr>
            <w:r>
              <w:rPr>
                <w:rFonts w:ascii="Arial" w:hAnsi="Arial" w:cs="Arial"/>
                <w:color w:val="auto"/>
                <w:szCs w:val="21"/>
                <w:highlight w:val="none"/>
                <w:lang w:bidi="ar"/>
              </w:rPr>
              <w:t>▲七、违约责任</w:t>
            </w:r>
          </w:p>
          <w:p w14:paraId="5C66E622">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lang w:bidi="ar"/>
              </w:rPr>
              <w:t>1.若因中标供应商原因而未能履行合同，或未按招标文件规定及投标文件承诺履行合同及义务的，采购人有权书面敦促中标供应商履行合同及承诺，中标供应商应在收到采购人书面通知之日起7日内给予书面答复并进行整改；如中标供应商在上述时间未予答复，或无故拖延履行合同超过7日，或经2次整改后仍未达到采购人要求，采购人有权书面通知中标供应商解除本项目服务合同，且无需支付合同解除后的合同后续费用。同时，中标供应商必须退还采购人已付出的所有服务费用，并赔偿由此给采购人造成的全部损失。</w:t>
            </w:r>
          </w:p>
          <w:p w14:paraId="72977F5D">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lang w:bidi="ar"/>
              </w:rPr>
              <w:t>2.中标供应商未得到采购人同意，擅自更换项目负责人及服务团队成员时，每更换一人应当向采购人支付合同金额的5‰作为违约金，未经同意更换人数达到5人的，采购人有权书面通知中标供应商解除服务合同，且无需支付合同解除后的合同后续费用。同时，中标供应商必须退还采购人已付出的所有服务费用，并赔偿由此给采购人造成的全部损失。</w:t>
            </w:r>
          </w:p>
          <w:p w14:paraId="38FE0AE5">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lang w:bidi="ar"/>
              </w:rPr>
              <w:t xml:space="preserve">3.中标供应商未按期限完成项目工作或者没在采购人通知的期限内整改完毕的，按违约处理，每逾期一天，供应商需按照合同金额的1%支付违约金，超过10天，采购人有权解除合同，且无需支付合同解除后的合同后续费用。同时，中标供应商必须退还采购人已付出的所有服务费用，并赔偿由此给采购人造成的全部损失。 </w:t>
            </w:r>
          </w:p>
          <w:p w14:paraId="04F4D3A1">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lang w:bidi="ar"/>
              </w:rPr>
              <w:t>4.本项目合同签订及履行过程中，未经采购人书面同意，中标供应商不得将本合同的权利义务以任何方式转让给第三方，否则采购人有权选择单方解除本合同，中标供应商必须退还采购人已付出的所有服务费用，向采购人支付合同总金额30%的违约金，造成采购人损失的，应全部予以赔偿。</w:t>
            </w:r>
          </w:p>
          <w:p w14:paraId="3F677233">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lang w:bidi="ar"/>
              </w:rPr>
              <w:t>5.中标供应商应当支付给采购人的违约金、赔偿金，采购人有权从已支付的合同款中追回或从未支付的合同款中扣除，违约金不足以赔偿给采购人造成损失的，采购人仍有权向中标供应商进行追偿。</w:t>
            </w:r>
          </w:p>
          <w:p w14:paraId="7E94D688">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lang w:bidi="ar"/>
              </w:rPr>
              <w:t>6.乙方违约的</w:t>
            </w:r>
            <w:r>
              <w:rPr>
                <w:rFonts w:hint="eastAsia"/>
                <w:color w:val="auto"/>
                <w:highlight w:val="none"/>
              </w:rPr>
              <w:t>，</w:t>
            </w:r>
            <w:r>
              <w:rPr>
                <w:rFonts w:ascii="Arial" w:hAnsi="Arial" w:cs="Arial"/>
                <w:b/>
                <w:bCs/>
                <w:color w:val="auto"/>
                <w:szCs w:val="21"/>
                <w:highlight w:val="none"/>
                <w:lang w:bidi="ar"/>
              </w:rPr>
              <w:t>按本项目合同约定采购人选择解除合同的，自采购人解除合同的书面通知送达中标供应商之日起合同解除，中标供应商应赔偿由此给采购人造成的全部损失。中标供应商应当在合同解除后5日内退还采购人支付的所有费用（如有），自费运回所交付的产品（如有），付清违约金、赔偿金。</w:t>
            </w:r>
          </w:p>
          <w:p w14:paraId="2EF70E9A">
            <w:pPr>
              <w:spacing w:line="360" w:lineRule="auto"/>
              <w:ind w:firstLine="422" w:firstLineChars="200"/>
              <w:rPr>
                <w:rFonts w:ascii="Arial" w:hAnsi="Arial" w:cs="Arial"/>
                <w:color w:val="auto"/>
                <w:szCs w:val="21"/>
                <w:highlight w:val="none"/>
              </w:rPr>
            </w:pPr>
            <w:r>
              <w:rPr>
                <w:rFonts w:ascii="Arial" w:hAnsi="Arial" w:cs="Arial"/>
                <w:b/>
                <w:bCs/>
                <w:color w:val="auto"/>
                <w:szCs w:val="21"/>
                <w:highlight w:val="none"/>
                <w:lang w:bidi="ar"/>
              </w:rPr>
              <w:t>7.中标供应商违反本合同约定或法律规定的，应当赔偿给采购人造成的全部损失，包括但不限于直接损失、预期利益损失、采购人向第三方支付的违约金、赔偿金及采购人为索赔或应对第三方索赔而支出的诉讼费、律师费、公证费、保全费、担保费、鉴定费、评估费等全部费用。</w:t>
            </w:r>
          </w:p>
        </w:tc>
      </w:tr>
      <w:tr w14:paraId="45EC9E1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trPr>
        <w:tc>
          <w:tcPr>
            <w:tcW w:w="595" w:type="dxa"/>
            <w:tcBorders>
              <w:top w:val="single" w:color="auto" w:sz="4" w:space="0"/>
              <w:left w:val="single" w:color="auto" w:sz="4" w:space="0"/>
              <w:bottom w:val="single" w:color="auto" w:sz="4" w:space="0"/>
              <w:right w:val="single" w:color="auto" w:sz="4" w:space="0"/>
            </w:tcBorders>
            <w:shd w:val="clear" w:color="auto" w:fill="auto"/>
            <w:vAlign w:val="center"/>
          </w:tcPr>
          <w:p w14:paraId="0126A52F">
            <w:pPr>
              <w:spacing w:line="360" w:lineRule="auto"/>
              <w:rPr>
                <w:rFonts w:ascii="Arial" w:hAnsi="Arial" w:cs="Arial"/>
                <w:color w:val="auto"/>
                <w:szCs w:val="21"/>
                <w:highlight w:val="none"/>
              </w:rPr>
            </w:pPr>
            <w:r>
              <w:rPr>
                <w:rFonts w:ascii="Arial" w:hAnsi="Arial" w:cs="Arial"/>
                <w:color w:val="auto"/>
                <w:szCs w:val="21"/>
                <w:highlight w:val="none"/>
                <w:lang w:bidi="ar"/>
              </w:rPr>
              <w:t>其他说明</w:t>
            </w:r>
          </w:p>
        </w:tc>
        <w:tc>
          <w:tcPr>
            <w:tcW w:w="9325" w:type="dxa"/>
            <w:gridSpan w:val="6"/>
            <w:tcBorders>
              <w:top w:val="single" w:color="auto" w:sz="4" w:space="0"/>
              <w:left w:val="single" w:color="auto" w:sz="4" w:space="0"/>
              <w:bottom w:val="single" w:color="auto" w:sz="4" w:space="0"/>
              <w:right w:val="single" w:color="auto" w:sz="4" w:space="0"/>
            </w:tcBorders>
            <w:shd w:val="clear" w:color="auto" w:fill="auto"/>
          </w:tcPr>
          <w:p w14:paraId="429B9B9F">
            <w:pPr>
              <w:spacing w:line="360" w:lineRule="auto"/>
              <w:rPr>
                <w:rFonts w:ascii="Arial" w:hAnsi="Arial" w:cs="Arial"/>
                <w:color w:val="auto"/>
                <w:szCs w:val="21"/>
                <w:highlight w:val="none"/>
              </w:rPr>
            </w:pPr>
            <w:r>
              <w:rPr>
                <w:rFonts w:ascii="Arial" w:hAnsi="Arial" w:cs="Arial"/>
                <w:color w:val="auto"/>
                <w:szCs w:val="21"/>
                <w:highlight w:val="none"/>
                <w:lang w:bidi="ar"/>
              </w:rPr>
              <w:t>一、进口产品说明</w:t>
            </w:r>
          </w:p>
          <w:p w14:paraId="66ADE84B">
            <w:pPr>
              <w:spacing w:line="360" w:lineRule="auto"/>
              <w:ind w:firstLine="422" w:firstLineChars="200"/>
              <w:rPr>
                <w:rFonts w:ascii="Arial" w:hAnsi="Arial" w:cs="Arial"/>
                <w:color w:val="auto"/>
                <w:szCs w:val="21"/>
                <w:highlight w:val="none"/>
              </w:rPr>
            </w:pPr>
            <w:r>
              <w:rPr>
                <w:rFonts w:ascii="Arial" w:hAnsi="Arial" w:cs="Arial"/>
                <w:b/>
                <w:bCs/>
                <w:color w:val="auto"/>
                <w:szCs w:val="21"/>
                <w:highlight w:val="none"/>
                <w:lang w:bidi="ar"/>
              </w:rPr>
              <w:t>本分标服务所涉及的货物不接受进口产品</w:t>
            </w:r>
            <w:r>
              <w:rPr>
                <w:rFonts w:ascii="Arial" w:hAnsi="Arial" w:cs="Arial"/>
                <w:color w:val="auto"/>
                <w:szCs w:val="21"/>
                <w:highlight w:val="none"/>
                <w:lang w:bidi="ar"/>
              </w:rPr>
              <w:t>（即通过中国海关报关验放进入中国境内且产自关境外的产品）参与投标，如有进口产品参与投标的作无效标处理。</w:t>
            </w:r>
          </w:p>
          <w:p w14:paraId="38B58021">
            <w:pPr>
              <w:widowControl/>
              <w:shd w:val="clear" w:color="auto" w:fill="FFFFFF"/>
              <w:spacing w:line="360" w:lineRule="auto"/>
              <w:rPr>
                <w:rFonts w:ascii="Arial" w:hAnsi="Arial" w:cs="Arial"/>
                <w:b/>
                <w:bCs/>
                <w:color w:val="auto"/>
                <w:szCs w:val="21"/>
                <w:highlight w:val="none"/>
                <w:shd w:val="clear" w:color="auto" w:fill="FFFFFF"/>
              </w:rPr>
            </w:pPr>
            <w:r>
              <w:rPr>
                <w:rFonts w:ascii="Arial" w:hAnsi="Arial" w:cs="Arial"/>
                <w:b/>
                <w:bCs/>
                <w:color w:val="auto"/>
                <w:szCs w:val="21"/>
                <w:highlight w:val="none"/>
                <w:shd w:val="clear" w:color="auto" w:fill="FFFFFF"/>
                <w:lang w:bidi="ar"/>
              </w:rPr>
              <w:t>二、投标要求</w:t>
            </w:r>
          </w:p>
          <w:p w14:paraId="260147A2">
            <w:pPr>
              <w:widowControl/>
              <w:shd w:val="clear" w:color="auto" w:fill="FFFFFF"/>
              <w:spacing w:line="360" w:lineRule="auto"/>
              <w:ind w:firstLine="420" w:firstLineChars="200"/>
              <w:rPr>
                <w:rFonts w:ascii="Arial" w:hAnsi="Arial" w:cs="Arial"/>
                <w:color w:val="auto"/>
                <w:szCs w:val="21"/>
                <w:highlight w:val="none"/>
                <w:shd w:val="clear" w:color="auto" w:fill="FFFFFF"/>
              </w:rPr>
            </w:pPr>
            <w:r>
              <w:rPr>
                <w:rFonts w:ascii="Arial" w:hAnsi="Arial" w:cs="Arial"/>
                <w:color w:val="auto"/>
                <w:szCs w:val="21"/>
                <w:highlight w:val="none"/>
                <w:shd w:val="clear" w:color="auto" w:fill="FFFFFF"/>
                <w:lang w:bidi="ar"/>
              </w:rPr>
              <w:t>1.投标人认为有利于采购人的采购要求之外的优惠条款应单独列明。</w:t>
            </w:r>
          </w:p>
          <w:p w14:paraId="1A25DCEF">
            <w:pPr>
              <w:widowControl/>
              <w:shd w:val="clear" w:color="auto" w:fill="FFFFFF"/>
              <w:spacing w:line="360" w:lineRule="auto"/>
              <w:ind w:firstLine="420" w:firstLineChars="200"/>
              <w:rPr>
                <w:rFonts w:ascii="Arial" w:hAnsi="Arial" w:cs="Arial"/>
                <w:color w:val="auto"/>
                <w:szCs w:val="21"/>
                <w:highlight w:val="none"/>
                <w:shd w:val="clear" w:color="auto" w:fill="FFFFFF"/>
              </w:rPr>
            </w:pPr>
            <w:r>
              <w:rPr>
                <w:rFonts w:ascii="Arial" w:hAnsi="Arial" w:cs="Arial"/>
                <w:color w:val="auto"/>
                <w:szCs w:val="21"/>
                <w:highlight w:val="none"/>
                <w:shd w:val="clear" w:color="auto" w:fill="FFFFFF"/>
                <w:lang w:bidi="ar"/>
              </w:rPr>
              <w:t>2.投标人结合本项目服务需求及本招标文件第四章“评标方法及评分标准”评审因素于投标文件中提供针对本项目的筹备方案、运营服务方案等（格式自拟）；并明确支持人力资源市场、就业服务站提供公共就业服务的规范配备，满足办公服务、求职服务、便民服务、安全防护等设施设备清单。提供筹备设计方案（包括明确的分区功能，包括但不限于柜面服务区、信息发布区、数智求职区、等候休息区、便民服务区等），及建设效果图（含平面布置图、室外效果图、室内效果图），实现风格统一，且体现就业服务特点。</w:t>
            </w:r>
          </w:p>
          <w:p w14:paraId="39997073">
            <w:pPr>
              <w:widowControl/>
              <w:shd w:val="clear" w:color="auto" w:fill="FFFFFF"/>
              <w:spacing w:line="360" w:lineRule="auto"/>
              <w:ind w:firstLine="420" w:firstLineChars="200"/>
              <w:rPr>
                <w:rFonts w:ascii="Arial" w:hAnsi="Arial" w:cs="Arial"/>
                <w:color w:val="auto"/>
                <w:szCs w:val="21"/>
                <w:highlight w:val="none"/>
                <w:shd w:val="clear" w:color="auto" w:fill="FFFFFF"/>
              </w:rPr>
            </w:pPr>
            <w:r>
              <w:rPr>
                <w:rFonts w:hint="eastAsia" w:ascii="Arial" w:hAnsi="Arial" w:cs="Arial"/>
                <w:color w:val="auto"/>
                <w:szCs w:val="21"/>
                <w:highlight w:val="none"/>
                <w:shd w:val="clear" w:color="auto" w:fill="FFFFFF"/>
                <w:lang w:bidi="ar"/>
              </w:rPr>
              <w:t>3</w:t>
            </w:r>
            <w:r>
              <w:rPr>
                <w:rFonts w:ascii="Arial" w:hAnsi="Arial" w:cs="Arial"/>
                <w:color w:val="auto"/>
                <w:szCs w:val="21"/>
                <w:highlight w:val="none"/>
                <w:shd w:val="clear" w:color="auto" w:fill="FFFFFF"/>
                <w:lang w:bidi="ar"/>
              </w:rPr>
              <w:t>.投标人具备运营服务能力。具备跨区域、多层级资源整合能力和市场运营服务能力，能依托搭建的线上线下平台影响，拓展市场延伸性服务、精细化服务、关联性服务，保障宾阳县县域公共就业服务能力提升项目长期稳定运行，实现“政府资金小投入，撬动就业大市场”的目标。</w:t>
            </w:r>
          </w:p>
          <w:p w14:paraId="7E36661C">
            <w:pPr>
              <w:widowControl/>
              <w:shd w:val="clear" w:color="auto" w:fill="FFFFFF"/>
              <w:spacing w:line="360" w:lineRule="auto"/>
              <w:ind w:firstLine="420" w:firstLineChars="200"/>
              <w:rPr>
                <w:rFonts w:ascii="Arial" w:hAnsi="Arial" w:cs="Arial"/>
                <w:color w:val="auto"/>
                <w:szCs w:val="21"/>
                <w:highlight w:val="none"/>
                <w:u w:val="single"/>
                <w:shd w:val="clear" w:color="auto" w:fill="FFFFFF"/>
              </w:rPr>
            </w:pPr>
            <w:r>
              <w:rPr>
                <w:rFonts w:hint="eastAsia" w:ascii="Arial" w:hAnsi="Arial" w:cs="Arial"/>
                <w:color w:val="auto"/>
                <w:szCs w:val="21"/>
                <w:highlight w:val="none"/>
                <w:shd w:val="clear" w:color="auto" w:fill="FFFFFF"/>
                <w:lang w:val="en-US" w:eastAsia="zh-CN" w:bidi="ar"/>
              </w:rPr>
              <w:t>4</w:t>
            </w:r>
            <w:r>
              <w:rPr>
                <w:rFonts w:ascii="Arial" w:hAnsi="Arial" w:cs="Arial"/>
                <w:color w:val="auto"/>
                <w:szCs w:val="21"/>
                <w:highlight w:val="none"/>
                <w:shd w:val="clear" w:color="auto" w:fill="FFFFFF"/>
                <w:lang w:bidi="ar"/>
              </w:rPr>
              <w:t>.投标人</w:t>
            </w:r>
            <w:r>
              <w:rPr>
                <w:rFonts w:hint="eastAsia" w:ascii="宋体" w:hAnsi="宋体"/>
                <w:color w:val="auto"/>
                <w:szCs w:val="21"/>
                <w:highlight w:val="none"/>
              </w:rPr>
              <w:t>有稳定的招聘服务团队，具有招聘服务和吸纳就业的能力</w:t>
            </w:r>
            <w:r>
              <w:rPr>
                <w:rFonts w:hint="eastAsia" w:ascii="宋体" w:hAnsi="宋体"/>
                <w:color w:val="auto"/>
                <w:szCs w:val="21"/>
                <w:highlight w:val="none"/>
                <w:lang w:eastAsia="zh-CN"/>
              </w:rPr>
              <w:t>，有</w:t>
            </w:r>
            <w:r>
              <w:rPr>
                <w:rFonts w:hint="eastAsia" w:ascii="宋体" w:hAnsi="宋体"/>
                <w:color w:val="auto"/>
                <w:szCs w:val="21"/>
                <w:highlight w:val="none"/>
              </w:rPr>
              <w:t>求职招聘信息归集和发布能力，</w:t>
            </w:r>
            <w:r>
              <w:rPr>
                <w:rFonts w:ascii="Arial" w:hAnsi="Arial" w:cs="Arial"/>
                <w:color w:val="auto"/>
                <w:szCs w:val="21"/>
                <w:highlight w:val="none"/>
                <w:shd w:val="clear" w:color="auto" w:fill="FFFFFF"/>
                <w:lang w:bidi="ar"/>
              </w:rPr>
              <w:t>根据项目投入运营管理服务团队，统筹并管理各就业服务点，确保常态化有人在岗响应需求服务，并能提供专业就业指导及服务管理，并附人员人力资源管理师或企业人力资源管理师证书复印件。（如有）</w:t>
            </w:r>
          </w:p>
          <w:p w14:paraId="07F83583">
            <w:pPr>
              <w:widowControl/>
              <w:shd w:val="clear" w:color="auto" w:fill="FFFFFF"/>
              <w:spacing w:line="360" w:lineRule="auto"/>
              <w:ind w:firstLine="420" w:firstLineChars="200"/>
              <w:rPr>
                <w:rFonts w:ascii="Arial" w:hAnsi="Arial" w:cs="Arial"/>
                <w:color w:val="auto"/>
                <w:szCs w:val="21"/>
                <w:highlight w:val="none"/>
                <w:shd w:val="clear" w:color="auto" w:fill="FFFFFF"/>
              </w:rPr>
            </w:pPr>
            <w:r>
              <w:rPr>
                <w:rFonts w:hint="eastAsia" w:ascii="Arial" w:hAnsi="Arial" w:cs="Arial"/>
                <w:color w:val="auto"/>
                <w:szCs w:val="21"/>
                <w:highlight w:val="none"/>
                <w:shd w:val="clear" w:color="auto" w:fill="FFFFFF"/>
                <w:lang w:val="en-US" w:eastAsia="zh-CN" w:bidi="ar"/>
              </w:rPr>
              <w:t>5</w:t>
            </w:r>
            <w:r>
              <w:rPr>
                <w:rFonts w:ascii="Arial" w:hAnsi="Arial" w:cs="Arial"/>
                <w:color w:val="auto"/>
                <w:szCs w:val="21"/>
                <w:highlight w:val="none"/>
                <w:shd w:val="clear" w:color="auto" w:fill="FFFFFF"/>
                <w:lang w:bidi="ar"/>
              </w:rPr>
              <w:t>.（如有），请提供就业服务站建设运营服务、就业服务或人力资源市场、零工市场服务业绩证明、奖项情况等。</w:t>
            </w:r>
          </w:p>
          <w:p w14:paraId="5829A773">
            <w:pPr>
              <w:widowControl/>
              <w:shd w:val="clear" w:color="auto" w:fill="FFFFFF"/>
              <w:spacing w:line="360" w:lineRule="auto"/>
              <w:rPr>
                <w:rFonts w:ascii="Arial" w:hAnsi="Arial" w:cs="Arial"/>
                <w:color w:val="auto"/>
                <w:szCs w:val="21"/>
                <w:highlight w:val="none"/>
                <w:shd w:val="clear" w:color="auto" w:fill="FFFFFF"/>
              </w:rPr>
            </w:pPr>
            <w:r>
              <w:rPr>
                <w:rFonts w:ascii="Arial" w:hAnsi="Arial" w:cs="Arial"/>
                <w:color w:val="auto"/>
                <w:szCs w:val="21"/>
                <w:highlight w:val="none"/>
                <w:shd w:val="clear" w:color="auto" w:fill="FFFFFF"/>
                <w:lang w:bidi="ar"/>
              </w:rPr>
              <w:t>三、其他事项</w:t>
            </w:r>
          </w:p>
          <w:p w14:paraId="5109BDD8">
            <w:pPr>
              <w:widowControl/>
              <w:shd w:val="clear" w:color="auto" w:fill="FFFFFF"/>
              <w:spacing w:line="360" w:lineRule="auto"/>
              <w:ind w:firstLine="420" w:firstLineChars="200"/>
              <w:rPr>
                <w:rFonts w:ascii="Arial" w:hAnsi="Arial" w:cs="Arial"/>
                <w:color w:val="auto"/>
                <w:szCs w:val="21"/>
                <w:highlight w:val="none"/>
                <w:shd w:val="clear" w:color="auto" w:fill="FFFFFF"/>
              </w:rPr>
            </w:pPr>
            <w:r>
              <w:rPr>
                <w:rFonts w:ascii="Arial" w:hAnsi="Arial" w:cs="Arial"/>
                <w:color w:val="auto"/>
                <w:szCs w:val="21"/>
                <w:highlight w:val="none"/>
                <w:shd w:val="clear" w:color="auto" w:fill="FFFFFF"/>
                <w:lang w:bidi="ar"/>
              </w:rPr>
              <w:t>1.除招标文件另有规定外，若出现有关法律、法规和规章有强制性规定但招标文件未列明的情形，则投标人应按照有关法律、法规和规章强制性规定执行。</w:t>
            </w:r>
          </w:p>
          <w:p w14:paraId="7DC4E3DA">
            <w:pPr>
              <w:widowControl/>
              <w:shd w:val="clear" w:color="auto" w:fill="FFFFFF"/>
              <w:spacing w:line="360" w:lineRule="auto"/>
              <w:ind w:firstLine="420" w:firstLineChars="200"/>
              <w:rPr>
                <w:rFonts w:ascii="Arial" w:hAnsi="Arial" w:cs="Arial"/>
                <w:color w:val="auto"/>
                <w:szCs w:val="21"/>
                <w:highlight w:val="none"/>
                <w:shd w:val="clear" w:color="auto" w:fill="FFFFFF"/>
              </w:rPr>
            </w:pPr>
            <w:r>
              <w:rPr>
                <w:rFonts w:ascii="Arial" w:hAnsi="Arial" w:cs="Arial"/>
                <w:color w:val="auto"/>
                <w:szCs w:val="21"/>
                <w:highlight w:val="none"/>
                <w:shd w:val="clear" w:color="auto" w:fill="FFFFFF"/>
                <w:lang w:bidi="ar"/>
              </w:rPr>
              <w:t>2.本项目合同文本中的条款如与项目需求不一致的，以采购文件项目需求表、中标供应商响应条款为准。</w:t>
            </w:r>
          </w:p>
          <w:p w14:paraId="056620FA">
            <w:pPr>
              <w:widowControl/>
              <w:shd w:val="clear" w:color="auto" w:fill="FFFFFF"/>
              <w:spacing w:line="360" w:lineRule="auto"/>
              <w:ind w:firstLine="420" w:firstLineChars="200"/>
              <w:rPr>
                <w:rFonts w:ascii="Arial" w:hAnsi="Arial" w:cs="Arial"/>
                <w:color w:val="auto"/>
                <w:szCs w:val="21"/>
                <w:highlight w:val="none"/>
                <w:shd w:val="clear" w:color="auto" w:fill="FFFFFF"/>
              </w:rPr>
            </w:pPr>
            <w:r>
              <w:rPr>
                <w:rFonts w:ascii="Arial" w:hAnsi="Arial" w:cs="Arial"/>
                <w:color w:val="auto"/>
                <w:szCs w:val="21"/>
                <w:highlight w:val="none"/>
                <w:shd w:val="clear" w:color="auto" w:fill="FFFFFF"/>
                <w:lang w:bidi="ar"/>
              </w:rPr>
              <w:t>▲3.本项目采购预算（含分项预算）为最高限价，投标人的投标报价不得超出最高限价，否则投标无效。</w:t>
            </w:r>
          </w:p>
          <w:p w14:paraId="3A0BD72F">
            <w:pPr>
              <w:widowControl/>
              <w:shd w:val="clear" w:color="auto" w:fill="FFFFFF"/>
              <w:spacing w:line="360" w:lineRule="auto"/>
              <w:ind w:firstLine="420" w:firstLineChars="200"/>
              <w:rPr>
                <w:rFonts w:ascii="Arial" w:hAnsi="Arial" w:cs="Arial"/>
                <w:color w:val="auto"/>
                <w:szCs w:val="21"/>
                <w:highlight w:val="none"/>
                <w:shd w:val="clear" w:color="auto" w:fill="FFFFFF"/>
              </w:rPr>
            </w:pPr>
            <w:r>
              <w:rPr>
                <w:rFonts w:ascii="Arial" w:hAnsi="Arial" w:cs="Arial"/>
                <w:color w:val="auto"/>
                <w:szCs w:val="21"/>
                <w:highlight w:val="none"/>
                <w:shd w:val="clear" w:color="auto" w:fill="FFFFFF"/>
                <w:lang w:bidi="ar"/>
              </w:rPr>
              <w:t>▲4.投标人对本项目任何一个服务项只能有一个报价，采购人不接受有选择的报价，否则投标无效。</w:t>
            </w:r>
          </w:p>
          <w:p w14:paraId="734B0109">
            <w:pPr>
              <w:widowControl/>
              <w:shd w:val="clear" w:color="auto" w:fill="FFFFFF"/>
              <w:spacing w:line="360" w:lineRule="auto"/>
              <w:ind w:firstLine="420" w:firstLineChars="200"/>
              <w:rPr>
                <w:rFonts w:ascii="Arial" w:hAnsi="Arial" w:cs="Arial"/>
                <w:color w:val="auto"/>
                <w:szCs w:val="21"/>
                <w:highlight w:val="none"/>
                <w:shd w:val="clear" w:color="auto" w:fill="FFFFFF"/>
              </w:rPr>
            </w:pPr>
            <w:r>
              <w:rPr>
                <w:rFonts w:ascii="Arial" w:hAnsi="Arial" w:cs="Arial"/>
                <w:color w:val="auto"/>
                <w:szCs w:val="21"/>
                <w:highlight w:val="none"/>
                <w:shd w:val="clear" w:color="auto" w:fill="FFFFFF"/>
                <w:lang w:bidi="ar"/>
              </w:rPr>
              <w:t>5.本项目为服务项目，不涉及核心产品。</w:t>
            </w:r>
          </w:p>
          <w:p w14:paraId="1F73A3BE">
            <w:pPr>
              <w:pStyle w:val="29"/>
              <w:widowControl/>
              <w:spacing w:line="360" w:lineRule="auto"/>
              <w:ind w:firstLine="420" w:firstLineChars="200"/>
              <w:rPr>
                <w:rFonts w:ascii="Arial" w:hAnsi="Arial" w:cs="Arial"/>
                <w:b w:val="0"/>
                <w:bCs w:val="0"/>
                <w:color w:val="auto"/>
                <w:sz w:val="21"/>
                <w:szCs w:val="21"/>
                <w:highlight w:val="none"/>
              </w:rPr>
            </w:pPr>
            <w:r>
              <w:rPr>
                <w:rFonts w:ascii="Arial" w:hAnsi="Arial" w:cs="Arial"/>
                <w:b w:val="0"/>
                <w:bCs w:val="0"/>
                <w:color w:val="auto"/>
                <w:sz w:val="21"/>
                <w:szCs w:val="21"/>
                <w:highlight w:val="none"/>
              </w:rPr>
              <w:t>6.本项目不组织考察，由各投标人根据“宾阳县县域公共就业服务能力提升项目站点分布明细表”站点分布情况自行考察。</w:t>
            </w:r>
          </w:p>
          <w:p w14:paraId="325D7209">
            <w:pPr>
              <w:pStyle w:val="28"/>
              <w:widowControl/>
              <w:spacing w:line="360" w:lineRule="auto"/>
              <w:ind w:left="0" w:leftChars="0" w:firstLine="420" w:firstLineChars="200"/>
              <w:rPr>
                <w:rFonts w:ascii="Arial" w:hAnsi="Arial" w:cs="Arial"/>
                <w:color w:val="auto"/>
                <w:highlight w:val="none"/>
              </w:rPr>
            </w:pPr>
            <w:r>
              <w:rPr>
                <w:rFonts w:ascii="Arial" w:hAnsi="Arial" w:cs="Arial"/>
                <w:color w:val="auto"/>
                <w:szCs w:val="21"/>
                <w:highlight w:val="none"/>
              </w:rPr>
              <w:t>7.本项目采购标的对应的中小企业划分标准所属行业：租赁和商务服务业。</w:t>
            </w:r>
          </w:p>
        </w:tc>
      </w:tr>
    </w:tbl>
    <w:p w14:paraId="21796B2A">
      <w:pPr>
        <w:rPr>
          <w:rFonts w:ascii="微软雅黑" w:hAnsi="微软雅黑" w:eastAsia="微软雅黑" w:cs="微软雅黑"/>
          <w:color w:val="auto"/>
          <w:sz w:val="32"/>
          <w:szCs w:val="32"/>
          <w:highlight w:val="none"/>
        </w:rPr>
      </w:pPr>
      <w:r>
        <w:rPr>
          <w:rFonts w:hint="eastAsia" w:ascii="微软雅黑" w:hAnsi="微软雅黑" w:eastAsia="微软雅黑" w:cs="微软雅黑"/>
          <w:color w:val="auto"/>
          <w:sz w:val="32"/>
          <w:szCs w:val="32"/>
          <w:highlight w:val="none"/>
        </w:rPr>
        <w:br w:type="page"/>
      </w:r>
    </w:p>
    <w:p w14:paraId="4A10F470">
      <w:pPr>
        <w:spacing w:line="700" w:lineRule="exact"/>
        <w:rPr>
          <w:rFonts w:ascii="Arial" w:hAnsi="Arial" w:cs="Arial"/>
          <w:color w:val="auto"/>
          <w:sz w:val="32"/>
          <w:szCs w:val="32"/>
          <w:highlight w:val="none"/>
          <w:lang w:bidi="ar"/>
        </w:rPr>
      </w:pPr>
      <w:r>
        <w:rPr>
          <w:rFonts w:ascii="Arial" w:hAnsi="Arial" w:cs="Arial"/>
          <w:color w:val="auto"/>
          <w:sz w:val="32"/>
          <w:szCs w:val="32"/>
          <w:highlight w:val="none"/>
          <w:lang w:bidi="ar"/>
        </w:rPr>
        <w:t>附件</w:t>
      </w:r>
      <w:r>
        <w:rPr>
          <w:rFonts w:hint="eastAsia" w:ascii="Arial" w:hAnsi="Arial" w:cs="Arial"/>
          <w:color w:val="auto"/>
          <w:sz w:val="32"/>
          <w:szCs w:val="32"/>
          <w:highlight w:val="none"/>
          <w:lang w:bidi="ar"/>
        </w:rPr>
        <w:t>1</w:t>
      </w:r>
    </w:p>
    <w:p w14:paraId="077E3FC9">
      <w:pPr>
        <w:spacing w:line="700" w:lineRule="exact"/>
        <w:rPr>
          <w:rFonts w:ascii="Arial" w:hAnsi="Arial" w:cs="Arial"/>
          <w:color w:val="auto"/>
          <w:kern w:val="0"/>
          <w:sz w:val="28"/>
          <w:szCs w:val="28"/>
          <w:highlight w:val="none"/>
        </w:rPr>
      </w:pPr>
      <w:r>
        <w:rPr>
          <w:rFonts w:ascii="Arial" w:hAnsi="Arial" w:cs="Arial"/>
          <w:color w:val="auto"/>
          <w:sz w:val="28"/>
          <w:szCs w:val="28"/>
          <w:highlight w:val="none"/>
          <w:lang w:bidi="ar"/>
        </w:rPr>
        <w:t>▲本项目采购预算（含分项预算）为最高限价，投标人的投标报价不得超出最高限价，否则投标无效。</w:t>
      </w:r>
    </w:p>
    <w:tbl>
      <w:tblPr>
        <w:tblStyle w:val="35"/>
        <w:tblpPr w:leftFromText="180" w:rightFromText="180" w:vertAnchor="text" w:horzAnchor="page" w:tblpX="902" w:tblpY="586"/>
        <w:tblOverlap w:val="never"/>
        <w:tblW w:w="9740" w:type="dxa"/>
        <w:tblInd w:w="0" w:type="dxa"/>
        <w:tblLayout w:type="fixed"/>
        <w:tblCellMar>
          <w:top w:w="0" w:type="dxa"/>
          <w:left w:w="0" w:type="dxa"/>
          <w:bottom w:w="0" w:type="dxa"/>
          <w:right w:w="0" w:type="dxa"/>
        </w:tblCellMar>
      </w:tblPr>
      <w:tblGrid>
        <w:gridCol w:w="307"/>
        <w:gridCol w:w="700"/>
        <w:gridCol w:w="1921"/>
        <w:gridCol w:w="2203"/>
        <w:gridCol w:w="960"/>
        <w:gridCol w:w="852"/>
        <w:gridCol w:w="440"/>
        <w:gridCol w:w="684"/>
        <w:gridCol w:w="584"/>
        <w:gridCol w:w="758"/>
        <w:gridCol w:w="331"/>
      </w:tblGrid>
      <w:tr w14:paraId="6F035DB5">
        <w:tblPrEx>
          <w:tblCellMar>
            <w:top w:w="0" w:type="dxa"/>
            <w:left w:w="0" w:type="dxa"/>
            <w:bottom w:w="0" w:type="dxa"/>
            <w:right w:w="0" w:type="dxa"/>
          </w:tblCellMar>
        </w:tblPrEx>
        <w:trPr>
          <w:cantSplit/>
          <w:trHeight w:val="645" w:hRule="atLeast"/>
        </w:trPr>
        <w:tc>
          <w:tcPr>
            <w:tcW w:w="974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1C65B">
            <w:pPr>
              <w:spacing w:line="560" w:lineRule="exact"/>
              <w:jc w:val="center"/>
              <w:rPr>
                <w:rFonts w:ascii="Arial" w:hAnsi="Arial" w:cs="Arial"/>
                <w:b/>
                <w:color w:val="auto"/>
                <w:szCs w:val="21"/>
                <w:highlight w:val="none"/>
                <w:lang w:bidi="ar"/>
              </w:rPr>
            </w:pPr>
            <w:r>
              <w:rPr>
                <w:rFonts w:ascii="Arial" w:hAnsi="Arial" w:cs="Arial"/>
                <w:color w:val="auto"/>
                <w:sz w:val="32"/>
                <w:szCs w:val="32"/>
                <w:highlight w:val="none"/>
                <w:lang w:bidi="ar"/>
              </w:rPr>
              <w:t>宾阳县县域公共就业服务能力提升项目站点分布明细表</w:t>
            </w:r>
          </w:p>
        </w:tc>
      </w:tr>
      <w:tr w14:paraId="5FF63C6C">
        <w:tblPrEx>
          <w:tblCellMar>
            <w:top w:w="0" w:type="dxa"/>
            <w:left w:w="0" w:type="dxa"/>
            <w:bottom w:w="0" w:type="dxa"/>
            <w:right w:w="0" w:type="dxa"/>
          </w:tblCellMar>
        </w:tblPrEx>
        <w:trPr>
          <w:cantSplit/>
          <w:trHeight w:val="645" w:hRule="atLeast"/>
        </w:trPr>
        <w:tc>
          <w:tcPr>
            <w:tcW w:w="3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EE1FC">
            <w:pPr>
              <w:widowControl/>
              <w:spacing w:line="360" w:lineRule="exact"/>
              <w:jc w:val="center"/>
              <w:textAlignment w:val="center"/>
              <w:rPr>
                <w:rFonts w:ascii="Arial" w:hAnsi="Arial" w:cs="Arial"/>
                <w:b/>
                <w:color w:val="auto"/>
                <w:szCs w:val="21"/>
                <w:highlight w:val="none"/>
              </w:rPr>
            </w:pPr>
            <w:r>
              <w:rPr>
                <w:rFonts w:ascii="Arial" w:hAnsi="Arial" w:cs="Arial"/>
                <w:b/>
                <w:color w:val="auto"/>
                <w:kern w:val="0"/>
                <w:szCs w:val="21"/>
                <w:highlight w:val="none"/>
                <w:lang w:bidi="ar"/>
              </w:rPr>
              <w:t>序号</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07CDA">
            <w:pPr>
              <w:widowControl/>
              <w:spacing w:line="360" w:lineRule="exact"/>
              <w:jc w:val="center"/>
              <w:textAlignment w:val="center"/>
              <w:rPr>
                <w:rFonts w:ascii="Arial" w:hAnsi="Arial" w:cs="Arial"/>
                <w:b/>
                <w:color w:val="auto"/>
                <w:kern w:val="0"/>
                <w:szCs w:val="21"/>
                <w:highlight w:val="none"/>
              </w:rPr>
            </w:pPr>
            <w:r>
              <w:rPr>
                <w:rFonts w:ascii="Arial" w:hAnsi="Arial" w:cs="Arial"/>
                <w:b/>
                <w:color w:val="auto"/>
                <w:kern w:val="0"/>
                <w:szCs w:val="21"/>
                <w:highlight w:val="none"/>
                <w:lang w:bidi="ar"/>
              </w:rPr>
              <w:t>乡镇</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29E39">
            <w:pPr>
              <w:widowControl/>
              <w:spacing w:line="360" w:lineRule="exact"/>
              <w:jc w:val="center"/>
              <w:textAlignment w:val="center"/>
              <w:rPr>
                <w:rFonts w:ascii="Arial" w:hAnsi="Arial" w:cs="Arial"/>
                <w:b/>
                <w:color w:val="auto"/>
                <w:szCs w:val="21"/>
                <w:highlight w:val="none"/>
              </w:rPr>
            </w:pPr>
            <w:r>
              <w:rPr>
                <w:rFonts w:ascii="Arial" w:hAnsi="Arial" w:cs="Arial"/>
                <w:b/>
                <w:color w:val="auto"/>
                <w:kern w:val="0"/>
                <w:szCs w:val="21"/>
                <w:highlight w:val="none"/>
                <w:lang w:bidi="ar"/>
              </w:rPr>
              <w:t>站点名称</w:t>
            </w:r>
          </w:p>
        </w:tc>
        <w:tc>
          <w:tcPr>
            <w:tcW w:w="220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CC141">
            <w:pPr>
              <w:widowControl/>
              <w:spacing w:line="360" w:lineRule="exact"/>
              <w:jc w:val="center"/>
              <w:textAlignment w:val="center"/>
              <w:rPr>
                <w:rFonts w:ascii="Arial" w:hAnsi="Arial" w:cs="Arial"/>
                <w:b/>
                <w:color w:val="auto"/>
                <w:szCs w:val="21"/>
                <w:highlight w:val="none"/>
              </w:rPr>
            </w:pPr>
            <w:r>
              <w:rPr>
                <w:rFonts w:ascii="Arial" w:hAnsi="Arial" w:cs="Arial"/>
                <w:b/>
                <w:color w:val="auto"/>
                <w:kern w:val="0"/>
                <w:szCs w:val="21"/>
                <w:highlight w:val="none"/>
                <w:lang w:bidi="ar"/>
              </w:rPr>
              <w:t>站点位置</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EBE91">
            <w:pPr>
              <w:widowControl/>
              <w:spacing w:line="360" w:lineRule="exact"/>
              <w:jc w:val="center"/>
              <w:textAlignment w:val="center"/>
              <w:rPr>
                <w:rFonts w:ascii="Arial" w:hAnsi="Arial" w:cs="Arial"/>
                <w:b/>
                <w:color w:val="auto"/>
                <w:szCs w:val="21"/>
                <w:highlight w:val="none"/>
              </w:rPr>
            </w:pPr>
            <w:r>
              <w:rPr>
                <w:rFonts w:ascii="Arial" w:hAnsi="Arial" w:cs="Arial"/>
                <w:b/>
                <w:color w:val="auto"/>
                <w:kern w:val="0"/>
                <w:szCs w:val="21"/>
                <w:highlight w:val="none"/>
                <w:lang w:bidi="ar"/>
              </w:rPr>
              <w:t>站点类型</w:t>
            </w:r>
          </w:p>
        </w:tc>
        <w:tc>
          <w:tcPr>
            <w:tcW w:w="8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11A65A">
            <w:pPr>
              <w:widowControl/>
              <w:spacing w:line="360" w:lineRule="exact"/>
              <w:jc w:val="center"/>
              <w:textAlignment w:val="center"/>
              <w:rPr>
                <w:rFonts w:ascii="Arial" w:hAnsi="Arial" w:cs="Arial"/>
                <w:b/>
                <w:color w:val="auto"/>
                <w:kern w:val="0"/>
                <w:szCs w:val="21"/>
                <w:highlight w:val="none"/>
              </w:rPr>
            </w:pPr>
            <w:r>
              <w:rPr>
                <w:rFonts w:ascii="Arial" w:hAnsi="Arial" w:cs="Arial"/>
                <w:b/>
                <w:color w:val="auto"/>
                <w:kern w:val="0"/>
                <w:szCs w:val="21"/>
                <w:highlight w:val="none"/>
                <w:lang w:bidi="ar"/>
              </w:rPr>
              <w:t>场地面积</w:t>
            </w:r>
          </w:p>
          <w:p w14:paraId="4C27B731">
            <w:pPr>
              <w:widowControl/>
              <w:spacing w:line="360" w:lineRule="exact"/>
              <w:textAlignment w:val="center"/>
              <w:rPr>
                <w:rFonts w:ascii="Arial" w:hAnsi="Arial" w:cs="Arial"/>
                <w:b/>
                <w:color w:val="auto"/>
                <w:szCs w:val="21"/>
                <w:highlight w:val="none"/>
              </w:rPr>
            </w:pPr>
            <w:r>
              <w:rPr>
                <w:rFonts w:ascii="Arial" w:hAnsi="Arial" w:cs="Arial"/>
                <w:b/>
                <w:color w:val="auto"/>
                <w:kern w:val="0"/>
                <w:szCs w:val="21"/>
                <w:highlight w:val="none"/>
                <w:lang w:bidi="ar"/>
              </w:rPr>
              <w:t>（平方米）</w:t>
            </w:r>
          </w:p>
        </w:tc>
        <w:tc>
          <w:tcPr>
            <w:tcW w:w="17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BAD3E">
            <w:pPr>
              <w:widowControl/>
              <w:spacing w:line="360" w:lineRule="exact"/>
              <w:jc w:val="center"/>
              <w:textAlignment w:val="center"/>
              <w:rPr>
                <w:rFonts w:ascii="Arial" w:hAnsi="Arial" w:cs="Arial"/>
                <w:b/>
                <w:color w:val="auto"/>
                <w:szCs w:val="21"/>
                <w:highlight w:val="none"/>
              </w:rPr>
            </w:pPr>
            <w:r>
              <w:rPr>
                <w:rFonts w:hint="eastAsia" w:ascii="Arial" w:hAnsi="Arial" w:cs="Arial"/>
                <w:b/>
                <w:color w:val="auto"/>
                <w:szCs w:val="21"/>
                <w:highlight w:val="none"/>
                <w:lang w:bidi="ar"/>
              </w:rPr>
              <w:t>分项</w:t>
            </w:r>
            <w:r>
              <w:rPr>
                <w:rFonts w:ascii="Arial" w:hAnsi="Arial" w:cs="Arial"/>
                <w:b/>
                <w:color w:val="auto"/>
                <w:szCs w:val="21"/>
                <w:highlight w:val="none"/>
                <w:lang w:bidi="ar"/>
              </w:rPr>
              <w:t>预算（万元）</w:t>
            </w:r>
          </w:p>
        </w:tc>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1E038">
            <w:pPr>
              <w:widowControl/>
              <w:tabs>
                <w:tab w:val="left" w:pos="205"/>
              </w:tabs>
              <w:spacing w:line="360" w:lineRule="exact"/>
              <w:textAlignment w:val="center"/>
              <w:rPr>
                <w:rFonts w:ascii="Arial" w:hAnsi="Arial" w:cs="Arial"/>
                <w:b/>
                <w:color w:val="auto"/>
                <w:szCs w:val="21"/>
                <w:highlight w:val="none"/>
              </w:rPr>
            </w:pPr>
            <w:r>
              <w:rPr>
                <w:rFonts w:ascii="Arial" w:hAnsi="Arial" w:cs="Arial"/>
                <w:b/>
                <w:color w:val="auto"/>
                <w:szCs w:val="21"/>
                <w:highlight w:val="none"/>
                <w:lang w:bidi="ar"/>
              </w:rPr>
              <w:t>人员配备（不少于）</w:t>
            </w:r>
          </w:p>
        </w:tc>
        <w:tc>
          <w:tcPr>
            <w:tcW w:w="33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37CC5">
            <w:pPr>
              <w:widowControl/>
              <w:tabs>
                <w:tab w:val="left" w:pos="205"/>
              </w:tabs>
              <w:spacing w:line="360" w:lineRule="exact"/>
              <w:jc w:val="left"/>
              <w:textAlignment w:val="center"/>
              <w:rPr>
                <w:rFonts w:ascii="Arial" w:hAnsi="Arial" w:cs="Arial"/>
                <w:b/>
                <w:color w:val="auto"/>
                <w:szCs w:val="21"/>
                <w:highlight w:val="none"/>
              </w:rPr>
            </w:pPr>
            <w:r>
              <w:rPr>
                <w:rFonts w:ascii="Arial" w:hAnsi="Arial" w:cs="Arial"/>
                <w:b/>
                <w:color w:val="auto"/>
                <w:szCs w:val="21"/>
                <w:highlight w:val="none"/>
                <w:lang w:bidi="ar"/>
              </w:rPr>
              <w:t>备注</w:t>
            </w:r>
          </w:p>
        </w:tc>
      </w:tr>
      <w:tr w14:paraId="2D68CD69">
        <w:tblPrEx>
          <w:tblCellMar>
            <w:top w:w="0" w:type="dxa"/>
            <w:left w:w="0" w:type="dxa"/>
            <w:bottom w:w="0" w:type="dxa"/>
            <w:right w:w="0" w:type="dxa"/>
          </w:tblCellMar>
        </w:tblPrEx>
        <w:trPr>
          <w:cantSplit/>
          <w:trHeight w:val="801" w:hRule="atLeast"/>
        </w:trPr>
        <w:tc>
          <w:tcPr>
            <w:tcW w:w="3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8F78B">
            <w:pPr>
              <w:rPr>
                <w:rFonts w:ascii="Arial" w:hAnsi="Arial" w:cs="Arial"/>
                <w:color w:val="auto"/>
                <w:szCs w:val="21"/>
                <w:highlight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D5016">
            <w:pPr>
              <w:rPr>
                <w:rFonts w:ascii="Arial" w:hAnsi="Arial" w:cs="Arial"/>
                <w:color w:val="auto"/>
                <w:szCs w:val="21"/>
                <w:highlight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62580">
            <w:pPr>
              <w:rPr>
                <w:rFonts w:ascii="Arial" w:hAnsi="Arial" w:cs="Arial"/>
                <w:color w:val="auto"/>
                <w:szCs w:val="21"/>
                <w:highlight w:val="none"/>
              </w:rPr>
            </w:pPr>
          </w:p>
        </w:tc>
        <w:tc>
          <w:tcPr>
            <w:tcW w:w="22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95A3E">
            <w:pPr>
              <w:rPr>
                <w:rFonts w:ascii="Arial" w:hAnsi="Arial" w:cs="Arial"/>
                <w:color w:val="auto"/>
                <w:szCs w:val="21"/>
                <w:highlight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7E5F3">
            <w:pPr>
              <w:rPr>
                <w:rFonts w:ascii="Arial" w:hAnsi="Arial" w:cs="Arial"/>
                <w:color w:val="auto"/>
                <w:szCs w:val="21"/>
                <w:highlight w:val="none"/>
              </w:rPr>
            </w:pPr>
          </w:p>
        </w:tc>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D648E">
            <w:pPr>
              <w:rPr>
                <w:rFonts w:ascii="Arial" w:hAnsi="Arial" w:cs="Arial"/>
                <w:color w:val="auto"/>
                <w:szCs w:val="21"/>
                <w:highlight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78E27">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合计</w:t>
            </w:r>
          </w:p>
        </w:tc>
        <w:tc>
          <w:tcPr>
            <w:tcW w:w="68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53DAA">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第一年</w:t>
            </w:r>
          </w:p>
        </w:tc>
        <w:tc>
          <w:tcPr>
            <w:tcW w:w="58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B983F">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第二年</w:t>
            </w: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C7B89">
            <w:pPr>
              <w:rPr>
                <w:rFonts w:ascii="Arial" w:hAnsi="Arial" w:cs="Arial"/>
                <w:color w:val="auto"/>
                <w:szCs w:val="21"/>
                <w:highlight w:val="none"/>
              </w:rPr>
            </w:pPr>
          </w:p>
        </w:tc>
        <w:tc>
          <w:tcPr>
            <w:tcW w:w="3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4BF7A8">
            <w:pPr>
              <w:rPr>
                <w:rFonts w:ascii="Arial" w:hAnsi="Arial" w:cs="Arial"/>
                <w:color w:val="auto"/>
                <w:szCs w:val="21"/>
                <w:highlight w:val="none"/>
              </w:rPr>
            </w:pPr>
          </w:p>
        </w:tc>
      </w:tr>
      <w:tr w14:paraId="42107138">
        <w:tblPrEx>
          <w:tblCellMar>
            <w:top w:w="0" w:type="dxa"/>
            <w:left w:w="0" w:type="dxa"/>
            <w:bottom w:w="0" w:type="dxa"/>
            <w:right w:w="0" w:type="dxa"/>
          </w:tblCellMar>
        </w:tblPrEx>
        <w:trPr>
          <w:cantSplit/>
          <w:trHeight w:val="90"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D05D8">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w:t>
            </w:r>
          </w:p>
        </w:tc>
        <w:tc>
          <w:tcPr>
            <w:tcW w:w="7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AF5FB00">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宾州镇</w:t>
            </w:r>
          </w:p>
        </w:tc>
        <w:tc>
          <w:tcPr>
            <w:tcW w:w="192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9AAE61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宾阳县人力资源市场（加挂宾阳县零工市场）</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92DC8">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宾阳县宾州镇临浦路457号</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E4B6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人力资源市场（加挂零工市场）</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5001CA">
            <w:pPr>
              <w:widowControl/>
              <w:spacing w:line="400" w:lineRule="exact"/>
              <w:jc w:val="center"/>
              <w:textAlignment w:val="center"/>
              <w:rPr>
                <w:rFonts w:hint="default" w:ascii="Arial" w:hAnsi="Arial" w:eastAsia="宋体" w:cs="Arial"/>
                <w:bCs/>
                <w:color w:val="auto"/>
                <w:szCs w:val="21"/>
                <w:highlight w:val="none"/>
                <w:lang w:val="en-US" w:eastAsia="zh-CN"/>
              </w:rPr>
            </w:pPr>
            <w:r>
              <w:rPr>
                <w:rFonts w:hint="eastAsia" w:ascii="Arial" w:hAnsi="Arial" w:cs="Arial"/>
                <w:bCs/>
                <w:color w:val="auto"/>
                <w:szCs w:val="21"/>
                <w:highlight w:val="none"/>
                <w:lang w:val="en-US" w:eastAsia="zh-CN" w:bidi="ar"/>
              </w:rPr>
              <w:t>800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18BE2">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130</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02D5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100</w:t>
            </w: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89DC7">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30</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9AB18">
            <w:pPr>
              <w:widowControl/>
              <w:spacing w:line="400" w:lineRule="exact"/>
              <w:ind w:firstLine="210" w:firstLineChars="100"/>
              <w:textAlignment w:val="center"/>
              <w:rPr>
                <w:rFonts w:ascii="Arial" w:hAnsi="Arial" w:cs="Arial"/>
                <w:bCs/>
                <w:color w:val="auto"/>
                <w:szCs w:val="21"/>
                <w:highlight w:val="none"/>
              </w:rPr>
            </w:pPr>
            <w:r>
              <w:rPr>
                <w:rFonts w:ascii="Arial" w:hAnsi="Arial" w:cs="Arial"/>
                <w:bCs/>
                <w:color w:val="auto"/>
                <w:szCs w:val="21"/>
                <w:highlight w:val="none"/>
                <w:lang w:bidi="ar"/>
              </w:rPr>
              <w:t>3人</w:t>
            </w:r>
          </w:p>
        </w:tc>
        <w:tc>
          <w:tcPr>
            <w:tcW w:w="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57C5B">
            <w:pPr>
              <w:widowControl/>
              <w:spacing w:line="400" w:lineRule="exact"/>
              <w:jc w:val="center"/>
              <w:textAlignment w:val="center"/>
              <w:rPr>
                <w:rFonts w:ascii="Arial" w:hAnsi="Arial" w:cs="Arial"/>
                <w:bCs/>
                <w:color w:val="auto"/>
                <w:szCs w:val="21"/>
                <w:highlight w:val="none"/>
              </w:rPr>
            </w:pPr>
          </w:p>
        </w:tc>
      </w:tr>
      <w:tr w14:paraId="4B0A7DA0">
        <w:tblPrEx>
          <w:tblCellMar>
            <w:top w:w="0" w:type="dxa"/>
            <w:left w:w="0" w:type="dxa"/>
            <w:bottom w:w="0" w:type="dxa"/>
            <w:right w:w="0" w:type="dxa"/>
          </w:tblCellMar>
        </w:tblPrEx>
        <w:trPr>
          <w:cantSplit/>
          <w:trHeight w:val="1235"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45A19">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C912202">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宾州镇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6D29805">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宾阳县宾州产业园区就业服务站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EC3DF">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宾阳县东环路与中山路交叉路口（和鑫科技园）</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D0380">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园区一级站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C15E7">
            <w:pPr>
              <w:widowControl/>
              <w:spacing w:line="400" w:lineRule="exact"/>
              <w:jc w:val="center"/>
              <w:textAlignment w:val="center"/>
              <w:rPr>
                <w:rFonts w:hint="default" w:ascii="Arial" w:hAnsi="Arial" w:eastAsia="宋体" w:cs="Arial"/>
                <w:bCs/>
                <w:color w:val="auto"/>
                <w:szCs w:val="21"/>
                <w:highlight w:val="none"/>
                <w:lang w:val="en-US" w:eastAsia="zh-CN"/>
              </w:rPr>
            </w:pPr>
            <w:r>
              <w:rPr>
                <w:rFonts w:hint="eastAsia" w:ascii="Arial" w:hAnsi="Arial" w:cs="Arial"/>
                <w:bCs/>
                <w:color w:val="auto"/>
                <w:szCs w:val="21"/>
                <w:highlight w:val="none"/>
                <w:lang w:val="en-US" w:eastAsia="zh-CN" w:bidi="ar"/>
              </w:rPr>
              <w:t>70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0EE94">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45</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D44F5">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30</w:t>
            </w: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B56C1">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15</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BF0B1">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9DBA8C">
            <w:pPr>
              <w:widowControl/>
              <w:spacing w:line="400" w:lineRule="exact"/>
              <w:jc w:val="center"/>
              <w:textAlignment w:val="center"/>
              <w:rPr>
                <w:rFonts w:ascii="Arial" w:hAnsi="Arial" w:cs="Arial"/>
                <w:bCs/>
                <w:color w:val="auto"/>
                <w:szCs w:val="21"/>
                <w:highlight w:val="none"/>
              </w:rPr>
            </w:pPr>
          </w:p>
        </w:tc>
      </w:tr>
      <w:tr w14:paraId="6D9572C3">
        <w:tblPrEx>
          <w:tblCellMar>
            <w:top w:w="0" w:type="dxa"/>
            <w:left w:w="0" w:type="dxa"/>
            <w:bottom w:w="0" w:type="dxa"/>
            <w:right w:w="0" w:type="dxa"/>
          </w:tblCellMar>
        </w:tblPrEx>
        <w:trPr>
          <w:cantSplit/>
          <w:trHeight w:val="840"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24B3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8BC8D4">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宾州镇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6A45D08">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宾州镇就业服务站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1EAF2">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宾阳县宾州镇枫江路45号</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F4D76">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乡镇二级站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B71F8">
            <w:pPr>
              <w:widowControl/>
              <w:spacing w:line="400" w:lineRule="exact"/>
              <w:jc w:val="center"/>
              <w:textAlignment w:val="center"/>
              <w:rPr>
                <w:rFonts w:hint="default" w:ascii="Arial" w:hAnsi="Arial" w:eastAsia="宋体" w:cs="Arial"/>
                <w:bCs/>
                <w:color w:val="auto"/>
                <w:szCs w:val="21"/>
                <w:highlight w:val="none"/>
                <w:lang w:val="en-US" w:eastAsia="zh-CN"/>
              </w:rPr>
            </w:pPr>
            <w:r>
              <w:rPr>
                <w:rFonts w:hint="eastAsia" w:ascii="Arial" w:hAnsi="Arial" w:cs="Arial"/>
                <w:bCs/>
                <w:color w:val="auto"/>
                <w:szCs w:val="21"/>
                <w:highlight w:val="none"/>
                <w:lang w:val="en-US" w:eastAsia="zh-CN" w:bidi="ar"/>
              </w:rPr>
              <w:t>80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02995">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26</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827F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18</w:t>
            </w: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161A1">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8</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B3AD9">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D7D1D">
            <w:pPr>
              <w:widowControl/>
              <w:spacing w:line="400" w:lineRule="exact"/>
              <w:jc w:val="center"/>
              <w:textAlignment w:val="center"/>
              <w:rPr>
                <w:rFonts w:ascii="Arial" w:hAnsi="Arial" w:cs="Arial"/>
                <w:bCs/>
                <w:color w:val="auto"/>
                <w:szCs w:val="21"/>
                <w:highlight w:val="none"/>
              </w:rPr>
            </w:pPr>
          </w:p>
        </w:tc>
      </w:tr>
      <w:tr w14:paraId="5DA9C362">
        <w:tblPrEx>
          <w:tblCellMar>
            <w:top w:w="0" w:type="dxa"/>
            <w:left w:w="0" w:type="dxa"/>
            <w:bottom w:w="0" w:type="dxa"/>
            <w:right w:w="0" w:type="dxa"/>
          </w:tblCellMar>
        </w:tblPrEx>
        <w:trPr>
          <w:cantSplit/>
          <w:trHeight w:val="1120"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089A5">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78D3A8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黎塘镇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0A769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黎塘镇就业服务站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3CE1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宾阳县黎塘镇龙珠广场步行街（现退役军人事务站）</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5A5A9">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140C7">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80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ED9D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45</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384595">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30</w:t>
            </w: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D22040">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15</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BF6C9">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77E6C">
            <w:pPr>
              <w:widowControl/>
              <w:spacing w:line="400" w:lineRule="exact"/>
              <w:jc w:val="center"/>
              <w:textAlignment w:val="center"/>
              <w:rPr>
                <w:rFonts w:ascii="Arial" w:hAnsi="Arial" w:cs="Arial"/>
                <w:bCs/>
                <w:color w:val="auto"/>
                <w:szCs w:val="21"/>
                <w:highlight w:val="none"/>
              </w:rPr>
            </w:pPr>
          </w:p>
        </w:tc>
      </w:tr>
      <w:tr w14:paraId="3F6B6539">
        <w:tblPrEx>
          <w:tblCellMar>
            <w:top w:w="0" w:type="dxa"/>
            <w:left w:w="0" w:type="dxa"/>
            <w:bottom w:w="0" w:type="dxa"/>
            <w:right w:w="0" w:type="dxa"/>
          </w:tblCellMar>
        </w:tblPrEx>
        <w:trPr>
          <w:cantSplit/>
          <w:trHeight w:val="605"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971C0">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5</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94DA2D9">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甘棠镇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26D3F57">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甘棠镇就业服务站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3C4A6">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宾阳县甘棠镇斑江街8号政府大门旁</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BD831">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E1990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50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7A6F6">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42</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CFEEB">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28</w:t>
            </w: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C35CB">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14</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87DF8">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5690A">
            <w:pPr>
              <w:widowControl/>
              <w:spacing w:line="400" w:lineRule="exact"/>
              <w:jc w:val="center"/>
              <w:textAlignment w:val="center"/>
              <w:rPr>
                <w:rFonts w:ascii="Arial" w:hAnsi="Arial" w:cs="Arial"/>
                <w:bCs/>
                <w:color w:val="auto"/>
                <w:szCs w:val="21"/>
                <w:highlight w:val="none"/>
              </w:rPr>
            </w:pPr>
          </w:p>
        </w:tc>
      </w:tr>
      <w:tr w14:paraId="24BBD56C">
        <w:tblPrEx>
          <w:tblCellMar>
            <w:top w:w="0" w:type="dxa"/>
            <w:left w:w="0" w:type="dxa"/>
            <w:bottom w:w="0" w:type="dxa"/>
            <w:right w:w="0" w:type="dxa"/>
          </w:tblCellMar>
        </w:tblPrEx>
        <w:trPr>
          <w:cantSplit/>
          <w:trHeight w:val="747"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170537">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6</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C2FC9B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思陇镇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05AA7A2">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思陇镇就业服务站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DBB21">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宾阳县思陇镇西街99号（原镇农服中心办公楼）</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0D38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0BE02">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50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64140">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40</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1E4A8">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27</w:t>
            </w: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DC18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13</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6DA65">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539EB">
            <w:pPr>
              <w:widowControl/>
              <w:spacing w:line="400" w:lineRule="exact"/>
              <w:jc w:val="center"/>
              <w:textAlignment w:val="center"/>
              <w:rPr>
                <w:rFonts w:ascii="Arial" w:hAnsi="Arial" w:cs="Arial"/>
                <w:bCs/>
                <w:color w:val="auto"/>
                <w:szCs w:val="21"/>
                <w:highlight w:val="none"/>
              </w:rPr>
            </w:pPr>
          </w:p>
        </w:tc>
      </w:tr>
      <w:tr w14:paraId="68B97342">
        <w:tblPrEx>
          <w:tblCellMar>
            <w:top w:w="0" w:type="dxa"/>
            <w:left w:w="0" w:type="dxa"/>
            <w:bottom w:w="0" w:type="dxa"/>
            <w:right w:w="0" w:type="dxa"/>
          </w:tblCellMar>
        </w:tblPrEx>
        <w:trPr>
          <w:cantSplit/>
          <w:trHeight w:val="645" w:hRule="atLeast"/>
        </w:trPr>
        <w:tc>
          <w:tcPr>
            <w:tcW w:w="3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75D09">
            <w:pPr>
              <w:widowControl/>
              <w:spacing w:line="400" w:lineRule="exact"/>
              <w:jc w:val="center"/>
              <w:textAlignment w:val="center"/>
              <w:rPr>
                <w:rFonts w:ascii="Arial" w:hAnsi="Arial" w:cs="Arial"/>
                <w:bCs/>
                <w:color w:val="auto"/>
                <w:kern w:val="0"/>
                <w:szCs w:val="21"/>
                <w:highlight w:val="none"/>
              </w:rPr>
            </w:pPr>
            <w:r>
              <w:rPr>
                <w:rFonts w:ascii="Arial" w:hAnsi="Arial" w:cs="Arial"/>
                <w:b/>
                <w:color w:val="auto"/>
                <w:kern w:val="0"/>
                <w:szCs w:val="21"/>
                <w:highlight w:val="none"/>
                <w:lang w:bidi="ar"/>
              </w:rPr>
              <w:t>序号</w:t>
            </w:r>
          </w:p>
        </w:tc>
        <w:tc>
          <w:tcPr>
            <w:tcW w:w="700" w:type="dxa"/>
            <w:vMerge w:val="restart"/>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0B90314">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街道</w:t>
            </w:r>
          </w:p>
          <w:p w14:paraId="44B7E3D1">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（乡镇）</w:t>
            </w:r>
          </w:p>
        </w:tc>
        <w:tc>
          <w:tcPr>
            <w:tcW w:w="1921" w:type="dxa"/>
            <w:vMerge w:val="restart"/>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ABA2B0">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站点名称</w:t>
            </w:r>
          </w:p>
        </w:tc>
        <w:tc>
          <w:tcPr>
            <w:tcW w:w="220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D2B02">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站点位置</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7A2DF">
            <w:pPr>
              <w:widowControl/>
              <w:spacing w:line="400" w:lineRule="exact"/>
              <w:jc w:val="center"/>
              <w:textAlignment w:val="center"/>
              <w:rPr>
                <w:rFonts w:ascii="Arial" w:hAnsi="Arial" w:cs="Arial"/>
                <w:b/>
                <w:color w:val="auto"/>
                <w:szCs w:val="21"/>
                <w:highlight w:val="none"/>
              </w:rPr>
            </w:pPr>
            <w:r>
              <w:rPr>
                <w:rFonts w:ascii="Arial" w:hAnsi="Arial" w:cs="Arial"/>
                <w:b/>
                <w:color w:val="auto"/>
                <w:kern w:val="0"/>
                <w:szCs w:val="21"/>
                <w:highlight w:val="none"/>
                <w:lang w:bidi="ar"/>
              </w:rPr>
              <w:t>站点类型</w:t>
            </w:r>
          </w:p>
        </w:tc>
        <w:tc>
          <w:tcPr>
            <w:tcW w:w="8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F0393A">
            <w:pPr>
              <w:widowControl/>
              <w:spacing w:line="400" w:lineRule="exact"/>
              <w:jc w:val="center"/>
              <w:textAlignment w:val="center"/>
              <w:rPr>
                <w:rFonts w:ascii="Arial" w:hAnsi="Arial" w:cs="Arial"/>
                <w:b/>
                <w:color w:val="auto"/>
                <w:kern w:val="0"/>
                <w:szCs w:val="21"/>
                <w:highlight w:val="none"/>
              </w:rPr>
            </w:pPr>
            <w:r>
              <w:rPr>
                <w:rFonts w:ascii="Arial" w:hAnsi="Arial" w:cs="Arial"/>
                <w:b/>
                <w:color w:val="auto"/>
                <w:kern w:val="0"/>
                <w:szCs w:val="21"/>
                <w:highlight w:val="none"/>
                <w:lang w:bidi="ar"/>
              </w:rPr>
              <w:t>场地面积</w:t>
            </w:r>
          </w:p>
          <w:p w14:paraId="3BD0356C">
            <w:pPr>
              <w:widowControl/>
              <w:spacing w:line="400" w:lineRule="exact"/>
              <w:jc w:val="center"/>
              <w:textAlignment w:val="center"/>
              <w:rPr>
                <w:rFonts w:ascii="Arial" w:hAnsi="Arial" w:cs="Arial"/>
                <w:b/>
                <w:color w:val="auto"/>
                <w:szCs w:val="21"/>
                <w:highlight w:val="none"/>
              </w:rPr>
            </w:pPr>
            <w:r>
              <w:rPr>
                <w:rFonts w:ascii="Arial" w:hAnsi="Arial" w:cs="Arial"/>
                <w:b/>
                <w:color w:val="auto"/>
                <w:kern w:val="0"/>
                <w:szCs w:val="21"/>
                <w:highlight w:val="none"/>
                <w:lang w:bidi="ar"/>
              </w:rPr>
              <w:t>（平方）</w:t>
            </w:r>
          </w:p>
        </w:tc>
        <w:tc>
          <w:tcPr>
            <w:tcW w:w="17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E316C">
            <w:pPr>
              <w:widowControl/>
              <w:spacing w:line="400" w:lineRule="exact"/>
              <w:jc w:val="center"/>
              <w:textAlignment w:val="center"/>
              <w:rPr>
                <w:rFonts w:ascii="Arial" w:hAnsi="Arial" w:cs="Arial"/>
                <w:b/>
                <w:color w:val="auto"/>
                <w:szCs w:val="21"/>
                <w:highlight w:val="none"/>
              </w:rPr>
            </w:pPr>
            <w:r>
              <w:rPr>
                <w:rFonts w:hint="eastAsia" w:ascii="Arial" w:hAnsi="Arial" w:cs="Arial"/>
                <w:b/>
                <w:color w:val="auto"/>
                <w:szCs w:val="21"/>
                <w:highlight w:val="none"/>
                <w:lang w:bidi="ar"/>
              </w:rPr>
              <w:t>分项</w:t>
            </w:r>
            <w:r>
              <w:rPr>
                <w:rFonts w:ascii="Arial" w:hAnsi="Arial" w:cs="Arial"/>
                <w:b/>
                <w:color w:val="auto"/>
                <w:szCs w:val="21"/>
                <w:highlight w:val="none"/>
                <w:lang w:bidi="ar"/>
              </w:rPr>
              <w:t>预算（万元）</w:t>
            </w:r>
          </w:p>
        </w:tc>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DAD71F">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人员配备（不少于）</w:t>
            </w:r>
          </w:p>
        </w:tc>
        <w:tc>
          <w:tcPr>
            <w:tcW w:w="33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BA6C3">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备注</w:t>
            </w:r>
          </w:p>
        </w:tc>
      </w:tr>
      <w:tr w14:paraId="7F42B2A0">
        <w:tblPrEx>
          <w:tblCellMar>
            <w:top w:w="0" w:type="dxa"/>
            <w:left w:w="0" w:type="dxa"/>
            <w:bottom w:w="0" w:type="dxa"/>
            <w:right w:w="0" w:type="dxa"/>
          </w:tblCellMar>
        </w:tblPrEx>
        <w:trPr>
          <w:cantSplit/>
          <w:trHeight w:val="840" w:hRule="atLeast"/>
        </w:trPr>
        <w:tc>
          <w:tcPr>
            <w:tcW w:w="3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87A4E3">
            <w:pPr>
              <w:rPr>
                <w:rFonts w:ascii="Arial" w:hAnsi="Arial" w:cs="Arial"/>
                <w:color w:val="auto"/>
                <w:szCs w:val="21"/>
                <w:highlight w:val="none"/>
              </w:rPr>
            </w:pPr>
          </w:p>
        </w:tc>
        <w:tc>
          <w:tcPr>
            <w:tcW w:w="700" w:type="dxa"/>
            <w:vMerge w:val="continue"/>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7CD603F">
            <w:pPr>
              <w:rPr>
                <w:rFonts w:ascii="Arial" w:hAnsi="Arial" w:cs="Arial"/>
                <w:color w:val="auto"/>
                <w:szCs w:val="21"/>
                <w:highlight w:val="none"/>
              </w:rPr>
            </w:pPr>
          </w:p>
        </w:tc>
        <w:tc>
          <w:tcPr>
            <w:tcW w:w="1921" w:type="dxa"/>
            <w:vMerge w:val="continue"/>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CF22B2D">
            <w:pPr>
              <w:rPr>
                <w:rFonts w:ascii="Arial" w:hAnsi="Arial" w:cs="Arial"/>
                <w:color w:val="auto"/>
                <w:szCs w:val="21"/>
                <w:highlight w:val="none"/>
              </w:rPr>
            </w:pPr>
          </w:p>
        </w:tc>
        <w:tc>
          <w:tcPr>
            <w:tcW w:w="22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F3277">
            <w:pPr>
              <w:rPr>
                <w:rFonts w:ascii="Arial" w:hAnsi="Arial" w:cs="Arial"/>
                <w:color w:val="auto"/>
                <w:szCs w:val="21"/>
                <w:highlight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EFE643">
            <w:pPr>
              <w:rPr>
                <w:rFonts w:ascii="Arial" w:hAnsi="Arial" w:cs="Arial"/>
                <w:color w:val="auto"/>
                <w:szCs w:val="21"/>
                <w:highlight w:val="none"/>
              </w:rPr>
            </w:pPr>
          </w:p>
        </w:tc>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14272">
            <w:pPr>
              <w:rPr>
                <w:rFonts w:ascii="Arial" w:hAnsi="Arial" w:cs="Arial"/>
                <w:color w:val="auto"/>
                <w:szCs w:val="21"/>
                <w:highlight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F12C5">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合计</w:t>
            </w:r>
          </w:p>
        </w:tc>
        <w:tc>
          <w:tcPr>
            <w:tcW w:w="68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FC3A4">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第一年</w:t>
            </w:r>
          </w:p>
        </w:tc>
        <w:tc>
          <w:tcPr>
            <w:tcW w:w="58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14DA3">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第二年</w:t>
            </w: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C1EA2">
            <w:pPr>
              <w:rPr>
                <w:rFonts w:ascii="Arial" w:hAnsi="Arial" w:cs="Arial"/>
                <w:color w:val="auto"/>
                <w:szCs w:val="21"/>
                <w:highlight w:val="none"/>
              </w:rPr>
            </w:pPr>
          </w:p>
        </w:tc>
        <w:tc>
          <w:tcPr>
            <w:tcW w:w="3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0246F">
            <w:pPr>
              <w:rPr>
                <w:rFonts w:ascii="Arial" w:hAnsi="Arial" w:cs="Arial"/>
                <w:color w:val="auto"/>
                <w:szCs w:val="21"/>
                <w:highlight w:val="none"/>
              </w:rPr>
            </w:pPr>
          </w:p>
        </w:tc>
      </w:tr>
      <w:tr w14:paraId="4FD8929E">
        <w:tblPrEx>
          <w:tblCellMar>
            <w:top w:w="0" w:type="dxa"/>
            <w:left w:w="0" w:type="dxa"/>
            <w:bottom w:w="0" w:type="dxa"/>
            <w:right w:w="0" w:type="dxa"/>
          </w:tblCellMar>
        </w:tblPrEx>
        <w:trPr>
          <w:cantSplit/>
          <w:trHeight w:val="1235"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BB184">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7</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D65E580">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新桥镇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9224374">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新桥镇就业服务站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29EF8">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宾阳县新桥镇尚武街1-2号便民中心一楼大厅</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9643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7515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105</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7BCD6">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45</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435DB">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30</w:t>
            </w: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303C6">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15</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4AE74">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564CA">
            <w:pPr>
              <w:widowControl/>
              <w:spacing w:line="400" w:lineRule="exact"/>
              <w:jc w:val="center"/>
              <w:textAlignment w:val="center"/>
              <w:rPr>
                <w:rFonts w:ascii="Arial" w:hAnsi="Arial" w:cs="Arial"/>
                <w:bCs/>
                <w:color w:val="auto"/>
                <w:szCs w:val="21"/>
                <w:highlight w:val="none"/>
              </w:rPr>
            </w:pPr>
          </w:p>
        </w:tc>
      </w:tr>
      <w:tr w14:paraId="4801E109">
        <w:tblPrEx>
          <w:tblCellMar>
            <w:top w:w="0" w:type="dxa"/>
            <w:left w:w="0" w:type="dxa"/>
            <w:bottom w:w="0" w:type="dxa"/>
            <w:right w:w="0" w:type="dxa"/>
          </w:tblCellMar>
        </w:tblPrEx>
        <w:trPr>
          <w:cantSplit/>
          <w:trHeight w:val="551"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D8D31">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8</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59E69D0">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新圩镇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94E48A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新圩镇就业服务站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46CED8">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宾阳县新圩镇四镇街168号</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9FE94">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81988">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83ED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39</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07091">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26</w:t>
            </w: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B1AB4">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13</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C55C9">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3FD86">
            <w:pPr>
              <w:widowControl/>
              <w:spacing w:line="400" w:lineRule="exact"/>
              <w:jc w:val="center"/>
              <w:textAlignment w:val="center"/>
              <w:rPr>
                <w:rFonts w:ascii="Arial" w:hAnsi="Arial" w:cs="Arial"/>
                <w:bCs/>
                <w:color w:val="auto"/>
                <w:szCs w:val="21"/>
                <w:highlight w:val="none"/>
              </w:rPr>
            </w:pPr>
          </w:p>
        </w:tc>
      </w:tr>
      <w:tr w14:paraId="47C3D9EB">
        <w:tblPrEx>
          <w:tblCellMar>
            <w:top w:w="0" w:type="dxa"/>
            <w:left w:w="0" w:type="dxa"/>
            <w:bottom w:w="0" w:type="dxa"/>
            <w:right w:w="0" w:type="dxa"/>
          </w:tblCellMar>
        </w:tblPrEx>
        <w:trPr>
          <w:cantSplit/>
          <w:trHeight w:val="786"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2EA91">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9</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58D7D6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邹圩镇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01122F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邹圩镇就业服务站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69D25">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宾阳县邹圩镇新街南92号镇便民中心大院内</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75841">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8177D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FAF8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44</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E8764">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30</w:t>
            </w: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CF8FF">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14</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9172B">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AA9FDE">
            <w:pPr>
              <w:widowControl/>
              <w:spacing w:line="400" w:lineRule="exact"/>
              <w:jc w:val="center"/>
              <w:textAlignment w:val="center"/>
              <w:rPr>
                <w:rFonts w:ascii="Arial" w:hAnsi="Arial" w:cs="Arial"/>
                <w:bCs/>
                <w:color w:val="auto"/>
                <w:szCs w:val="21"/>
                <w:highlight w:val="none"/>
              </w:rPr>
            </w:pPr>
          </w:p>
        </w:tc>
      </w:tr>
      <w:tr w14:paraId="7BE8EAA7">
        <w:tblPrEx>
          <w:tblCellMar>
            <w:top w:w="0" w:type="dxa"/>
            <w:left w:w="0" w:type="dxa"/>
            <w:bottom w:w="0" w:type="dxa"/>
            <w:right w:w="0" w:type="dxa"/>
          </w:tblCellMar>
        </w:tblPrEx>
        <w:trPr>
          <w:cantSplit/>
          <w:trHeight w:val="605"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BF725">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10</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7951A0F">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大桥镇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E15A690">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大桥镇就业服务站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3B88F">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宾阳县大桥镇永兴街67号</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BFC0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137B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43</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456A1">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45</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C39D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30</w:t>
            </w: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33D9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15</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F10A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E394B">
            <w:pPr>
              <w:widowControl/>
              <w:spacing w:line="400" w:lineRule="exact"/>
              <w:jc w:val="center"/>
              <w:textAlignment w:val="center"/>
              <w:rPr>
                <w:rFonts w:ascii="Arial" w:hAnsi="Arial" w:cs="Arial"/>
                <w:bCs/>
                <w:color w:val="auto"/>
                <w:szCs w:val="21"/>
                <w:highlight w:val="none"/>
              </w:rPr>
            </w:pPr>
          </w:p>
        </w:tc>
      </w:tr>
      <w:tr w14:paraId="646D808D">
        <w:tblPrEx>
          <w:tblCellMar>
            <w:top w:w="0" w:type="dxa"/>
            <w:left w:w="0" w:type="dxa"/>
            <w:bottom w:w="0" w:type="dxa"/>
            <w:right w:w="0" w:type="dxa"/>
          </w:tblCellMar>
        </w:tblPrEx>
        <w:trPr>
          <w:cantSplit/>
          <w:trHeight w:val="946"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F04E6">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11</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EBCBAF">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武陵镇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0F1FA81">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武陵镇就业服务站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3D92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宾阳县武陵镇振武街（现武陵镇农技站旁）</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E0F59">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F9816">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A33CC">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44</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1EE9B">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30</w:t>
            </w: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B6D72">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14</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2B702">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3A6A9">
            <w:pPr>
              <w:widowControl/>
              <w:spacing w:line="400" w:lineRule="exact"/>
              <w:jc w:val="center"/>
              <w:textAlignment w:val="center"/>
              <w:rPr>
                <w:rFonts w:ascii="Arial" w:hAnsi="Arial" w:cs="Arial"/>
                <w:bCs/>
                <w:color w:val="auto"/>
                <w:szCs w:val="21"/>
                <w:highlight w:val="none"/>
              </w:rPr>
            </w:pPr>
          </w:p>
        </w:tc>
      </w:tr>
      <w:tr w14:paraId="5F501A1C">
        <w:tblPrEx>
          <w:tblCellMar>
            <w:top w:w="0" w:type="dxa"/>
            <w:left w:w="0" w:type="dxa"/>
            <w:bottom w:w="0" w:type="dxa"/>
            <w:right w:w="0" w:type="dxa"/>
          </w:tblCellMar>
        </w:tblPrEx>
        <w:trPr>
          <w:cantSplit/>
          <w:trHeight w:val="946"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99549">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12</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710F939">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中华镇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135C22C">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中华镇就业服务站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6C9E2">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宾阳县中华镇中华街140号</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5BA9E8">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21C12">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25</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BC2DE">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37</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FA0CE">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25</w:t>
            </w: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8D6E1">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12</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8399F">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77856">
            <w:pPr>
              <w:widowControl/>
              <w:spacing w:line="400" w:lineRule="exact"/>
              <w:jc w:val="center"/>
              <w:textAlignment w:val="center"/>
              <w:rPr>
                <w:rFonts w:ascii="Arial" w:hAnsi="Arial" w:cs="Arial"/>
                <w:bCs/>
                <w:color w:val="auto"/>
                <w:szCs w:val="21"/>
                <w:highlight w:val="none"/>
              </w:rPr>
            </w:pPr>
          </w:p>
        </w:tc>
      </w:tr>
      <w:tr w14:paraId="553EA597">
        <w:tblPrEx>
          <w:tblCellMar>
            <w:top w:w="0" w:type="dxa"/>
            <w:left w:w="0" w:type="dxa"/>
            <w:bottom w:w="0" w:type="dxa"/>
            <w:right w:w="0" w:type="dxa"/>
          </w:tblCellMar>
        </w:tblPrEx>
        <w:trPr>
          <w:cantSplit/>
          <w:trHeight w:val="318"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69E15">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13</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BEB5EDF">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古辣镇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FA389A5">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古辣镇就业服务站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E469B6">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宾阳县古辣镇东兴街（原古辣镇建设站）</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8652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E4524">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80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F4F18">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43</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A1D77">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30</w:t>
            </w: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93E97">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13</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2F0F6">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2D97E">
            <w:pPr>
              <w:widowControl/>
              <w:spacing w:line="400" w:lineRule="exact"/>
              <w:jc w:val="center"/>
              <w:textAlignment w:val="center"/>
              <w:rPr>
                <w:rFonts w:ascii="Arial" w:hAnsi="Arial" w:cs="Arial"/>
                <w:bCs/>
                <w:color w:val="auto"/>
                <w:szCs w:val="21"/>
                <w:highlight w:val="none"/>
              </w:rPr>
            </w:pPr>
          </w:p>
        </w:tc>
      </w:tr>
      <w:tr w14:paraId="36D9C6C8">
        <w:tblPrEx>
          <w:tblCellMar>
            <w:top w:w="0" w:type="dxa"/>
            <w:left w:w="0" w:type="dxa"/>
            <w:bottom w:w="0" w:type="dxa"/>
            <w:right w:w="0" w:type="dxa"/>
          </w:tblCellMar>
        </w:tblPrEx>
        <w:trPr>
          <w:cantSplit/>
          <w:trHeight w:val="645" w:hRule="atLeast"/>
        </w:trPr>
        <w:tc>
          <w:tcPr>
            <w:tcW w:w="3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38492">
            <w:pPr>
              <w:widowControl/>
              <w:spacing w:line="400" w:lineRule="exact"/>
              <w:jc w:val="center"/>
              <w:textAlignment w:val="center"/>
              <w:rPr>
                <w:rFonts w:ascii="Arial" w:hAnsi="Arial" w:cs="Arial"/>
                <w:bCs/>
                <w:color w:val="auto"/>
                <w:kern w:val="0"/>
                <w:szCs w:val="21"/>
                <w:highlight w:val="none"/>
              </w:rPr>
            </w:pPr>
            <w:r>
              <w:rPr>
                <w:rFonts w:ascii="Arial" w:hAnsi="Arial" w:cs="Arial"/>
                <w:b/>
                <w:color w:val="auto"/>
                <w:kern w:val="0"/>
                <w:szCs w:val="21"/>
                <w:highlight w:val="none"/>
                <w:lang w:bidi="ar"/>
              </w:rPr>
              <w:t>序号</w:t>
            </w:r>
          </w:p>
        </w:tc>
        <w:tc>
          <w:tcPr>
            <w:tcW w:w="700" w:type="dxa"/>
            <w:vMerge w:val="restart"/>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7E1B267">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街道</w:t>
            </w:r>
          </w:p>
          <w:p w14:paraId="7885D954">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（乡镇）</w:t>
            </w:r>
          </w:p>
        </w:tc>
        <w:tc>
          <w:tcPr>
            <w:tcW w:w="1921" w:type="dxa"/>
            <w:vMerge w:val="restart"/>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1EF6965">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站点名称</w:t>
            </w:r>
          </w:p>
        </w:tc>
        <w:tc>
          <w:tcPr>
            <w:tcW w:w="220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B2787">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站点位置</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825BB">
            <w:pPr>
              <w:widowControl/>
              <w:spacing w:line="400" w:lineRule="exact"/>
              <w:jc w:val="center"/>
              <w:textAlignment w:val="center"/>
              <w:rPr>
                <w:rFonts w:ascii="Arial" w:hAnsi="Arial" w:cs="Arial"/>
                <w:b/>
                <w:color w:val="auto"/>
                <w:szCs w:val="21"/>
                <w:highlight w:val="none"/>
              </w:rPr>
            </w:pPr>
            <w:r>
              <w:rPr>
                <w:rFonts w:ascii="Arial" w:hAnsi="Arial" w:cs="Arial"/>
                <w:b/>
                <w:color w:val="auto"/>
                <w:kern w:val="0"/>
                <w:szCs w:val="21"/>
                <w:highlight w:val="none"/>
                <w:lang w:bidi="ar"/>
              </w:rPr>
              <w:t>站点类型</w:t>
            </w:r>
          </w:p>
        </w:tc>
        <w:tc>
          <w:tcPr>
            <w:tcW w:w="8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C5FE9">
            <w:pPr>
              <w:widowControl/>
              <w:spacing w:line="400" w:lineRule="exact"/>
              <w:jc w:val="center"/>
              <w:textAlignment w:val="center"/>
              <w:rPr>
                <w:rFonts w:ascii="Arial" w:hAnsi="Arial" w:cs="Arial"/>
                <w:b/>
                <w:color w:val="auto"/>
                <w:kern w:val="0"/>
                <w:szCs w:val="21"/>
                <w:highlight w:val="none"/>
              </w:rPr>
            </w:pPr>
            <w:r>
              <w:rPr>
                <w:rFonts w:ascii="Arial" w:hAnsi="Arial" w:cs="Arial"/>
                <w:b/>
                <w:color w:val="auto"/>
                <w:kern w:val="0"/>
                <w:szCs w:val="21"/>
                <w:highlight w:val="none"/>
                <w:lang w:bidi="ar"/>
              </w:rPr>
              <w:t>场地面积</w:t>
            </w:r>
          </w:p>
          <w:p w14:paraId="0EA8338E">
            <w:pPr>
              <w:widowControl/>
              <w:spacing w:line="400" w:lineRule="exact"/>
              <w:jc w:val="center"/>
              <w:textAlignment w:val="center"/>
              <w:rPr>
                <w:rFonts w:ascii="Arial" w:hAnsi="Arial" w:cs="Arial"/>
                <w:b/>
                <w:color w:val="auto"/>
                <w:szCs w:val="21"/>
                <w:highlight w:val="none"/>
              </w:rPr>
            </w:pPr>
            <w:r>
              <w:rPr>
                <w:rFonts w:ascii="Arial" w:hAnsi="Arial" w:cs="Arial"/>
                <w:b/>
                <w:color w:val="auto"/>
                <w:kern w:val="0"/>
                <w:szCs w:val="21"/>
                <w:highlight w:val="none"/>
                <w:lang w:bidi="ar"/>
              </w:rPr>
              <w:t>（平方）</w:t>
            </w:r>
          </w:p>
        </w:tc>
        <w:tc>
          <w:tcPr>
            <w:tcW w:w="17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E941E">
            <w:pPr>
              <w:widowControl/>
              <w:spacing w:line="400" w:lineRule="exact"/>
              <w:jc w:val="center"/>
              <w:textAlignment w:val="center"/>
              <w:rPr>
                <w:rFonts w:ascii="Arial" w:hAnsi="Arial" w:cs="Arial"/>
                <w:b/>
                <w:color w:val="auto"/>
                <w:szCs w:val="21"/>
                <w:highlight w:val="none"/>
              </w:rPr>
            </w:pPr>
            <w:r>
              <w:rPr>
                <w:rFonts w:hint="eastAsia" w:ascii="Arial" w:hAnsi="Arial" w:cs="Arial"/>
                <w:b/>
                <w:color w:val="auto"/>
                <w:szCs w:val="21"/>
                <w:highlight w:val="none"/>
                <w:lang w:bidi="ar"/>
              </w:rPr>
              <w:t>分项</w:t>
            </w:r>
            <w:r>
              <w:rPr>
                <w:rFonts w:ascii="Arial" w:hAnsi="Arial" w:cs="Arial"/>
                <w:b/>
                <w:color w:val="auto"/>
                <w:szCs w:val="21"/>
                <w:highlight w:val="none"/>
                <w:lang w:bidi="ar"/>
              </w:rPr>
              <w:t>预算（万元）</w:t>
            </w:r>
          </w:p>
        </w:tc>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53251">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人员配备（不少于）</w:t>
            </w:r>
          </w:p>
        </w:tc>
        <w:tc>
          <w:tcPr>
            <w:tcW w:w="33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82B16">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备注</w:t>
            </w:r>
          </w:p>
        </w:tc>
      </w:tr>
      <w:tr w14:paraId="34E156D0">
        <w:tblPrEx>
          <w:tblCellMar>
            <w:top w:w="0" w:type="dxa"/>
            <w:left w:w="0" w:type="dxa"/>
            <w:bottom w:w="0" w:type="dxa"/>
            <w:right w:w="0" w:type="dxa"/>
          </w:tblCellMar>
        </w:tblPrEx>
        <w:trPr>
          <w:cantSplit/>
          <w:trHeight w:val="548" w:hRule="atLeast"/>
        </w:trPr>
        <w:tc>
          <w:tcPr>
            <w:tcW w:w="3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BADB0">
            <w:pPr>
              <w:rPr>
                <w:rFonts w:ascii="Arial" w:hAnsi="Arial" w:cs="Arial"/>
                <w:color w:val="auto"/>
                <w:szCs w:val="21"/>
                <w:highlight w:val="none"/>
              </w:rPr>
            </w:pPr>
          </w:p>
        </w:tc>
        <w:tc>
          <w:tcPr>
            <w:tcW w:w="700" w:type="dxa"/>
            <w:vMerge w:val="continue"/>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4331A44">
            <w:pPr>
              <w:rPr>
                <w:rFonts w:ascii="Arial" w:hAnsi="Arial" w:cs="Arial"/>
                <w:color w:val="auto"/>
                <w:szCs w:val="21"/>
                <w:highlight w:val="none"/>
              </w:rPr>
            </w:pPr>
          </w:p>
        </w:tc>
        <w:tc>
          <w:tcPr>
            <w:tcW w:w="1921" w:type="dxa"/>
            <w:vMerge w:val="continue"/>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783A109">
            <w:pPr>
              <w:rPr>
                <w:rFonts w:ascii="Arial" w:hAnsi="Arial" w:cs="Arial"/>
                <w:color w:val="auto"/>
                <w:szCs w:val="21"/>
                <w:highlight w:val="none"/>
              </w:rPr>
            </w:pPr>
          </w:p>
        </w:tc>
        <w:tc>
          <w:tcPr>
            <w:tcW w:w="22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59330">
            <w:pPr>
              <w:rPr>
                <w:rFonts w:ascii="Arial" w:hAnsi="Arial" w:cs="Arial"/>
                <w:color w:val="auto"/>
                <w:szCs w:val="21"/>
                <w:highlight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C65C3">
            <w:pPr>
              <w:rPr>
                <w:rFonts w:ascii="Arial" w:hAnsi="Arial" w:cs="Arial"/>
                <w:color w:val="auto"/>
                <w:szCs w:val="21"/>
                <w:highlight w:val="none"/>
              </w:rPr>
            </w:pPr>
          </w:p>
        </w:tc>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8D50F">
            <w:pPr>
              <w:rPr>
                <w:rFonts w:ascii="Arial" w:hAnsi="Arial" w:cs="Arial"/>
                <w:color w:val="auto"/>
                <w:szCs w:val="21"/>
                <w:highlight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29DE1">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合计</w:t>
            </w:r>
          </w:p>
        </w:tc>
        <w:tc>
          <w:tcPr>
            <w:tcW w:w="68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F9D46">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第一年</w:t>
            </w:r>
          </w:p>
        </w:tc>
        <w:tc>
          <w:tcPr>
            <w:tcW w:w="58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16CC8">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第二年</w:t>
            </w: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71325">
            <w:pPr>
              <w:rPr>
                <w:rFonts w:ascii="Arial" w:hAnsi="Arial" w:cs="Arial"/>
                <w:color w:val="auto"/>
                <w:szCs w:val="21"/>
                <w:highlight w:val="none"/>
              </w:rPr>
            </w:pPr>
          </w:p>
        </w:tc>
        <w:tc>
          <w:tcPr>
            <w:tcW w:w="33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627CB">
            <w:pPr>
              <w:rPr>
                <w:rFonts w:ascii="Arial" w:hAnsi="Arial" w:cs="Arial"/>
                <w:color w:val="auto"/>
                <w:szCs w:val="21"/>
                <w:highlight w:val="none"/>
              </w:rPr>
            </w:pPr>
          </w:p>
        </w:tc>
      </w:tr>
      <w:tr w14:paraId="73F9F3E7">
        <w:tblPrEx>
          <w:tblCellMar>
            <w:top w:w="0" w:type="dxa"/>
            <w:left w:w="0" w:type="dxa"/>
            <w:bottom w:w="0" w:type="dxa"/>
            <w:right w:w="0" w:type="dxa"/>
          </w:tblCellMar>
        </w:tblPrEx>
        <w:trPr>
          <w:cantSplit/>
          <w:trHeight w:val="90"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CC28A7">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14</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A40664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露圩镇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39FD8C7">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露圩镇就业服务站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C2C3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宾阳县露圩镇露灵街（露圩镇农贸市场旁）</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9700F">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CB1C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32</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C562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41</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2584E">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28</w:t>
            </w: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29A60">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13</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94065">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855A3">
            <w:pPr>
              <w:widowControl/>
              <w:spacing w:line="400" w:lineRule="exact"/>
              <w:jc w:val="center"/>
              <w:textAlignment w:val="center"/>
              <w:rPr>
                <w:rFonts w:ascii="Arial" w:hAnsi="Arial" w:cs="Arial"/>
                <w:bCs/>
                <w:color w:val="auto"/>
                <w:szCs w:val="21"/>
                <w:highlight w:val="none"/>
              </w:rPr>
            </w:pPr>
          </w:p>
        </w:tc>
      </w:tr>
      <w:tr w14:paraId="7D523E59">
        <w:tblPrEx>
          <w:tblCellMar>
            <w:top w:w="0" w:type="dxa"/>
            <w:left w:w="0" w:type="dxa"/>
            <w:bottom w:w="0" w:type="dxa"/>
            <w:right w:w="0" w:type="dxa"/>
          </w:tblCellMar>
        </w:tblPrEx>
        <w:trPr>
          <w:cantSplit/>
          <w:trHeight w:val="632"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ECCC4">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15</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DD2721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王灵镇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D70A67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王灵镇就业服务站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FEF3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宾阳县王灵镇兴灵街（乡村建设综合保障中心大厅）</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9CB3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668A2">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50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8CC4B">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38</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230F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25</w:t>
            </w: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E33BF">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13</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41E6C">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5FEE9F">
            <w:pPr>
              <w:widowControl/>
              <w:spacing w:line="400" w:lineRule="exact"/>
              <w:jc w:val="center"/>
              <w:textAlignment w:val="center"/>
              <w:rPr>
                <w:rFonts w:ascii="Arial" w:hAnsi="Arial" w:cs="Arial"/>
                <w:bCs/>
                <w:color w:val="auto"/>
                <w:szCs w:val="21"/>
                <w:highlight w:val="none"/>
              </w:rPr>
            </w:pPr>
          </w:p>
        </w:tc>
      </w:tr>
      <w:tr w14:paraId="4FFB326B">
        <w:tblPrEx>
          <w:tblCellMar>
            <w:top w:w="0" w:type="dxa"/>
            <w:left w:w="0" w:type="dxa"/>
            <w:bottom w:w="0" w:type="dxa"/>
            <w:right w:w="0" w:type="dxa"/>
          </w:tblCellMar>
        </w:tblPrEx>
        <w:trPr>
          <w:cantSplit/>
          <w:trHeight w:val="90"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ECE72">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16</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9B2DDD5">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和吉镇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DF4F5DE">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和吉镇就业服务站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9160C">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宾阳县和吉镇和吉街（人民政府旁）</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FA060">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870CC">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31</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EC0791">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38</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B2E21">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25</w:t>
            </w: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56368">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13</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36832">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110B7">
            <w:pPr>
              <w:widowControl/>
              <w:spacing w:line="400" w:lineRule="exact"/>
              <w:jc w:val="center"/>
              <w:textAlignment w:val="center"/>
              <w:rPr>
                <w:rFonts w:ascii="Arial" w:hAnsi="Arial" w:cs="Arial"/>
                <w:bCs/>
                <w:color w:val="auto"/>
                <w:szCs w:val="21"/>
                <w:highlight w:val="none"/>
              </w:rPr>
            </w:pPr>
          </w:p>
        </w:tc>
      </w:tr>
      <w:tr w14:paraId="1A60D3AF">
        <w:tblPrEx>
          <w:tblCellMar>
            <w:top w:w="0" w:type="dxa"/>
            <w:left w:w="0" w:type="dxa"/>
            <w:bottom w:w="0" w:type="dxa"/>
            <w:right w:w="0" w:type="dxa"/>
          </w:tblCellMar>
        </w:tblPrEx>
        <w:trPr>
          <w:cantSplit/>
          <w:trHeight w:val="693"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A08F6">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17</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BC6BA41">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洋桥镇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1E4373E">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洋桥镇就业服务站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80104">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宾阳县洋桥镇建兴街8号（镇人民政府旁边一楼）</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BD8D5">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7A502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29E4C">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41</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F9C2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27</w:t>
            </w: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770FE">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14</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6A9D9">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EC10D">
            <w:pPr>
              <w:widowControl/>
              <w:spacing w:line="400" w:lineRule="exact"/>
              <w:jc w:val="center"/>
              <w:textAlignment w:val="center"/>
              <w:rPr>
                <w:rFonts w:ascii="Arial" w:hAnsi="Arial" w:cs="Arial"/>
                <w:bCs/>
                <w:color w:val="auto"/>
                <w:szCs w:val="21"/>
                <w:highlight w:val="none"/>
              </w:rPr>
            </w:pPr>
          </w:p>
        </w:tc>
      </w:tr>
      <w:tr w14:paraId="41AEA89D">
        <w:tblPrEx>
          <w:tblCellMar>
            <w:top w:w="0" w:type="dxa"/>
            <w:left w:w="0" w:type="dxa"/>
            <w:bottom w:w="0" w:type="dxa"/>
            <w:right w:w="0" w:type="dxa"/>
          </w:tblCellMar>
        </w:tblPrEx>
        <w:trPr>
          <w:cantSplit/>
          <w:trHeight w:val="804"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5B0C0">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18</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27A76DC">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陈平镇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F2ED035">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陈平镇就业服务站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64584">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宾阳县陈平镇便民服务中心旁</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59EA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3AA35">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588A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37</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90B06">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25</w:t>
            </w: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8A52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12</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5411C">
            <w:pPr>
              <w:widowControl/>
              <w:spacing w:line="400" w:lineRule="exact"/>
              <w:jc w:val="center"/>
              <w:textAlignment w:val="center"/>
              <w:rPr>
                <w:rFonts w:ascii="Arial" w:hAnsi="Arial" w:cs="Arial"/>
                <w:bCs/>
                <w:color w:val="auto"/>
                <w:szCs w:val="21"/>
                <w:highlight w:val="none"/>
              </w:rPr>
            </w:pPr>
            <w:r>
              <w:rPr>
                <w:rFonts w:hint="eastAsia" w:ascii="Arial" w:hAnsi="Arial" w:cs="Arial"/>
                <w:bCs/>
                <w:color w:val="auto"/>
                <w:szCs w:val="21"/>
                <w:highlight w:val="none"/>
                <w:lang w:bidi="ar"/>
              </w:rPr>
              <w:t>2</w:t>
            </w:r>
            <w:r>
              <w:rPr>
                <w:rFonts w:ascii="Arial" w:hAnsi="Arial" w:cs="Arial"/>
                <w:bCs/>
                <w:color w:val="auto"/>
                <w:szCs w:val="21"/>
                <w:highlight w:val="none"/>
                <w:lang w:bidi="ar"/>
              </w:rPr>
              <w:t>人</w:t>
            </w:r>
          </w:p>
        </w:tc>
        <w:tc>
          <w:tcPr>
            <w:tcW w:w="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F8498">
            <w:pPr>
              <w:widowControl/>
              <w:spacing w:line="400" w:lineRule="exact"/>
              <w:jc w:val="center"/>
              <w:textAlignment w:val="center"/>
              <w:rPr>
                <w:rFonts w:ascii="Arial" w:hAnsi="Arial" w:cs="Arial"/>
                <w:bCs/>
                <w:color w:val="auto"/>
                <w:szCs w:val="21"/>
                <w:highlight w:val="none"/>
              </w:rPr>
            </w:pPr>
          </w:p>
        </w:tc>
      </w:tr>
      <w:tr w14:paraId="12BD5592">
        <w:tblPrEx>
          <w:tblCellMar>
            <w:top w:w="0" w:type="dxa"/>
            <w:left w:w="0" w:type="dxa"/>
            <w:bottom w:w="0" w:type="dxa"/>
            <w:right w:w="0" w:type="dxa"/>
          </w:tblCellMar>
        </w:tblPrEx>
        <w:trPr>
          <w:cantSplit/>
          <w:trHeight w:val="233" w:hRule="atLeast"/>
        </w:trPr>
        <w:tc>
          <w:tcPr>
            <w:tcW w:w="694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7705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预算金额合计</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E9E1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820</w:t>
            </w: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4A1D0">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564</w:t>
            </w: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09C40">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256</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72E79">
            <w:pPr>
              <w:widowControl/>
              <w:spacing w:line="400" w:lineRule="exact"/>
              <w:jc w:val="center"/>
              <w:textAlignment w:val="center"/>
              <w:rPr>
                <w:rFonts w:ascii="Arial" w:hAnsi="Arial" w:cs="Arial"/>
                <w:bCs/>
                <w:color w:val="auto"/>
                <w:szCs w:val="21"/>
                <w:highlight w:val="none"/>
              </w:rPr>
            </w:pPr>
          </w:p>
        </w:tc>
        <w:tc>
          <w:tcPr>
            <w:tcW w:w="3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EEAF06">
            <w:pPr>
              <w:widowControl/>
              <w:spacing w:line="400" w:lineRule="exact"/>
              <w:jc w:val="center"/>
              <w:textAlignment w:val="center"/>
              <w:rPr>
                <w:rFonts w:ascii="Arial" w:hAnsi="Arial" w:cs="Arial"/>
                <w:bCs/>
                <w:color w:val="auto"/>
                <w:szCs w:val="21"/>
                <w:highlight w:val="none"/>
              </w:rPr>
            </w:pPr>
          </w:p>
        </w:tc>
      </w:tr>
    </w:tbl>
    <w:p w14:paraId="04887418">
      <w:pPr>
        <w:rPr>
          <w:rFonts w:ascii="Arial" w:hAnsi="Arial" w:cs="Arial"/>
          <w:color w:val="auto"/>
          <w:szCs w:val="21"/>
          <w:highlight w:val="none"/>
          <w:lang w:bidi="ar"/>
        </w:rPr>
        <w:sectPr>
          <w:pgSz w:w="11905" w:h="16838"/>
          <w:pgMar w:top="1440" w:right="1633" w:bottom="1440" w:left="1689" w:header="850" w:footer="992" w:gutter="0"/>
          <w:cols w:space="425" w:num="1"/>
          <w:docGrid w:type="lines" w:linePitch="317" w:charSpace="0"/>
        </w:sectPr>
      </w:pPr>
    </w:p>
    <w:p w14:paraId="01DA7D16">
      <w:pPr>
        <w:spacing w:line="700" w:lineRule="exact"/>
        <w:rPr>
          <w:rFonts w:ascii="Arial" w:hAnsi="Arial" w:cs="Arial"/>
          <w:color w:val="auto"/>
          <w:sz w:val="32"/>
          <w:szCs w:val="32"/>
          <w:highlight w:val="none"/>
        </w:rPr>
      </w:pPr>
      <w:r>
        <w:rPr>
          <w:rFonts w:ascii="Arial" w:hAnsi="Arial" w:cs="Arial"/>
          <w:color w:val="auto"/>
          <w:sz w:val="32"/>
          <w:szCs w:val="32"/>
          <w:highlight w:val="none"/>
          <w:lang w:bidi="ar"/>
        </w:rPr>
        <w:t>附件2</w:t>
      </w:r>
    </w:p>
    <w:p w14:paraId="35FD6998">
      <w:pPr>
        <w:spacing w:line="360" w:lineRule="exact"/>
        <w:jc w:val="center"/>
        <w:rPr>
          <w:rFonts w:ascii="Arial" w:hAnsi="Arial" w:cs="Arial"/>
          <w:color w:val="auto"/>
          <w:szCs w:val="21"/>
          <w:highlight w:val="none"/>
        </w:rPr>
      </w:pPr>
    </w:p>
    <w:tbl>
      <w:tblPr>
        <w:tblStyle w:val="35"/>
        <w:tblW w:w="10213" w:type="dxa"/>
        <w:tblInd w:w="-194" w:type="dxa"/>
        <w:tblLayout w:type="autofit"/>
        <w:tblCellMar>
          <w:top w:w="0" w:type="dxa"/>
          <w:left w:w="108" w:type="dxa"/>
          <w:bottom w:w="0" w:type="dxa"/>
          <w:right w:w="108" w:type="dxa"/>
        </w:tblCellMar>
      </w:tblPr>
      <w:tblGrid>
        <w:gridCol w:w="536"/>
        <w:gridCol w:w="843"/>
        <w:gridCol w:w="1455"/>
        <w:gridCol w:w="5336"/>
        <w:gridCol w:w="2043"/>
      </w:tblGrid>
      <w:tr w14:paraId="0F947675">
        <w:tblPrEx>
          <w:tblCellMar>
            <w:top w:w="0" w:type="dxa"/>
            <w:left w:w="108" w:type="dxa"/>
            <w:bottom w:w="0" w:type="dxa"/>
            <w:right w:w="108" w:type="dxa"/>
          </w:tblCellMar>
        </w:tblPrEx>
        <w:trPr>
          <w:trHeight w:val="699" w:hRule="atLeast"/>
        </w:trPr>
        <w:tc>
          <w:tcPr>
            <w:tcW w:w="1021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5C8B354">
            <w:pPr>
              <w:widowControl/>
              <w:jc w:val="center"/>
              <w:textAlignment w:val="center"/>
              <w:rPr>
                <w:rFonts w:ascii="仿宋_GB2312" w:hAnsi="宋体" w:eastAsia="仿宋_GB2312" w:cs="仿宋_GB2312"/>
                <w:b/>
                <w:bCs/>
                <w:color w:val="auto"/>
                <w:sz w:val="40"/>
                <w:szCs w:val="40"/>
                <w:highlight w:val="none"/>
              </w:rPr>
            </w:pPr>
            <w:r>
              <w:rPr>
                <w:rFonts w:ascii="仿宋_GB2312" w:hAnsi="宋体" w:eastAsia="仿宋_GB2312" w:cs="仿宋_GB2312"/>
                <w:b/>
                <w:bCs/>
                <w:color w:val="auto"/>
                <w:kern w:val="0"/>
                <w:sz w:val="40"/>
                <w:szCs w:val="40"/>
                <w:highlight w:val="none"/>
                <w:lang w:bidi="ar"/>
              </w:rPr>
              <w:t>宾阳县人力资源市场</w:t>
            </w:r>
            <w:r>
              <w:rPr>
                <w:rFonts w:hint="eastAsia" w:ascii="仿宋_GB2312" w:hAnsi="宋体" w:eastAsia="仿宋_GB2312" w:cs="仿宋_GB2312"/>
                <w:b/>
                <w:bCs/>
                <w:color w:val="auto"/>
                <w:kern w:val="0"/>
                <w:sz w:val="40"/>
                <w:szCs w:val="40"/>
                <w:highlight w:val="none"/>
                <w:lang w:val="en-US" w:eastAsia="zh-CN" w:bidi="ar"/>
              </w:rPr>
              <w:t>/零工市场</w:t>
            </w:r>
            <w:r>
              <w:rPr>
                <w:rFonts w:ascii="仿宋_GB2312" w:hAnsi="宋体" w:eastAsia="仿宋_GB2312" w:cs="仿宋_GB2312"/>
                <w:b/>
                <w:bCs/>
                <w:color w:val="auto"/>
                <w:kern w:val="0"/>
                <w:sz w:val="40"/>
                <w:szCs w:val="40"/>
                <w:highlight w:val="none"/>
                <w:lang w:bidi="ar"/>
              </w:rPr>
              <w:t>规范配备标准</w:t>
            </w:r>
          </w:p>
        </w:tc>
      </w:tr>
      <w:tr w14:paraId="139A9E48">
        <w:tblPrEx>
          <w:tblCellMar>
            <w:top w:w="0" w:type="dxa"/>
            <w:left w:w="108" w:type="dxa"/>
            <w:bottom w:w="0" w:type="dxa"/>
            <w:right w:w="108" w:type="dxa"/>
          </w:tblCellMar>
        </w:tblPrEx>
        <w:trPr>
          <w:trHeight w:val="331" w:hRule="atLeast"/>
        </w:trPr>
        <w:tc>
          <w:tcPr>
            <w:tcW w:w="536" w:type="dxa"/>
            <w:vMerge w:val="restart"/>
            <w:tcBorders>
              <w:top w:val="nil"/>
              <w:left w:val="single" w:color="auto" w:sz="4" w:space="0"/>
              <w:bottom w:val="single" w:color="auto" w:sz="4" w:space="0"/>
              <w:right w:val="single" w:color="auto" w:sz="4" w:space="0"/>
            </w:tcBorders>
            <w:shd w:val="clear" w:color="auto" w:fill="auto"/>
            <w:vAlign w:val="center"/>
          </w:tcPr>
          <w:p w14:paraId="4D913148">
            <w:pPr>
              <w:widowControl/>
              <w:jc w:val="center"/>
              <w:textAlignment w:val="center"/>
              <w:rPr>
                <w:rFonts w:ascii="黑体" w:hAnsi="宋体" w:eastAsia="黑体" w:cs="黑体"/>
                <w:b/>
                <w:bCs/>
                <w:color w:val="auto"/>
                <w:sz w:val="20"/>
                <w:szCs w:val="20"/>
                <w:highlight w:val="none"/>
              </w:rPr>
            </w:pPr>
            <w:r>
              <w:rPr>
                <w:rFonts w:hint="eastAsia" w:ascii="黑体" w:hAnsi="宋体" w:eastAsia="黑体" w:cs="黑体"/>
                <w:b/>
                <w:bCs/>
                <w:color w:val="auto"/>
                <w:kern w:val="0"/>
                <w:sz w:val="20"/>
                <w:szCs w:val="20"/>
                <w:highlight w:val="none"/>
                <w:lang w:bidi="ar"/>
              </w:rPr>
              <w:t>序号</w:t>
            </w:r>
          </w:p>
        </w:tc>
        <w:tc>
          <w:tcPr>
            <w:tcW w:w="843" w:type="dxa"/>
            <w:vMerge w:val="restart"/>
            <w:tcBorders>
              <w:top w:val="nil"/>
              <w:left w:val="single" w:color="auto" w:sz="4" w:space="0"/>
              <w:bottom w:val="single" w:color="auto" w:sz="4" w:space="0"/>
              <w:right w:val="single" w:color="auto" w:sz="4" w:space="0"/>
            </w:tcBorders>
            <w:shd w:val="clear" w:color="auto" w:fill="auto"/>
            <w:vAlign w:val="center"/>
          </w:tcPr>
          <w:p w14:paraId="561C7BA2">
            <w:pPr>
              <w:widowControl/>
              <w:jc w:val="center"/>
              <w:textAlignment w:val="center"/>
              <w:rPr>
                <w:rFonts w:ascii="黑体" w:hAnsi="宋体" w:eastAsia="黑体" w:cs="黑体"/>
                <w:b/>
                <w:bCs/>
                <w:color w:val="auto"/>
                <w:sz w:val="20"/>
                <w:szCs w:val="20"/>
                <w:highlight w:val="none"/>
              </w:rPr>
            </w:pPr>
            <w:r>
              <w:rPr>
                <w:rFonts w:hint="eastAsia" w:ascii="黑体" w:hAnsi="宋体" w:eastAsia="黑体" w:cs="黑体"/>
                <w:b/>
                <w:bCs/>
                <w:color w:val="auto"/>
                <w:kern w:val="0"/>
                <w:sz w:val="20"/>
                <w:szCs w:val="20"/>
                <w:highlight w:val="none"/>
                <w:lang w:bidi="ar"/>
              </w:rPr>
              <w:t>配备运营标准</w:t>
            </w:r>
          </w:p>
        </w:tc>
        <w:tc>
          <w:tcPr>
            <w:tcW w:w="1455" w:type="dxa"/>
            <w:vMerge w:val="restart"/>
            <w:tcBorders>
              <w:top w:val="nil"/>
              <w:left w:val="single" w:color="auto" w:sz="4" w:space="0"/>
              <w:bottom w:val="single" w:color="auto" w:sz="4" w:space="0"/>
              <w:right w:val="single" w:color="auto" w:sz="4" w:space="0"/>
            </w:tcBorders>
            <w:shd w:val="clear" w:color="auto" w:fill="auto"/>
            <w:vAlign w:val="center"/>
          </w:tcPr>
          <w:p w14:paraId="1DBFE5F2">
            <w:pPr>
              <w:widowControl/>
              <w:jc w:val="center"/>
              <w:textAlignment w:val="center"/>
              <w:rPr>
                <w:rFonts w:ascii="黑体" w:hAnsi="宋体" w:eastAsia="黑体" w:cs="黑体"/>
                <w:b/>
                <w:bCs/>
                <w:color w:val="auto"/>
                <w:sz w:val="20"/>
                <w:szCs w:val="20"/>
                <w:highlight w:val="none"/>
              </w:rPr>
            </w:pPr>
            <w:r>
              <w:rPr>
                <w:rFonts w:hint="eastAsia" w:ascii="黑体" w:hAnsi="宋体" w:eastAsia="黑体" w:cs="黑体"/>
                <w:b/>
                <w:bCs/>
                <w:color w:val="auto"/>
                <w:kern w:val="0"/>
                <w:sz w:val="20"/>
                <w:szCs w:val="20"/>
                <w:highlight w:val="none"/>
                <w:lang w:bidi="ar"/>
              </w:rPr>
              <w:t>配备运营要求</w:t>
            </w:r>
          </w:p>
        </w:tc>
        <w:tc>
          <w:tcPr>
            <w:tcW w:w="5336" w:type="dxa"/>
            <w:vMerge w:val="restart"/>
            <w:tcBorders>
              <w:top w:val="nil"/>
              <w:left w:val="single" w:color="auto" w:sz="4" w:space="0"/>
              <w:bottom w:val="single" w:color="auto" w:sz="4" w:space="0"/>
              <w:right w:val="single" w:color="auto" w:sz="4" w:space="0"/>
            </w:tcBorders>
            <w:shd w:val="clear" w:color="auto" w:fill="auto"/>
            <w:vAlign w:val="center"/>
          </w:tcPr>
          <w:p w14:paraId="65E54490">
            <w:pPr>
              <w:widowControl/>
              <w:jc w:val="center"/>
              <w:textAlignment w:val="center"/>
              <w:rPr>
                <w:rFonts w:ascii="黑体" w:hAnsi="宋体" w:eastAsia="黑体" w:cs="黑体"/>
                <w:b/>
                <w:bCs/>
                <w:color w:val="auto"/>
                <w:sz w:val="20"/>
                <w:szCs w:val="20"/>
                <w:highlight w:val="none"/>
              </w:rPr>
            </w:pPr>
            <w:r>
              <w:rPr>
                <w:rFonts w:hint="eastAsia" w:ascii="黑体" w:hAnsi="宋体" w:eastAsia="黑体" w:cs="黑体"/>
                <w:b/>
                <w:bCs/>
                <w:color w:val="auto"/>
                <w:kern w:val="0"/>
                <w:sz w:val="20"/>
                <w:szCs w:val="20"/>
                <w:highlight w:val="none"/>
                <w:lang w:bidi="ar"/>
              </w:rPr>
              <w:t>基本配备</w:t>
            </w:r>
          </w:p>
        </w:tc>
        <w:tc>
          <w:tcPr>
            <w:tcW w:w="2043" w:type="dxa"/>
            <w:vMerge w:val="restart"/>
            <w:tcBorders>
              <w:top w:val="nil"/>
              <w:left w:val="single" w:color="auto" w:sz="4" w:space="0"/>
              <w:bottom w:val="single" w:color="auto" w:sz="4" w:space="0"/>
              <w:right w:val="single" w:color="auto" w:sz="4" w:space="0"/>
            </w:tcBorders>
            <w:shd w:val="clear" w:color="auto" w:fill="auto"/>
            <w:vAlign w:val="center"/>
          </w:tcPr>
          <w:p w14:paraId="27842560">
            <w:pPr>
              <w:widowControl/>
              <w:jc w:val="center"/>
              <w:textAlignment w:val="center"/>
              <w:rPr>
                <w:rFonts w:ascii="黑体" w:hAnsi="宋体" w:eastAsia="黑体" w:cs="黑体"/>
                <w:b/>
                <w:bCs/>
                <w:color w:val="auto"/>
                <w:sz w:val="20"/>
                <w:szCs w:val="20"/>
                <w:highlight w:val="none"/>
              </w:rPr>
            </w:pPr>
            <w:r>
              <w:rPr>
                <w:rFonts w:hint="eastAsia" w:ascii="黑体" w:hAnsi="宋体" w:eastAsia="黑体" w:cs="黑体"/>
                <w:b/>
                <w:bCs/>
                <w:color w:val="auto"/>
                <w:kern w:val="0"/>
                <w:sz w:val="20"/>
                <w:szCs w:val="20"/>
                <w:highlight w:val="none"/>
                <w:lang w:bidi="ar"/>
              </w:rPr>
              <w:t>可选配备</w:t>
            </w:r>
          </w:p>
        </w:tc>
      </w:tr>
      <w:tr w14:paraId="4C730F4C">
        <w:tblPrEx>
          <w:tblCellMar>
            <w:top w:w="0" w:type="dxa"/>
            <w:left w:w="108" w:type="dxa"/>
            <w:bottom w:w="0" w:type="dxa"/>
            <w:right w:w="108" w:type="dxa"/>
          </w:tblCellMar>
        </w:tblPrEx>
        <w:trPr>
          <w:trHeight w:val="459" w:hRule="atLeast"/>
        </w:trPr>
        <w:tc>
          <w:tcPr>
            <w:tcW w:w="536" w:type="dxa"/>
            <w:vMerge w:val="continue"/>
            <w:tcBorders>
              <w:top w:val="nil"/>
              <w:left w:val="single" w:color="auto" w:sz="4" w:space="0"/>
              <w:bottom w:val="single" w:color="auto" w:sz="4" w:space="0"/>
              <w:right w:val="single" w:color="auto" w:sz="4" w:space="0"/>
            </w:tcBorders>
            <w:shd w:val="clear" w:color="auto" w:fill="auto"/>
            <w:vAlign w:val="center"/>
          </w:tcPr>
          <w:p w14:paraId="2DB6F1CB">
            <w:pPr>
              <w:jc w:val="center"/>
              <w:rPr>
                <w:rFonts w:ascii="黑体" w:hAnsi="宋体" w:eastAsia="黑体" w:cs="黑体"/>
                <w:b/>
                <w:bCs/>
                <w:color w:val="auto"/>
                <w:sz w:val="20"/>
                <w:szCs w:val="20"/>
                <w:highlight w:val="none"/>
              </w:rPr>
            </w:pPr>
          </w:p>
        </w:tc>
        <w:tc>
          <w:tcPr>
            <w:tcW w:w="843" w:type="dxa"/>
            <w:vMerge w:val="continue"/>
            <w:tcBorders>
              <w:top w:val="nil"/>
              <w:left w:val="single" w:color="auto" w:sz="4" w:space="0"/>
              <w:bottom w:val="single" w:color="auto" w:sz="4" w:space="0"/>
              <w:right w:val="single" w:color="auto" w:sz="4" w:space="0"/>
            </w:tcBorders>
            <w:shd w:val="clear" w:color="auto" w:fill="auto"/>
            <w:vAlign w:val="center"/>
          </w:tcPr>
          <w:p w14:paraId="5E66D714">
            <w:pPr>
              <w:jc w:val="center"/>
              <w:rPr>
                <w:rFonts w:ascii="黑体" w:hAnsi="宋体" w:eastAsia="黑体" w:cs="黑体"/>
                <w:b/>
                <w:bCs/>
                <w:color w:val="auto"/>
                <w:sz w:val="20"/>
                <w:szCs w:val="20"/>
                <w:highlight w:val="none"/>
              </w:rPr>
            </w:pPr>
          </w:p>
        </w:tc>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2A560E68">
            <w:pPr>
              <w:jc w:val="center"/>
              <w:rPr>
                <w:rFonts w:ascii="黑体" w:hAnsi="宋体" w:eastAsia="黑体" w:cs="黑体"/>
                <w:b/>
                <w:bCs/>
                <w:color w:val="auto"/>
                <w:sz w:val="20"/>
                <w:szCs w:val="20"/>
                <w:highlight w:val="none"/>
              </w:rPr>
            </w:pPr>
          </w:p>
        </w:tc>
        <w:tc>
          <w:tcPr>
            <w:tcW w:w="5336" w:type="dxa"/>
            <w:vMerge w:val="continue"/>
            <w:tcBorders>
              <w:top w:val="nil"/>
              <w:left w:val="single" w:color="auto" w:sz="4" w:space="0"/>
              <w:bottom w:val="single" w:color="auto" w:sz="4" w:space="0"/>
              <w:right w:val="single" w:color="auto" w:sz="4" w:space="0"/>
            </w:tcBorders>
            <w:shd w:val="clear" w:color="auto" w:fill="auto"/>
            <w:vAlign w:val="center"/>
          </w:tcPr>
          <w:p w14:paraId="42737416">
            <w:pPr>
              <w:jc w:val="center"/>
              <w:rPr>
                <w:rFonts w:ascii="黑体" w:hAnsi="宋体" w:eastAsia="黑体" w:cs="黑体"/>
                <w:b/>
                <w:bCs/>
                <w:color w:val="auto"/>
                <w:sz w:val="20"/>
                <w:szCs w:val="20"/>
                <w:highlight w:val="none"/>
              </w:rPr>
            </w:pPr>
          </w:p>
        </w:tc>
        <w:tc>
          <w:tcPr>
            <w:tcW w:w="2043" w:type="dxa"/>
            <w:vMerge w:val="continue"/>
            <w:tcBorders>
              <w:top w:val="nil"/>
              <w:left w:val="single" w:color="auto" w:sz="4" w:space="0"/>
              <w:bottom w:val="single" w:color="auto" w:sz="4" w:space="0"/>
              <w:right w:val="single" w:color="auto" w:sz="4" w:space="0"/>
            </w:tcBorders>
            <w:shd w:val="clear" w:color="auto" w:fill="auto"/>
            <w:vAlign w:val="center"/>
          </w:tcPr>
          <w:p w14:paraId="623954B2">
            <w:pPr>
              <w:jc w:val="center"/>
              <w:rPr>
                <w:rFonts w:ascii="黑体" w:hAnsi="宋体" w:eastAsia="黑体" w:cs="黑体"/>
                <w:b/>
                <w:bCs/>
                <w:color w:val="auto"/>
                <w:sz w:val="20"/>
                <w:szCs w:val="20"/>
                <w:highlight w:val="none"/>
              </w:rPr>
            </w:pPr>
          </w:p>
        </w:tc>
      </w:tr>
      <w:tr w14:paraId="251938EF">
        <w:tblPrEx>
          <w:tblCellMar>
            <w:top w:w="0" w:type="dxa"/>
            <w:left w:w="108" w:type="dxa"/>
            <w:bottom w:w="0" w:type="dxa"/>
            <w:right w:w="108" w:type="dxa"/>
          </w:tblCellMar>
        </w:tblPrEx>
        <w:trPr>
          <w:trHeight w:val="1200" w:hRule="atLeast"/>
        </w:trPr>
        <w:tc>
          <w:tcPr>
            <w:tcW w:w="536" w:type="dxa"/>
            <w:vMerge w:val="restart"/>
            <w:tcBorders>
              <w:top w:val="nil"/>
              <w:left w:val="single" w:color="auto" w:sz="4" w:space="0"/>
              <w:bottom w:val="single" w:color="auto" w:sz="4" w:space="0"/>
              <w:right w:val="single" w:color="auto" w:sz="4" w:space="0"/>
            </w:tcBorders>
            <w:shd w:val="clear" w:color="auto" w:fill="auto"/>
            <w:vAlign w:val="center"/>
          </w:tcPr>
          <w:p w14:paraId="751EC041">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w:t>
            </w:r>
          </w:p>
        </w:tc>
        <w:tc>
          <w:tcPr>
            <w:tcW w:w="843" w:type="dxa"/>
            <w:vMerge w:val="restart"/>
            <w:tcBorders>
              <w:top w:val="nil"/>
              <w:left w:val="single" w:color="auto" w:sz="4" w:space="0"/>
              <w:bottom w:val="single" w:color="auto" w:sz="4" w:space="0"/>
              <w:right w:val="single" w:color="auto" w:sz="4" w:space="0"/>
            </w:tcBorders>
            <w:shd w:val="clear" w:color="auto" w:fill="auto"/>
            <w:vAlign w:val="center"/>
          </w:tcPr>
          <w:p w14:paraId="37C2822A">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有服务场所</w:t>
            </w:r>
          </w:p>
        </w:tc>
        <w:tc>
          <w:tcPr>
            <w:tcW w:w="1455" w:type="dxa"/>
            <w:vMerge w:val="restart"/>
            <w:tcBorders>
              <w:top w:val="nil"/>
              <w:left w:val="single" w:color="auto" w:sz="4" w:space="0"/>
              <w:bottom w:val="single" w:color="auto" w:sz="4" w:space="0"/>
              <w:right w:val="single" w:color="auto" w:sz="4" w:space="0"/>
            </w:tcBorders>
            <w:shd w:val="clear" w:color="auto" w:fill="auto"/>
            <w:vAlign w:val="center"/>
          </w:tcPr>
          <w:p w14:paraId="3C08452C">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有固定、独立的服务场所，面积符合服务功能需求，选址位于人员集中居住区、人流密集区等便于服务对象到达的地方</w:t>
            </w:r>
          </w:p>
        </w:tc>
        <w:tc>
          <w:tcPr>
            <w:tcW w:w="5336" w:type="dxa"/>
            <w:tcBorders>
              <w:top w:val="nil"/>
              <w:left w:val="nil"/>
              <w:bottom w:val="single" w:color="auto" w:sz="4" w:space="0"/>
              <w:right w:val="single" w:color="auto" w:sz="4" w:space="0"/>
            </w:tcBorders>
            <w:shd w:val="clear" w:color="auto" w:fill="auto"/>
            <w:vAlign w:val="center"/>
          </w:tcPr>
          <w:p w14:paraId="24528081">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1.原则上场地面积不少于100平方米；</w:t>
            </w:r>
          </w:p>
        </w:tc>
        <w:tc>
          <w:tcPr>
            <w:tcW w:w="2043" w:type="dxa"/>
            <w:tcBorders>
              <w:top w:val="nil"/>
              <w:left w:val="nil"/>
              <w:bottom w:val="single" w:color="auto" w:sz="4" w:space="0"/>
              <w:right w:val="single" w:color="auto" w:sz="4" w:space="0"/>
            </w:tcBorders>
            <w:shd w:val="clear" w:color="auto" w:fill="auto"/>
            <w:vAlign w:val="center"/>
          </w:tcPr>
          <w:p w14:paraId="0C188E56">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1.根据场地实际，增设求职指导区（创业指导区）、 视频面试区以及 24 小时人社自助服务区等功能区域；</w:t>
            </w:r>
          </w:p>
        </w:tc>
      </w:tr>
      <w:tr w14:paraId="796C3F76">
        <w:tblPrEx>
          <w:tblCellMar>
            <w:top w:w="0" w:type="dxa"/>
            <w:left w:w="108" w:type="dxa"/>
            <w:bottom w:w="0" w:type="dxa"/>
            <w:right w:w="108" w:type="dxa"/>
          </w:tblCellMar>
        </w:tblPrEx>
        <w:trPr>
          <w:trHeight w:val="1500" w:hRule="atLeast"/>
        </w:trPr>
        <w:tc>
          <w:tcPr>
            <w:tcW w:w="536" w:type="dxa"/>
            <w:vMerge w:val="continue"/>
            <w:tcBorders>
              <w:top w:val="nil"/>
              <w:left w:val="single" w:color="auto" w:sz="4" w:space="0"/>
              <w:bottom w:val="single" w:color="auto" w:sz="4" w:space="0"/>
              <w:right w:val="single" w:color="auto" w:sz="4" w:space="0"/>
            </w:tcBorders>
            <w:shd w:val="clear" w:color="auto" w:fill="auto"/>
            <w:vAlign w:val="center"/>
          </w:tcPr>
          <w:p w14:paraId="53A9EB6F">
            <w:pPr>
              <w:jc w:val="center"/>
              <w:rPr>
                <w:rFonts w:ascii="CESI仿宋-GB2312" w:hAnsi="CESI仿宋-GB2312" w:eastAsia="CESI仿宋-GB2312" w:cs="CESI仿宋-GB2312"/>
                <w:color w:val="auto"/>
                <w:sz w:val="20"/>
                <w:szCs w:val="20"/>
                <w:highlight w:val="none"/>
              </w:rPr>
            </w:pPr>
          </w:p>
        </w:tc>
        <w:tc>
          <w:tcPr>
            <w:tcW w:w="843" w:type="dxa"/>
            <w:vMerge w:val="continue"/>
            <w:tcBorders>
              <w:top w:val="nil"/>
              <w:left w:val="single" w:color="auto" w:sz="4" w:space="0"/>
              <w:bottom w:val="single" w:color="auto" w:sz="4" w:space="0"/>
              <w:right w:val="single" w:color="auto" w:sz="4" w:space="0"/>
            </w:tcBorders>
            <w:shd w:val="clear" w:color="auto" w:fill="auto"/>
            <w:vAlign w:val="center"/>
          </w:tcPr>
          <w:p w14:paraId="38B9ED85">
            <w:pPr>
              <w:jc w:val="center"/>
              <w:rPr>
                <w:rFonts w:ascii="CESI仿宋-GB2312" w:hAnsi="CESI仿宋-GB2312" w:eastAsia="CESI仿宋-GB2312" w:cs="CESI仿宋-GB2312"/>
                <w:color w:val="auto"/>
                <w:sz w:val="20"/>
                <w:szCs w:val="20"/>
                <w:highlight w:val="none"/>
              </w:rPr>
            </w:pPr>
          </w:p>
        </w:tc>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4FD9EC3F">
            <w:pPr>
              <w:rPr>
                <w:rFonts w:ascii="CESI仿宋-GB2312" w:hAnsi="CESI仿宋-GB2312" w:eastAsia="CESI仿宋-GB2312" w:cs="CESI仿宋-GB2312"/>
                <w:color w:val="auto"/>
                <w:sz w:val="20"/>
                <w:szCs w:val="20"/>
                <w:highlight w:val="none"/>
              </w:rPr>
            </w:pPr>
          </w:p>
        </w:tc>
        <w:tc>
          <w:tcPr>
            <w:tcW w:w="5336" w:type="dxa"/>
            <w:tcBorders>
              <w:top w:val="nil"/>
              <w:left w:val="nil"/>
              <w:bottom w:val="single" w:color="auto" w:sz="4" w:space="0"/>
              <w:right w:val="single" w:color="auto" w:sz="4" w:space="0"/>
            </w:tcBorders>
            <w:shd w:val="clear" w:color="auto" w:fill="auto"/>
            <w:vAlign w:val="center"/>
          </w:tcPr>
          <w:p w14:paraId="7648FA0F">
            <w:pPr>
              <w:widowControl/>
              <w:jc w:val="left"/>
              <w:textAlignment w:val="center"/>
              <w:rPr>
                <w:rFonts w:ascii="CESI仿宋-GB2312" w:hAnsi="CESI仿宋-GB2312" w:eastAsia="CESI仿宋-GB2312" w:cs="CESI仿宋-GB2312"/>
                <w:color w:val="auto"/>
                <w:sz w:val="20"/>
                <w:szCs w:val="20"/>
                <w:highlight w:val="none"/>
              </w:rPr>
            </w:pPr>
            <w:r>
              <w:rPr>
                <w:rStyle w:val="127"/>
                <w:color w:val="auto"/>
                <w:highlight w:val="none"/>
                <w:lang w:bidi="ar"/>
              </w:rPr>
              <w:t>2.</w:t>
            </w:r>
            <w:r>
              <w:rPr>
                <w:rFonts w:ascii="CESI仿宋-GB2312" w:hAnsi="CESI仿宋-GB2312" w:eastAsia="CESI仿宋-GB2312" w:cs="CESI仿宋-GB2312"/>
                <w:color w:val="auto"/>
                <w:kern w:val="0"/>
                <w:sz w:val="20"/>
                <w:szCs w:val="20"/>
                <w:highlight w:val="none"/>
                <w:lang w:bidi="ar"/>
              </w:rPr>
              <w:t>场地能满足设置柜面服务区、信息发布区、数智求职区、求职招聘区、等候休息区（零工洽谈区）、</w:t>
            </w:r>
            <w:r>
              <w:rPr>
                <w:rStyle w:val="128"/>
                <w:color w:val="auto"/>
                <w:highlight w:val="none"/>
                <w:lang w:bidi="ar"/>
              </w:rPr>
              <w:t>职业培训区、线上直播区、</w:t>
            </w:r>
            <w:r>
              <w:rPr>
                <w:rFonts w:ascii="CESI仿宋-GB2312" w:hAnsi="CESI仿宋-GB2312" w:eastAsia="CESI仿宋-GB2312" w:cs="CESI仿宋-GB2312"/>
                <w:color w:val="auto"/>
                <w:kern w:val="0"/>
                <w:sz w:val="20"/>
                <w:szCs w:val="20"/>
                <w:highlight w:val="none"/>
                <w:lang w:bidi="ar"/>
              </w:rPr>
              <w:t>便民服务区等基本功能区域。</w:t>
            </w:r>
          </w:p>
        </w:tc>
        <w:tc>
          <w:tcPr>
            <w:tcW w:w="2043" w:type="dxa"/>
            <w:tcBorders>
              <w:top w:val="nil"/>
              <w:left w:val="nil"/>
              <w:bottom w:val="single" w:color="auto" w:sz="4" w:space="0"/>
              <w:right w:val="single" w:color="auto" w:sz="4" w:space="0"/>
            </w:tcBorders>
            <w:shd w:val="clear" w:color="auto" w:fill="auto"/>
            <w:vAlign w:val="center"/>
          </w:tcPr>
          <w:p w14:paraId="68AE1519">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2.综合利用服务区统筹设置“邕新驿站”、“志愿服务站”、“心理调解室”等服务区域。</w:t>
            </w:r>
          </w:p>
        </w:tc>
      </w:tr>
      <w:tr w14:paraId="320FFBB9">
        <w:tblPrEx>
          <w:tblCellMar>
            <w:top w:w="0" w:type="dxa"/>
            <w:left w:w="108" w:type="dxa"/>
            <w:bottom w:w="0" w:type="dxa"/>
            <w:right w:w="108" w:type="dxa"/>
          </w:tblCellMar>
        </w:tblPrEx>
        <w:trPr>
          <w:trHeight w:val="90" w:hRule="atLeast"/>
        </w:trPr>
        <w:tc>
          <w:tcPr>
            <w:tcW w:w="536" w:type="dxa"/>
            <w:tcBorders>
              <w:top w:val="nil"/>
              <w:left w:val="single" w:color="auto" w:sz="4" w:space="0"/>
              <w:bottom w:val="single" w:color="auto" w:sz="4" w:space="0"/>
              <w:right w:val="single" w:color="auto" w:sz="4" w:space="0"/>
            </w:tcBorders>
            <w:shd w:val="clear" w:color="auto" w:fill="auto"/>
            <w:vAlign w:val="center"/>
          </w:tcPr>
          <w:p w14:paraId="48CB9AD6">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2</w:t>
            </w:r>
          </w:p>
        </w:tc>
        <w:tc>
          <w:tcPr>
            <w:tcW w:w="843" w:type="dxa"/>
            <w:tcBorders>
              <w:top w:val="nil"/>
              <w:left w:val="nil"/>
              <w:bottom w:val="single" w:color="auto" w:sz="4" w:space="0"/>
              <w:right w:val="single" w:color="auto" w:sz="4" w:space="0"/>
            </w:tcBorders>
            <w:shd w:val="clear" w:color="auto" w:fill="auto"/>
            <w:vAlign w:val="center"/>
          </w:tcPr>
          <w:p w14:paraId="45FFDF14">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有服务设施</w:t>
            </w:r>
          </w:p>
        </w:tc>
        <w:tc>
          <w:tcPr>
            <w:tcW w:w="1455" w:type="dxa"/>
            <w:tcBorders>
              <w:top w:val="nil"/>
              <w:left w:val="nil"/>
              <w:bottom w:val="single" w:color="auto" w:sz="4" w:space="0"/>
              <w:right w:val="single" w:color="auto" w:sz="4" w:space="0"/>
            </w:tcBorders>
            <w:shd w:val="clear" w:color="auto" w:fill="auto"/>
            <w:vAlign w:val="center"/>
          </w:tcPr>
          <w:p w14:paraId="041DEC38">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配备有必要的办公服务、求职服务、便民服务、安全防护等设施设备</w:t>
            </w:r>
          </w:p>
        </w:tc>
        <w:tc>
          <w:tcPr>
            <w:tcW w:w="5336" w:type="dxa"/>
            <w:tcBorders>
              <w:top w:val="nil"/>
              <w:left w:val="nil"/>
              <w:bottom w:val="single" w:color="auto" w:sz="4" w:space="0"/>
              <w:right w:val="single" w:color="auto" w:sz="4" w:space="0"/>
            </w:tcBorders>
            <w:shd w:val="clear" w:color="auto" w:fill="auto"/>
            <w:vAlign w:val="center"/>
          </w:tcPr>
          <w:p w14:paraId="0AFBCDAE">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1.办公服务：</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（1）服务前台及座椅（至少可容纳3人）；</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（2）办公电脑（不少于4台）；</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（3）打印复印一体机；</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（4）文件柜</w:t>
            </w:r>
            <w:r>
              <w:rPr>
                <w:rFonts w:ascii="CESI仿宋-GB2312" w:hAnsi="CESI仿宋-GB2312" w:eastAsia="CESI仿宋-GB2312" w:cs="CESI仿宋-GB2312"/>
                <w:color w:val="auto"/>
                <w:kern w:val="0"/>
                <w:sz w:val="20"/>
                <w:szCs w:val="20"/>
                <w:highlight w:val="none"/>
                <w:lang w:bidi="ar"/>
              </w:rPr>
              <w:br w:type="textWrapping"/>
            </w:r>
            <w:r>
              <w:rPr>
                <w:rStyle w:val="128"/>
                <w:color w:val="auto"/>
                <w:highlight w:val="none"/>
                <w:lang w:bidi="ar"/>
              </w:rPr>
              <w:t>（5）座机电话</w:t>
            </w:r>
            <w:r>
              <w:rPr>
                <w:rStyle w:val="129"/>
                <w:color w:val="auto"/>
                <w:highlight w:val="none"/>
                <w:lang w:bidi="ar"/>
              </w:rPr>
              <w:br w:type="textWrapping"/>
            </w:r>
            <w:r>
              <w:rPr>
                <w:rStyle w:val="129"/>
                <w:color w:val="auto"/>
                <w:highlight w:val="none"/>
                <w:lang w:bidi="ar"/>
              </w:rPr>
              <w:t>（6）人社专网、免费</w:t>
            </w:r>
            <w:r>
              <w:rPr>
                <w:rStyle w:val="129"/>
                <w:rFonts w:hint="eastAsia" w:eastAsia="CESI仿宋-GB2312"/>
                <w:color w:val="auto"/>
                <w:highlight w:val="none"/>
                <w:lang w:eastAsia="zh-CN" w:bidi="ar"/>
              </w:rPr>
              <w:t>Wi-Fi</w:t>
            </w:r>
            <w:r>
              <w:rPr>
                <w:rStyle w:val="129"/>
                <w:color w:val="auto"/>
                <w:highlight w:val="none"/>
                <w:lang w:bidi="ar"/>
              </w:rPr>
              <w:t>；</w:t>
            </w:r>
            <w:r>
              <w:rPr>
                <w:rStyle w:val="129"/>
                <w:color w:val="auto"/>
                <w:highlight w:val="none"/>
                <w:lang w:bidi="ar"/>
              </w:rPr>
              <w:br w:type="textWrapping"/>
            </w:r>
            <w:r>
              <w:rPr>
                <w:rStyle w:val="129"/>
                <w:color w:val="auto"/>
                <w:highlight w:val="none"/>
                <w:lang w:bidi="ar"/>
              </w:rPr>
              <w:t>（</w:t>
            </w:r>
            <w:r>
              <w:rPr>
                <w:rStyle w:val="128"/>
                <w:color w:val="auto"/>
                <w:highlight w:val="none"/>
                <w:lang w:bidi="ar"/>
              </w:rPr>
              <w:t>7）公示公告栏</w:t>
            </w:r>
            <w:r>
              <w:rPr>
                <w:rStyle w:val="128"/>
                <w:color w:val="auto"/>
                <w:highlight w:val="none"/>
                <w:lang w:bidi="ar"/>
              </w:rPr>
              <w:br w:type="textWrapping"/>
            </w:r>
            <w:r>
              <w:rPr>
                <w:rStyle w:val="128"/>
                <w:color w:val="auto"/>
                <w:highlight w:val="none"/>
                <w:lang w:bidi="ar"/>
              </w:rPr>
              <w:t>（8）投影仪（1套）</w:t>
            </w:r>
            <w:r>
              <w:rPr>
                <w:rStyle w:val="128"/>
                <w:color w:val="auto"/>
                <w:highlight w:val="none"/>
                <w:lang w:bidi="ar"/>
              </w:rPr>
              <w:br w:type="textWrapping"/>
            </w:r>
            <w:r>
              <w:rPr>
                <w:rStyle w:val="128"/>
                <w:color w:val="auto"/>
                <w:highlight w:val="none"/>
                <w:lang w:bidi="ar"/>
              </w:rPr>
              <w:t>（9）音响（1套）</w:t>
            </w:r>
            <w:r>
              <w:rPr>
                <w:rStyle w:val="128"/>
                <w:color w:val="auto"/>
                <w:highlight w:val="none"/>
                <w:lang w:bidi="ar"/>
              </w:rPr>
              <w:br w:type="textWrapping"/>
            </w:r>
            <w:r>
              <w:rPr>
                <w:rStyle w:val="128"/>
                <w:color w:val="auto"/>
                <w:highlight w:val="none"/>
                <w:lang w:bidi="ar"/>
              </w:rPr>
              <w:t>（10）线上直播区、职业培训区所需桌椅、设施设备等</w:t>
            </w:r>
            <w:r>
              <w:rPr>
                <w:rStyle w:val="129"/>
                <w:color w:val="auto"/>
                <w:highlight w:val="none"/>
                <w:lang w:bidi="ar"/>
              </w:rPr>
              <w:br w:type="textWrapping"/>
            </w:r>
            <w:r>
              <w:rPr>
                <w:rStyle w:val="129"/>
                <w:color w:val="auto"/>
                <w:highlight w:val="none"/>
                <w:lang w:bidi="ar"/>
              </w:rPr>
              <w:t>2.求职服务：</w:t>
            </w:r>
            <w:r>
              <w:rPr>
                <w:rStyle w:val="129"/>
                <w:color w:val="auto"/>
                <w:highlight w:val="none"/>
                <w:lang w:bidi="ar"/>
              </w:rPr>
              <w:br w:type="textWrapping"/>
            </w:r>
            <w:r>
              <w:rPr>
                <w:rStyle w:val="129"/>
                <w:color w:val="auto"/>
                <w:highlight w:val="none"/>
                <w:lang w:bidi="ar"/>
              </w:rPr>
              <w:t>（11）求职招聘信息发布大屏（或可触摸查询信息大屏）（不少于2个</w:t>
            </w:r>
            <w:r>
              <w:rPr>
                <w:rStyle w:val="129"/>
                <w:rFonts w:hint="eastAsia" w:eastAsia="CESI仿宋-GB2312"/>
                <w:color w:val="auto"/>
                <w:highlight w:val="none"/>
                <w:lang w:eastAsia="zh-CN" w:bidi="ar"/>
              </w:rPr>
              <w:t>，</w:t>
            </w:r>
            <w:r>
              <w:rPr>
                <w:rStyle w:val="129"/>
                <w:color w:val="auto"/>
                <w:highlight w:val="none"/>
                <w:lang w:bidi="ar"/>
              </w:rPr>
              <w:t>尺寸及款式根据场地情况配备）；</w:t>
            </w:r>
            <w:r>
              <w:rPr>
                <w:rStyle w:val="129"/>
                <w:color w:val="auto"/>
                <w:highlight w:val="none"/>
                <w:lang w:bidi="ar"/>
              </w:rPr>
              <w:br w:type="textWrapping"/>
            </w:r>
            <w:r>
              <w:rPr>
                <w:rStyle w:val="129"/>
                <w:color w:val="auto"/>
                <w:highlight w:val="none"/>
                <w:lang w:bidi="ar"/>
              </w:rPr>
              <w:t>（12）求职招聘自助服务机</w:t>
            </w:r>
            <w:r>
              <w:rPr>
                <w:rStyle w:val="129"/>
                <w:rFonts w:hint="eastAsia" w:eastAsia="CESI仿宋-GB2312"/>
                <w:color w:val="auto"/>
                <w:highlight w:val="none"/>
                <w:lang w:eastAsia="zh-CN" w:bidi="ar"/>
              </w:rPr>
              <w:t>（</w:t>
            </w:r>
            <w:r>
              <w:rPr>
                <w:rStyle w:val="129"/>
                <w:color w:val="auto"/>
                <w:highlight w:val="none"/>
                <w:lang w:bidi="ar"/>
              </w:rPr>
              <w:t>不少于2台）；</w:t>
            </w:r>
            <w:r>
              <w:rPr>
                <w:rStyle w:val="129"/>
                <w:color w:val="auto"/>
                <w:highlight w:val="none"/>
                <w:lang w:bidi="ar"/>
              </w:rPr>
              <w:br w:type="textWrapping"/>
            </w:r>
            <w:r>
              <w:rPr>
                <w:rStyle w:val="129"/>
                <w:color w:val="auto"/>
                <w:highlight w:val="none"/>
                <w:lang w:bidi="ar"/>
              </w:rPr>
              <w:t>（13）招聘面试展位及信息发布电子屏（</w:t>
            </w:r>
            <w:r>
              <w:rPr>
                <w:rStyle w:val="128"/>
                <w:color w:val="auto"/>
                <w:highlight w:val="none"/>
                <w:lang w:bidi="ar"/>
              </w:rPr>
              <w:t>不少于6套</w:t>
            </w:r>
            <w:r>
              <w:rPr>
                <w:rStyle w:val="129"/>
                <w:color w:val="auto"/>
                <w:highlight w:val="none"/>
                <w:lang w:bidi="ar"/>
              </w:rPr>
              <w:t>）；</w:t>
            </w:r>
            <w:r>
              <w:rPr>
                <w:rStyle w:val="129"/>
                <w:color w:val="auto"/>
                <w:highlight w:val="none"/>
                <w:lang w:bidi="ar"/>
              </w:rPr>
              <w:br w:type="textWrapping"/>
            </w:r>
            <w:r>
              <w:rPr>
                <w:rStyle w:val="129"/>
                <w:color w:val="auto"/>
                <w:highlight w:val="none"/>
                <w:lang w:bidi="ar"/>
              </w:rPr>
              <w:t>（14）资料取阅架</w:t>
            </w:r>
            <w:r>
              <w:rPr>
                <w:rStyle w:val="129"/>
                <w:color w:val="auto"/>
                <w:highlight w:val="none"/>
                <w:lang w:bidi="ar"/>
              </w:rPr>
              <w:br w:type="textWrapping"/>
            </w:r>
            <w:r>
              <w:rPr>
                <w:rStyle w:val="129"/>
                <w:color w:val="auto"/>
                <w:highlight w:val="none"/>
                <w:lang w:bidi="ar"/>
              </w:rPr>
              <w:t>3.便民服务：</w:t>
            </w:r>
            <w:r>
              <w:rPr>
                <w:rStyle w:val="129"/>
                <w:color w:val="auto"/>
                <w:highlight w:val="none"/>
                <w:lang w:bidi="ar"/>
              </w:rPr>
              <w:br w:type="textWrapping"/>
            </w:r>
            <w:r>
              <w:rPr>
                <w:rStyle w:val="129"/>
                <w:color w:val="auto"/>
                <w:highlight w:val="none"/>
                <w:lang w:bidi="ar"/>
              </w:rPr>
              <w:t>（15）等候休息（零工洽谈）桌椅（</w:t>
            </w:r>
            <w:r>
              <w:rPr>
                <w:rStyle w:val="128"/>
                <w:color w:val="auto"/>
                <w:highlight w:val="none"/>
                <w:lang w:bidi="ar"/>
              </w:rPr>
              <w:t>不少于 3 套，可容纳 10 人以上</w:t>
            </w:r>
            <w:r>
              <w:rPr>
                <w:rStyle w:val="129"/>
                <w:color w:val="auto"/>
                <w:highlight w:val="none"/>
                <w:lang w:bidi="ar"/>
              </w:rPr>
              <w:t>）</w:t>
            </w:r>
            <w:r>
              <w:rPr>
                <w:rStyle w:val="129"/>
                <w:rFonts w:hint="eastAsia" w:eastAsia="CESI仿宋-GB2312"/>
                <w:color w:val="auto"/>
                <w:highlight w:val="none"/>
                <w:lang w:eastAsia="zh-CN" w:bidi="ar"/>
              </w:rPr>
              <w:t>；</w:t>
            </w:r>
            <w:r>
              <w:rPr>
                <w:rStyle w:val="129"/>
                <w:color w:val="auto"/>
                <w:highlight w:val="none"/>
                <w:lang w:bidi="ar"/>
              </w:rPr>
              <w:br w:type="textWrapping"/>
            </w:r>
            <w:r>
              <w:rPr>
                <w:rStyle w:val="129"/>
                <w:color w:val="auto"/>
                <w:highlight w:val="none"/>
                <w:lang w:bidi="ar"/>
              </w:rPr>
              <w:t>（16）中央空调（1套）</w:t>
            </w:r>
            <w:r>
              <w:rPr>
                <w:rStyle w:val="129"/>
                <w:color w:val="auto"/>
                <w:highlight w:val="none"/>
                <w:lang w:bidi="ar"/>
              </w:rPr>
              <w:br w:type="textWrapping"/>
            </w:r>
            <w:r>
              <w:rPr>
                <w:rStyle w:val="128"/>
                <w:color w:val="auto"/>
                <w:highlight w:val="none"/>
                <w:lang w:bidi="ar"/>
              </w:rPr>
              <w:t>（17）室内风扇（不少于8个）</w:t>
            </w:r>
            <w:r>
              <w:rPr>
                <w:rStyle w:val="128"/>
                <w:rFonts w:hint="eastAsia" w:eastAsia="CESI仿宋-GB2312"/>
                <w:color w:val="auto"/>
                <w:highlight w:val="none"/>
                <w:lang w:eastAsia="zh-CN" w:bidi="ar"/>
              </w:rPr>
              <w:t>；</w:t>
            </w:r>
            <w:r>
              <w:rPr>
                <w:rStyle w:val="129"/>
                <w:color w:val="auto"/>
                <w:highlight w:val="none"/>
                <w:lang w:bidi="ar"/>
              </w:rPr>
              <w:br w:type="textWrapping"/>
            </w:r>
            <w:r>
              <w:rPr>
                <w:rStyle w:val="129"/>
                <w:color w:val="auto"/>
                <w:highlight w:val="none"/>
                <w:lang w:bidi="ar"/>
              </w:rPr>
              <w:t>（18）</w:t>
            </w:r>
            <w:r>
              <w:rPr>
                <w:rStyle w:val="128"/>
                <w:color w:val="auto"/>
                <w:highlight w:val="none"/>
                <w:lang w:bidi="ar"/>
              </w:rPr>
              <w:t>自助饮水机或茶吧机（不少于2套，配一次性水杯</w:t>
            </w:r>
            <w:r>
              <w:rPr>
                <w:rStyle w:val="129"/>
                <w:color w:val="auto"/>
                <w:highlight w:val="none"/>
                <w:lang w:bidi="ar"/>
              </w:rPr>
              <w:t>）</w:t>
            </w:r>
            <w:r>
              <w:rPr>
                <w:rStyle w:val="129"/>
                <w:rFonts w:hint="eastAsia" w:eastAsia="CESI仿宋-GB2312"/>
                <w:color w:val="auto"/>
                <w:highlight w:val="none"/>
                <w:lang w:eastAsia="zh-CN" w:bidi="ar"/>
              </w:rPr>
              <w:t>；</w:t>
            </w:r>
            <w:r>
              <w:rPr>
                <w:rStyle w:val="129"/>
                <w:color w:val="auto"/>
                <w:highlight w:val="none"/>
                <w:lang w:bidi="ar"/>
              </w:rPr>
              <w:br w:type="textWrapping"/>
            </w:r>
            <w:r>
              <w:rPr>
                <w:rStyle w:val="129"/>
                <w:color w:val="auto"/>
                <w:highlight w:val="none"/>
                <w:lang w:bidi="ar"/>
              </w:rPr>
              <w:t>4.爱心服务设备：</w:t>
            </w:r>
            <w:r>
              <w:rPr>
                <w:rStyle w:val="129"/>
                <w:color w:val="auto"/>
                <w:highlight w:val="none"/>
                <w:lang w:bidi="ar"/>
              </w:rPr>
              <w:br w:type="textWrapping"/>
            </w:r>
            <w:r>
              <w:rPr>
                <w:rStyle w:val="129"/>
                <w:color w:val="auto"/>
                <w:highlight w:val="none"/>
                <w:lang w:bidi="ar"/>
              </w:rPr>
              <w:t>（19）应急药箱、微波炉、储物柜、充电宝、手机充电、便民雨伞及老花镜等；</w:t>
            </w:r>
            <w:r>
              <w:rPr>
                <w:rStyle w:val="129"/>
                <w:color w:val="auto"/>
                <w:highlight w:val="none"/>
                <w:lang w:bidi="ar"/>
              </w:rPr>
              <w:br w:type="textWrapping"/>
            </w:r>
            <w:r>
              <w:rPr>
                <w:rStyle w:val="129"/>
                <w:color w:val="auto"/>
                <w:highlight w:val="none"/>
                <w:lang w:bidi="ar"/>
              </w:rPr>
              <w:t>5.安全防护：</w:t>
            </w:r>
            <w:r>
              <w:rPr>
                <w:rStyle w:val="129"/>
                <w:color w:val="auto"/>
                <w:highlight w:val="none"/>
                <w:lang w:bidi="ar"/>
              </w:rPr>
              <w:br w:type="textWrapping"/>
            </w:r>
            <w:r>
              <w:rPr>
                <w:rStyle w:val="129"/>
                <w:color w:val="auto"/>
                <w:highlight w:val="none"/>
                <w:lang w:bidi="ar"/>
              </w:rPr>
              <w:t>（20）监控设备（数量视场地情况配备，确保监控全覆盖）；</w:t>
            </w:r>
            <w:r>
              <w:rPr>
                <w:rStyle w:val="129"/>
                <w:color w:val="auto"/>
                <w:highlight w:val="none"/>
                <w:lang w:bidi="ar"/>
              </w:rPr>
              <w:br w:type="textWrapping"/>
            </w:r>
            <w:r>
              <w:rPr>
                <w:rStyle w:val="129"/>
                <w:color w:val="auto"/>
                <w:highlight w:val="none"/>
                <w:lang w:bidi="ar"/>
              </w:rPr>
              <w:t>（21）灭火器（不少于2支，视场地情况配置）</w:t>
            </w:r>
            <w:r>
              <w:rPr>
                <w:rStyle w:val="129"/>
                <w:rFonts w:hint="eastAsia" w:eastAsia="CESI仿宋-GB2312"/>
                <w:color w:val="auto"/>
                <w:highlight w:val="none"/>
                <w:lang w:eastAsia="zh-CN" w:bidi="ar"/>
              </w:rPr>
              <w:t>；</w:t>
            </w:r>
            <w:r>
              <w:rPr>
                <w:rStyle w:val="129"/>
                <w:color w:val="auto"/>
                <w:highlight w:val="none"/>
                <w:lang w:bidi="ar"/>
              </w:rPr>
              <w:br w:type="textWrapping"/>
            </w:r>
            <w:r>
              <w:rPr>
                <w:rStyle w:val="129"/>
                <w:color w:val="auto"/>
                <w:highlight w:val="none"/>
                <w:lang w:bidi="ar"/>
              </w:rPr>
              <w:t>（22）反恐防暴装备（不少于2套）</w:t>
            </w:r>
          </w:p>
        </w:tc>
        <w:tc>
          <w:tcPr>
            <w:tcW w:w="2043" w:type="dxa"/>
            <w:tcBorders>
              <w:top w:val="nil"/>
              <w:left w:val="nil"/>
              <w:bottom w:val="single" w:color="auto" w:sz="4" w:space="0"/>
              <w:right w:val="single" w:color="auto" w:sz="4" w:space="0"/>
            </w:tcBorders>
            <w:shd w:val="clear" w:color="auto" w:fill="auto"/>
            <w:vAlign w:val="center"/>
          </w:tcPr>
          <w:p w14:paraId="790E3B90">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根据需要增设有关设施设备，包括但不限于：</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1.自助服务设备：招聘直播机、智能AI招聘设备等；</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2.增设区域配套设备：求职指导区（创业指导区）、视频面试区以及 24 小时人社自助服务区等所需桌椅、设施设备等</w:t>
            </w:r>
          </w:p>
        </w:tc>
      </w:tr>
      <w:tr w14:paraId="5DCAE15D">
        <w:tblPrEx>
          <w:tblCellMar>
            <w:top w:w="0" w:type="dxa"/>
            <w:left w:w="108" w:type="dxa"/>
            <w:bottom w:w="0" w:type="dxa"/>
            <w:right w:w="108" w:type="dxa"/>
          </w:tblCellMar>
        </w:tblPrEx>
        <w:trPr>
          <w:trHeight w:val="960" w:hRule="atLeast"/>
        </w:trPr>
        <w:tc>
          <w:tcPr>
            <w:tcW w:w="536" w:type="dxa"/>
            <w:vMerge w:val="restart"/>
            <w:tcBorders>
              <w:top w:val="nil"/>
              <w:left w:val="single" w:color="auto" w:sz="4" w:space="0"/>
              <w:bottom w:val="single" w:color="auto" w:sz="4" w:space="0"/>
              <w:right w:val="single" w:color="auto" w:sz="4" w:space="0"/>
            </w:tcBorders>
            <w:shd w:val="clear" w:color="auto" w:fill="auto"/>
            <w:vAlign w:val="center"/>
          </w:tcPr>
          <w:p w14:paraId="2A38BE27">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3</w:t>
            </w:r>
          </w:p>
        </w:tc>
        <w:tc>
          <w:tcPr>
            <w:tcW w:w="843" w:type="dxa"/>
            <w:vMerge w:val="restart"/>
            <w:tcBorders>
              <w:top w:val="nil"/>
              <w:left w:val="single" w:color="auto" w:sz="4" w:space="0"/>
              <w:bottom w:val="single" w:color="auto" w:sz="4" w:space="0"/>
              <w:right w:val="single" w:color="auto" w:sz="4" w:space="0"/>
            </w:tcBorders>
            <w:shd w:val="clear" w:color="auto" w:fill="auto"/>
            <w:vAlign w:val="center"/>
          </w:tcPr>
          <w:p w14:paraId="5DE39EC1">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有服务团队</w:t>
            </w:r>
          </w:p>
        </w:tc>
        <w:tc>
          <w:tcPr>
            <w:tcW w:w="1455" w:type="dxa"/>
            <w:vMerge w:val="restart"/>
            <w:tcBorders>
              <w:top w:val="nil"/>
              <w:left w:val="single" w:color="auto" w:sz="4" w:space="0"/>
              <w:bottom w:val="single" w:color="auto" w:sz="4" w:space="0"/>
              <w:right w:val="single" w:color="auto" w:sz="4" w:space="0"/>
            </w:tcBorders>
            <w:shd w:val="clear" w:color="auto" w:fill="auto"/>
            <w:vAlign w:val="center"/>
          </w:tcPr>
          <w:p w14:paraId="004E41FC">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配备专业的运营队伍，熟悉就业政策和业务流程、在购买服务方和属地的监督指导下充分实现服务要求</w:t>
            </w:r>
          </w:p>
        </w:tc>
        <w:tc>
          <w:tcPr>
            <w:tcW w:w="5336" w:type="dxa"/>
            <w:tcBorders>
              <w:top w:val="nil"/>
              <w:left w:val="nil"/>
              <w:bottom w:val="single" w:color="auto" w:sz="4" w:space="0"/>
              <w:right w:val="single" w:color="auto" w:sz="4" w:space="0"/>
            </w:tcBorders>
            <w:shd w:val="clear" w:color="auto" w:fill="auto"/>
            <w:vAlign w:val="center"/>
          </w:tcPr>
          <w:p w14:paraId="55461B4A">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1.第一主任：县人社部门安排1名在职在编干部负责人力资源市场（加挂零工市场）的日常联络和监督指导工作；</w:t>
            </w:r>
          </w:p>
        </w:tc>
        <w:tc>
          <w:tcPr>
            <w:tcW w:w="2043" w:type="dxa"/>
            <w:vMerge w:val="restart"/>
            <w:tcBorders>
              <w:top w:val="nil"/>
              <w:left w:val="single" w:color="auto" w:sz="4" w:space="0"/>
              <w:bottom w:val="single" w:color="auto" w:sz="4" w:space="0"/>
              <w:right w:val="single" w:color="auto" w:sz="4" w:space="0"/>
            </w:tcBorders>
            <w:shd w:val="clear" w:color="auto" w:fill="auto"/>
            <w:vAlign w:val="center"/>
          </w:tcPr>
          <w:p w14:paraId="7D91CF4E">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运营公司在履行购买服务要求的基础上，可根据需要增加人员配备或管理运营力量。</w:t>
            </w:r>
          </w:p>
        </w:tc>
      </w:tr>
      <w:tr w14:paraId="7BA8220D">
        <w:tblPrEx>
          <w:tblCellMar>
            <w:top w:w="0" w:type="dxa"/>
            <w:left w:w="108" w:type="dxa"/>
            <w:bottom w:w="0" w:type="dxa"/>
            <w:right w:w="108" w:type="dxa"/>
          </w:tblCellMar>
        </w:tblPrEx>
        <w:trPr>
          <w:trHeight w:val="480" w:hRule="atLeast"/>
        </w:trPr>
        <w:tc>
          <w:tcPr>
            <w:tcW w:w="536" w:type="dxa"/>
            <w:vMerge w:val="continue"/>
            <w:tcBorders>
              <w:top w:val="nil"/>
              <w:left w:val="single" w:color="auto" w:sz="4" w:space="0"/>
              <w:bottom w:val="single" w:color="auto" w:sz="4" w:space="0"/>
              <w:right w:val="single" w:color="auto" w:sz="4" w:space="0"/>
            </w:tcBorders>
            <w:shd w:val="clear" w:color="auto" w:fill="auto"/>
            <w:vAlign w:val="center"/>
          </w:tcPr>
          <w:p w14:paraId="4B349AB4">
            <w:pPr>
              <w:jc w:val="center"/>
              <w:rPr>
                <w:rFonts w:ascii="CESI仿宋-GB2312" w:hAnsi="CESI仿宋-GB2312" w:eastAsia="CESI仿宋-GB2312" w:cs="CESI仿宋-GB2312"/>
                <w:color w:val="auto"/>
                <w:sz w:val="20"/>
                <w:szCs w:val="20"/>
                <w:highlight w:val="none"/>
              </w:rPr>
            </w:pPr>
          </w:p>
        </w:tc>
        <w:tc>
          <w:tcPr>
            <w:tcW w:w="843" w:type="dxa"/>
            <w:vMerge w:val="continue"/>
            <w:tcBorders>
              <w:top w:val="nil"/>
              <w:left w:val="single" w:color="auto" w:sz="4" w:space="0"/>
              <w:bottom w:val="single" w:color="auto" w:sz="4" w:space="0"/>
              <w:right w:val="single" w:color="auto" w:sz="4" w:space="0"/>
            </w:tcBorders>
            <w:shd w:val="clear" w:color="auto" w:fill="auto"/>
            <w:vAlign w:val="center"/>
          </w:tcPr>
          <w:p w14:paraId="3C1FD723">
            <w:pPr>
              <w:jc w:val="center"/>
              <w:rPr>
                <w:rFonts w:ascii="CESI仿宋-GB2312" w:hAnsi="CESI仿宋-GB2312" w:eastAsia="CESI仿宋-GB2312" w:cs="CESI仿宋-GB2312"/>
                <w:color w:val="auto"/>
                <w:sz w:val="20"/>
                <w:szCs w:val="20"/>
                <w:highlight w:val="none"/>
              </w:rPr>
            </w:pPr>
          </w:p>
        </w:tc>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2C8D3B33">
            <w:pPr>
              <w:rPr>
                <w:rFonts w:ascii="CESI仿宋-GB2312" w:hAnsi="CESI仿宋-GB2312" w:eastAsia="CESI仿宋-GB2312" w:cs="CESI仿宋-GB2312"/>
                <w:color w:val="auto"/>
                <w:sz w:val="20"/>
                <w:szCs w:val="20"/>
                <w:highlight w:val="none"/>
              </w:rPr>
            </w:pPr>
          </w:p>
        </w:tc>
        <w:tc>
          <w:tcPr>
            <w:tcW w:w="5336" w:type="dxa"/>
            <w:tcBorders>
              <w:top w:val="nil"/>
              <w:left w:val="nil"/>
              <w:bottom w:val="single" w:color="auto" w:sz="4" w:space="0"/>
              <w:right w:val="single" w:color="auto" w:sz="4" w:space="0"/>
            </w:tcBorders>
            <w:shd w:val="clear" w:color="auto" w:fill="auto"/>
            <w:vAlign w:val="center"/>
          </w:tcPr>
          <w:p w14:paraId="4124D311">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2.主任：运营公司设置有专门的驻站负责人，对人力资源市场（加挂零工市场）日常运营负责；</w:t>
            </w:r>
          </w:p>
        </w:tc>
        <w:tc>
          <w:tcPr>
            <w:tcW w:w="2043" w:type="dxa"/>
            <w:vMerge w:val="continue"/>
            <w:tcBorders>
              <w:top w:val="nil"/>
              <w:left w:val="single" w:color="auto" w:sz="4" w:space="0"/>
              <w:bottom w:val="single" w:color="auto" w:sz="4" w:space="0"/>
              <w:right w:val="single" w:color="auto" w:sz="4" w:space="0"/>
            </w:tcBorders>
            <w:shd w:val="clear" w:color="auto" w:fill="auto"/>
            <w:vAlign w:val="center"/>
          </w:tcPr>
          <w:p w14:paraId="3CC20E37">
            <w:pPr>
              <w:rPr>
                <w:rFonts w:ascii="CESI仿宋-GB2312" w:hAnsi="CESI仿宋-GB2312" w:eastAsia="CESI仿宋-GB2312" w:cs="CESI仿宋-GB2312"/>
                <w:color w:val="auto"/>
                <w:sz w:val="20"/>
                <w:szCs w:val="20"/>
                <w:highlight w:val="none"/>
              </w:rPr>
            </w:pPr>
          </w:p>
        </w:tc>
      </w:tr>
      <w:tr w14:paraId="18C77127">
        <w:tblPrEx>
          <w:tblCellMar>
            <w:top w:w="0" w:type="dxa"/>
            <w:left w:w="108" w:type="dxa"/>
            <w:bottom w:w="0" w:type="dxa"/>
            <w:right w:w="108" w:type="dxa"/>
          </w:tblCellMar>
        </w:tblPrEx>
        <w:trPr>
          <w:trHeight w:val="360" w:hRule="atLeast"/>
        </w:trPr>
        <w:tc>
          <w:tcPr>
            <w:tcW w:w="536" w:type="dxa"/>
            <w:vMerge w:val="continue"/>
            <w:tcBorders>
              <w:top w:val="nil"/>
              <w:left w:val="single" w:color="auto" w:sz="4" w:space="0"/>
              <w:bottom w:val="single" w:color="auto" w:sz="4" w:space="0"/>
              <w:right w:val="single" w:color="auto" w:sz="4" w:space="0"/>
            </w:tcBorders>
            <w:shd w:val="clear" w:color="auto" w:fill="auto"/>
            <w:vAlign w:val="center"/>
          </w:tcPr>
          <w:p w14:paraId="7C2F5743">
            <w:pPr>
              <w:jc w:val="center"/>
              <w:rPr>
                <w:rFonts w:ascii="CESI仿宋-GB2312" w:hAnsi="CESI仿宋-GB2312" w:eastAsia="CESI仿宋-GB2312" w:cs="CESI仿宋-GB2312"/>
                <w:color w:val="auto"/>
                <w:sz w:val="20"/>
                <w:szCs w:val="20"/>
                <w:highlight w:val="none"/>
              </w:rPr>
            </w:pPr>
          </w:p>
        </w:tc>
        <w:tc>
          <w:tcPr>
            <w:tcW w:w="843" w:type="dxa"/>
            <w:vMerge w:val="continue"/>
            <w:tcBorders>
              <w:top w:val="nil"/>
              <w:left w:val="single" w:color="auto" w:sz="4" w:space="0"/>
              <w:bottom w:val="single" w:color="auto" w:sz="4" w:space="0"/>
              <w:right w:val="single" w:color="auto" w:sz="4" w:space="0"/>
            </w:tcBorders>
            <w:shd w:val="clear" w:color="auto" w:fill="auto"/>
            <w:vAlign w:val="center"/>
          </w:tcPr>
          <w:p w14:paraId="3F339FFF">
            <w:pPr>
              <w:jc w:val="center"/>
              <w:rPr>
                <w:rFonts w:ascii="CESI仿宋-GB2312" w:hAnsi="CESI仿宋-GB2312" w:eastAsia="CESI仿宋-GB2312" w:cs="CESI仿宋-GB2312"/>
                <w:color w:val="auto"/>
                <w:sz w:val="20"/>
                <w:szCs w:val="20"/>
                <w:highlight w:val="none"/>
              </w:rPr>
            </w:pPr>
          </w:p>
        </w:tc>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3A8DE0D0">
            <w:pPr>
              <w:rPr>
                <w:rFonts w:ascii="CESI仿宋-GB2312" w:hAnsi="CESI仿宋-GB2312" w:eastAsia="CESI仿宋-GB2312" w:cs="CESI仿宋-GB2312"/>
                <w:color w:val="auto"/>
                <w:sz w:val="20"/>
                <w:szCs w:val="20"/>
                <w:highlight w:val="none"/>
              </w:rPr>
            </w:pPr>
          </w:p>
        </w:tc>
        <w:tc>
          <w:tcPr>
            <w:tcW w:w="5336" w:type="dxa"/>
            <w:tcBorders>
              <w:top w:val="nil"/>
              <w:left w:val="nil"/>
              <w:bottom w:val="single" w:color="auto" w:sz="4" w:space="0"/>
              <w:right w:val="single" w:color="auto" w:sz="4" w:space="0"/>
            </w:tcBorders>
            <w:shd w:val="clear" w:color="auto" w:fill="auto"/>
            <w:vAlign w:val="center"/>
          </w:tcPr>
          <w:p w14:paraId="6FF669F8">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3.服务专员：前台常态至少2人在岗服务。</w:t>
            </w:r>
          </w:p>
        </w:tc>
        <w:tc>
          <w:tcPr>
            <w:tcW w:w="2043" w:type="dxa"/>
            <w:vMerge w:val="continue"/>
            <w:tcBorders>
              <w:top w:val="nil"/>
              <w:left w:val="single" w:color="auto" w:sz="4" w:space="0"/>
              <w:bottom w:val="single" w:color="auto" w:sz="4" w:space="0"/>
              <w:right w:val="single" w:color="auto" w:sz="4" w:space="0"/>
            </w:tcBorders>
            <w:shd w:val="clear" w:color="auto" w:fill="auto"/>
            <w:vAlign w:val="center"/>
          </w:tcPr>
          <w:p w14:paraId="5B4C4A33">
            <w:pPr>
              <w:rPr>
                <w:rFonts w:ascii="CESI仿宋-GB2312" w:hAnsi="CESI仿宋-GB2312" w:eastAsia="CESI仿宋-GB2312" w:cs="CESI仿宋-GB2312"/>
                <w:color w:val="auto"/>
                <w:sz w:val="20"/>
                <w:szCs w:val="20"/>
                <w:highlight w:val="none"/>
              </w:rPr>
            </w:pPr>
          </w:p>
        </w:tc>
      </w:tr>
      <w:tr w14:paraId="4095F406">
        <w:tblPrEx>
          <w:tblCellMar>
            <w:top w:w="0" w:type="dxa"/>
            <w:left w:w="108" w:type="dxa"/>
            <w:bottom w:w="0" w:type="dxa"/>
            <w:right w:w="108" w:type="dxa"/>
          </w:tblCellMar>
        </w:tblPrEx>
        <w:trPr>
          <w:trHeight w:val="780" w:hRule="atLeast"/>
        </w:trPr>
        <w:tc>
          <w:tcPr>
            <w:tcW w:w="536" w:type="dxa"/>
            <w:vMerge w:val="restart"/>
            <w:tcBorders>
              <w:top w:val="nil"/>
              <w:left w:val="single" w:color="auto" w:sz="4" w:space="0"/>
              <w:bottom w:val="single" w:color="auto" w:sz="4" w:space="0"/>
              <w:right w:val="single" w:color="auto" w:sz="4" w:space="0"/>
            </w:tcBorders>
            <w:shd w:val="clear" w:color="auto" w:fill="auto"/>
            <w:vAlign w:val="center"/>
          </w:tcPr>
          <w:p w14:paraId="364CAADA">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4</w:t>
            </w:r>
          </w:p>
        </w:tc>
        <w:tc>
          <w:tcPr>
            <w:tcW w:w="843" w:type="dxa"/>
            <w:vMerge w:val="restart"/>
            <w:tcBorders>
              <w:top w:val="nil"/>
              <w:left w:val="single" w:color="auto" w:sz="4" w:space="0"/>
              <w:bottom w:val="single" w:color="auto" w:sz="4" w:space="0"/>
              <w:right w:val="single" w:color="auto" w:sz="4" w:space="0"/>
            </w:tcBorders>
            <w:shd w:val="clear" w:color="auto" w:fill="auto"/>
            <w:vAlign w:val="center"/>
          </w:tcPr>
          <w:p w14:paraId="36434430">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有服务标识</w:t>
            </w:r>
          </w:p>
        </w:tc>
        <w:tc>
          <w:tcPr>
            <w:tcW w:w="1455" w:type="dxa"/>
            <w:vMerge w:val="restart"/>
            <w:tcBorders>
              <w:top w:val="nil"/>
              <w:left w:val="single" w:color="auto" w:sz="4" w:space="0"/>
              <w:bottom w:val="single" w:color="auto" w:sz="4" w:space="0"/>
              <w:right w:val="single" w:color="auto" w:sz="4" w:space="0"/>
            </w:tcBorders>
            <w:shd w:val="clear" w:color="auto" w:fill="auto"/>
            <w:vAlign w:val="center"/>
          </w:tcPr>
          <w:p w14:paraId="4D9BBADB">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统一命名规则、统一视觉识别、统一服务清单、统一制度规范</w:t>
            </w:r>
          </w:p>
        </w:tc>
        <w:tc>
          <w:tcPr>
            <w:tcW w:w="5336" w:type="dxa"/>
            <w:tcBorders>
              <w:top w:val="nil"/>
              <w:left w:val="nil"/>
              <w:bottom w:val="single" w:color="auto" w:sz="4" w:space="0"/>
              <w:right w:val="single" w:color="auto" w:sz="4" w:space="0"/>
            </w:tcBorders>
            <w:shd w:val="clear" w:color="auto" w:fill="auto"/>
            <w:vAlign w:val="center"/>
          </w:tcPr>
          <w:p w14:paraId="6A5C4018">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1.使用统一的标识标牌字体和徽标图案，室内装修以蓝底白色为主基调，形成整洁统一的视觉识别效果</w:t>
            </w:r>
            <w:r>
              <w:rPr>
                <w:rFonts w:hint="eastAsia" w:ascii="CESI仿宋-GB2312" w:hAnsi="CESI仿宋-GB2312" w:eastAsia="CESI仿宋-GB2312" w:cs="CESI仿宋-GB2312"/>
                <w:color w:val="auto"/>
                <w:kern w:val="0"/>
                <w:sz w:val="20"/>
                <w:szCs w:val="20"/>
                <w:highlight w:val="none"/>
                <w:lang w:eastAsia="zh-CN" w:bidi="ar"/>
              </w:rPr>
              <w:t>；</w:t>
            </w:r>
          </w:p>
        </w:tc>
        <w:tc>
          <w:tcPr>
            <w:tcW w:w="2043" w:type="dxa"/>
            <w:vMerge w:val="restart"/>
            <w:tcBorders>
              <w:top w:val="nil"/>
              <w:left w:val="single" w:color="auto" w:sz="4" w:space="0"/>
              <w:bottom w:val="single" w:color="auto" w:sz="4" w:space="0"/>
              <w:right w:val="single" w:color="auto" w:sz="4" w:space="0"/>
            </w:tcBorders>
            <w:shd w:val="clear" w:color="auto" w:fill="auto"/>
            <w:vAlign w:val="center"/>
          </w:tcPr>
          <w:p w14:paraId="7013BF11">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可结合实际加挂“人才服务站”“邕新驿站”等牌匾。</w:t>
            </w:r>
          </w:p>
        </w:tc>
      </w:tr>
      <w:tr w14:paraId="7C0E6F17">
        <w:tblPrEx>
          <w:tblCellMar>
            <w:top w:w="0" w:type="dxa"/>
            <w:left w:w="108" w:type="dxa"/>
            <w:bottom w:w="0" w:type="dxa"/>
            <w:right w:w="108" w:type="dxa"/>
          </w:tblCellMar>
        </w:tblPrEx>
        <w:trPr>
          <w:trHeight w:val="840" w:hRule="atLeast"/>
        </w:trPr>
        <w:tc>
          <w:tcPr>
            <w:tcW w:w="536" w:type="dxa"/>
            <w:vMerge w:val="continue"/>
            <w:tcBorders>
              <w:top w:val="nil"/>
              <w:left w:val="single" w:color="auto" w:sz="4" w:space="0"/>
              <w:bottom w:val="single" w:color="auto" w:sz="4" w:space="0"/>
              <w:right w:val="single" w:color="auto" w:sz="4" w:space="0"/>
            </w:tcBorders>
            <w:shd w:val="clear" w:color="auto" w:fill="auto"/>
            <w:vAlign w:val="center"/>
          </w:tcPr>
          <w:p w14:paraId="53BF65F7">
            <w:pPr>
              <w:jc w:val="center"/>
              <w:rPr>
                <w:rFonts w:ascii="CESI仿宋-GB2312" w:hAnsi="CESI仿宋-GB2312" w:eastAsia="CESI仿宋-GB2312" w:cs="CESI仿宋-GB2312"/>
                <w:color w:val="auto"/>
                <w:sz w:val="20"/>
                <w:szCs w:val="20"/>
                <w:highlight w:val="none"/>
              </w:rPr>
            </w:pPr>
          </w:p>
        </w:tc>
        <w:tc>
          <w:tcPr>
            <w:tcW w:w="843" w:type="dxa"/>
            <w:vMerge w:val="continue"/>
            <w:tcBorders>
              <w:top w:val="nil"/>
              <w:left w:val="single" w:color="auto" w:sz="4" w:space="0"/>
              <w:bottom w:val="single" w:color="auto" w:sz="4" w:space="0"/>
              <w:right w:val="single" w:color="auto" w:sz="4" w:space="0"/>
            </w:tcBorders>
            <w:shd w:val="clear" w:color="auto" w:fill="auto"/>
            <w:vAlign w:val="center"/>
          </w:tcPr>
          <w:p w14:paraId="70B7A220">
            <w:pPr>
              <w:jc w:val="center"/>
              <w:rPr>
                <w:rFonts w:ascii="CESI仿宋-GB2312" w:hAnsi="CESI仿宋-GB2312" w:eastAsia="CESI仿宋-GB2312" w:cs="CESI仿宋-GB2312"/>
                <w:color w:val="auto"/>
                <w:sz w:val="20"/>
                <w:szCs w:val="20"/>
                <w:highlight w:val="none"/>
              </w:rPr>
            </w:pPr>
          </w:p>
        </w:tc>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4FD386F5">
            <w:pPr>
              <w:rPr>
                <w:rFonts w:ascii="CESI仿宋-GB2312" w:hAnsi="CESI仿宋-GB2312" w:eastAsia="CESI仿宋-GB2312" w:cs="CESI仿宋-GB2312"/>
                <w:color w:val="auto"/>
                <w:sz w:val="20"/>
                <w:szCs w:val="20"/>
                <w:highlight w:val="none"/>
              </w:rPr>
            </w:pPr>
          </w:p>
        </w:tc>
        <w:tc>
          <w:tcPr>
            <w:tcW w:w="5336" w:type="dxa"/>
            <w:tcBorders>
              <w:top w:val="nil"/>
              <w:left w:val="nil"/>
              <w:bottom w:val="single" w:color="auto" w:sz="4" w:space="0"/>
              <w:right w:val="single" w:color="auto" w:sz="4" w:space="0"/>
            </w:tcBorders>
            <w:shd w:val="clear" w:color="auto" w:fill="auto"/>
            <w:vAlign w:val="center"/>
          </w:tcPr>
          <w:p w14:paraId="00ED3D0C">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2.门口上方按规范悬挂“人力资源市场”“零工市场”牌匾；服务前台后方设置背景墙，明显标识“人力资源市场”、“零工市场”和主要服务内容；</w:t>
            </w:r>
          </w:p>
        </w:tc>
        <w:tc>
          <w:tcPr>
            <w:tcW w:w="2043" w:type="dxa"/>
            <w:vMerge w:val="continue"/>
            <w:tcBorders>
              <w:top w:val="nil"/>
              <w:left w:val="single" w:color="auto" w:sz="4" w:space="0"/>
              <w:bottom w:val="single" w:color="auto" w:sz="4" w:space="0"/>
              <w:right w:val="single" w:color="auto" w:sz="4" w:space="0"/>
            </w:tcBorders>
            <w:shd w:val="clear" w:color="auto" w:fill="auto"/>
            <w:vAlign w:val="center"/>
          </w:tcPr>
          <w:p w14:paraId="284BB93F">
            <w:pPr>
              <w:rPr>
                <w:rFonts w:ascii="CESI仿宋-GB2312" w:hAnsi="CESI仿宋-GB2312" w:eastAsia="CESI仿宋-GB2312" w:cs="CESI仿宋-GB2312"/>
                <w:color w:val="auto"/>
                <w:sz w:val="20"/>
                <w:szCs w:val="20"/>
                <w:highlight w:val="none"/>
              </w:rPr>
            </w:pPr>
          </w:p>
        </w:tc>
      </w:tr>
      <w:tr w14:paraId="554988F1">
        <w:tblPrEx>
          <w:tblCellMar>
            <w:top w:w="0" w:type="dxa"/>
            <w:left w:w="108" w:type="dxa"/>
            <w:bottom w:w="0" w:type="dxa"/>
            <w:right w:w="108" w:type="dxa"/>
          </w:tblCellMar>
        </w:tblPrEx>
        <w:trPr>
          <w:trHeight w:val="720" w:hRule="atLeast"/>
        </w:trPr>
        <w:tc>
          <w:tcPr>
            <w:tcW w:w="536" w:type="dxa"/>
            <w:vMerge w:val="continue"/>
            <w:tcBorders>
              <w:top w:val="nil"/>
              <w:left w:val="single" w:color="auto" w:sz="4" w:space="0"/>
              <w:bottom w:val="single" w:color="auto" w:sz="4" w:space="0"/>
              <w:right w:val="single" w:color="auto" w:sz="4" w:space="0"/>
            </w:tcBorders>
            <w:shd w:val="clear" w:color="auto" w:fill="auto"/>
            <w:vAlign w:val="center"/>
          </w:tcPr>
          <w:p w14:paraId="50C8BC74">
            <w:pPr>
              <w:jc w:val="center"/>
              <w:rPr>
                <w:rFonts w:ascii="CESI仿宋-GB2312" w:hAnsi="CESI仿宋-GB2312" w:eastAsia="CESI仿宋-GB2312" w:cs="CESI仿宋-GB2312"/>
                <w:color w:val="auto"/>
                <w:sz w:val="20"/>
                <w:szCs w:val="20"/>
                <w:highlight w:val="none"/>
              </w:rPr>
            </w:pPr>
          </w:p>
        </w:tc>
        <w:tc>
          <w:tcPr>
            <w:tcW w:w="843" w:type="dxa"/>
            <w:vMerge w:val="continue"/>
            <w:tcBorders>
              <w:top w:val="nil"/>
              <w:left w:val="single" w:color="auto" w:sz="4" w:space="0"/>
              <w:bottom w:val="single" w:color="auto" w:sz="4" w:space="0"/>
              <w:right w:val="single" w:color="auto" w:sz="4" w:space="0"/>
            </w:tcBorders>
            <w:shd w:val="clear" w:color="auto" w:fill="auto"/>
            <w:vAlign w:val="center"/>
          </w:tcPr>
          <w:p w14:paraId="3FF2905F">
            <w:pPr>
              <w:jc w:val="center"/>
              <w:rPr>
                <w:rFonts w:ascii="CESI仿宋-GB2312" w:hAnsi="CESI仿宋-GB2312" w:eastAsia="CESI仿宋-GB2312" w:cs="CESI仿宋-GB2312"/>
                <w:color w:val="auto"/>
                <w:sz w:val="20"/>
                <w:szCs w:val="20"/>
                <w:highlight w:val="none"/>
              </w:rPr>
            </w:pPr>
          </w:p>
        </w:tc>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57996B5F">
            <w:pPr>
              <w:rPr>
                <w:rFonts w:ascii="CESI仿宋-GB2312" w:hAnsi="CESI仿宋-GB2312" w:eastAsia="CESI仿宋-GB2312" w:cs="CESI仿宋-GB2312"/>
                <w:color w:val="auto"/>
                <w:sz w:val="20"/>
                <w:szCs w:val="20"/>
                <w:highlight w:val="none"/>
              </w:rPr>
            </w:pPr>
          </w:p>
        </w:tc>
        <w:tc>
          <w:tcPr>
            <w:tcW w:w="5336" w:type="dxa"/>
            <w:tcBorders>
              <w:top w:val="nil"/>
              <w:left w:val="nil"/>
              <w:bottom w:val="single" w:color="auto" w:sz="4" w:space="0"/>
              <w:right w:val="single" w:color="auto" w:sz="4" w:space="0"/>
            </w:tcBorders>
            <w:shd w:val="clear" w:color="auto" w:fill="auto"/>
            <w:vAlign w:val="center"/>
          </w:tcPr>
          <w:p w14:paraId="33B8F3B4">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3.服务场所内专门张贴市场简介、服务网点分布图等，张贴或悬挂服务事项清单，对各功能区域规范标识、标语和服务指引；</w:t>
            </w:r>
          </w:p>
        </w:tc>
        <w:tc>
          <w:tcPr>
            <w:tcW w:w="2043" w:type="dxa"/>
            <w:vMerge w:val="continue"/>
            <w:tcBorders>
              <w:top w:val="nil"/>
              <w:left w:val="single" w:color="auto" w:sz="4" w:space="0"/>
              <w:bottom w:val="single" w:color="auto" w:sz="4" w:space="0"/>
              <w:right w:val="single" w:color="auto" w:sz="4" w:space="0"/>
            </w:tcBorders>
            <w:shd w:val="clear" w:color="auto" w:fill="auto"/>
            <w:vAlign w:val="center"/>
          </w:tcPr>
          <w:p w14:paraId="596A1236">
            <w:pPr>
              <w:rPr>
                <w:rFonts w:ascii="CESI仿宋-GB2312" w:hAnsi="CESI仿宋-GB2312" w:eastAsia="CESI仿宋-GB2312" w:cs="CESI仿宋-GB2312"/>
                <w:color w:val="auto"/>
                <w:sz w:val="20"/>
                <w:szCs w:val="20"/>
                <w:highlight w:val="none"/>
              </w:rPr>
            </w:pPr>
          </w:p>
        </w:tc>
      </w:tr>
      <w:tr w14:paraId="750DD581">
        <w:tblPrEx>
          <w:tblCellMar>
            <w:top w:w="0" w:type="dxa"/>
            <w:left w:w="108" w:type="dxa"/>
            <w:bottom w:w="0" w:type="dxa"/>
            <w:right w:w="108" w:type="dxa"/>
          </w:tblCellMar>
        </w:tblPrEx>
        <w:trPr>
          <w:trHeight w:val="480" w:hRule="atLeast"/>
        </w:trPr>
        <w:tc>
          <w:tcPr>
            <w:tcW w:w="536" w:type="dxa"/>
            <w:vMerge w:val="continue"/>
            <w:tcBorders>
              <w:top w:val="nil"/>
              <w:left w:val="single" w:color="auto" w:sz="4" w:space="0"/>
              <w:bottom w:val="single" w:color="auto" w:sz="4" w:space="0"/>
              <w:right w:val="single" w:color="auto" w:sz="4" w:space="0"/>
            </w:tcBorders>
            <w:shd w:val="clear" w:color="auto" w:fill="auto"/>
            <w:vAlign w:val="center"/>
          </w:tcPr>
          <w:p w14:paraId="011771E7">
            <w:pPr>
              <w:jc w:val="center"/>
              <w:rPr>
                <w:rFonts w:ascii="CESI仿宋-GB2312" w:hAnsi="CESI仿宋-GB2312" w:eastAsia="CESI仿宋-GB2312" w:cs="CESI仿宋-GB2312"/>
                <w:color w:val="auto"/>
                <w:sz w:val="20"/>
                <w:szCs w:val="20"/>
                <w:highlight w:val="none"/>
              </w:rPr>
            </w:pPr>
          </w:p>
        </w:tc>
        <w:tc>
          <w:tcPr>
            <w:tcW w:w="843" w:type="dxa"/>
            <w:vMerge w:val="continue"/>
            <w:tcBorders>
              <w:top w:val="nil"/>
              <w:left w:val="single" w:color="auto" w:sz="4" w:space="0"/>
              <w:bottom w:val="single" w:color="auto" w:sz="4" w:space="0"/>
              <w:right w:val="single" w:color="auto" w:sz="4" w:space="0"/>
            </w:tcBorders>
            <w:shd w:val="clear" w:color="auto" w:fill="auto"/>
            <w:vAlign w:val="center"/>
          </w:tcPr>
          <w:p w14:paraId="7B79510E">
            <w:pPr>
              <w:jc w:val="center"/>
              <w:rPr>
                <w:rFonts w:ascii="CESI仿宋-GB2312" w:hAnsi="CESI仿宋-GB2312" w:eastAsia="CESI仿宋-GB2312" w:cs="CESI仿宋-GB2312"/>
                <w:color w:val="auto"/>
                <w:sz w:val="20"/>
                <w:szCs w:val="20"/>
                <w:highlight w:val="none"/>
              </w:rPr>
            </w:pPr>
          </w:p>
        </w:tc>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78277162">
            <w:pPr>
              <w:rPr>
                <w:rFonts w:ascii="CESI仿宋-GB2312" w:hAnsi="CESI仿宋-GB2312" w:eastAsia="CESI仿宋-GB2312" w:cs="CESI仿宋-GB2312"/>
                <w:color w:val="auto"/>
                <w:sz w:val="20"/>
                <w:szCs w:val="20"/>
                <w:highlight w:val="none"/>
              </w:rPr>
            </w:pPr>
          </w:p>
        </w:tc>
        <w:tc>
          <w:tcPr>
            <w:tcW w:w="5336" w:type="dxa"/>
            <w:tcBorders>
              <w:top w:val="nil"/>
              <w:left w:val="nil"/>
              <w:bottom w:val="single" w:color="auto" w:sz="4" w:space="0"/>
              <w:right w:val="single" w:color="auto" w:sz="4" w:space="0"/>
            </w:tcBorders>
            <w:shd w:val="clear" w:color="auto" w:fill="auto"/>
            <w:vAlign w:val="center"/>
          </w:tcPr>
          <w:p w14:paraId="1C35A62E">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4.服务场所门口张贴《服务时间》，实行服务时间告知和服务监督电话公开；</w:t>
            </w:r>
          </w:p>
        </w:tc>
        <w:tc>
          <w:tcPr>
            <w:tcW w:w="2043" w:type="dxa"/>
            <w:vMerge w:val="continue"/>
            <w:tcBorders>
              <w:top w:val="nil"/>
              <w:left w:val="single" w:color="auto" w:sz="4" w:space="0"/>
              <w:bottom w:val="single" w:color="auto" w:sz="4" w:space="0"/>
              <w:right w:val="single" w:color="auto" w:sz="4" w:space="0"/>
            </w:tcBorders>
            <w:shd w:val="clear" w:color="auto" w:fill="auto"/>
            <w:vAlign w:val="center"/>
          </w:tcPr>
          <w:p w14:paraId="5134E3A3">
            <w:pPr>
              <w:rPr>
                <w:rFonts w:ascii="CESI仿宋-GB2312" w:hAnsi="CESI仿宋-GB2312" w:eastAsia="CESI仿宋-GB2312" w:cs="CESI仿宋-GB2312"/>
                <w:color w:val="auto"/>
                <w:sz w:val="20"/>
                <w:szCs w:val="20"/>
                <w:highlight w:val="none"/>
              </w:rPr>
            </w:pPr>
          </w:p>
        </w:tc>
      </w:tr>
      <w:tr w14:paraId="2CDBBF54">
        <w:tblPrEx>
          <w:tblCellMar>
            <w:top w:w="0" w:type="dxa"/>
            <w:left w:w="108" w:type="dxa"/>
            <w:bottom w:w="0" w:type="dxa"/>
            <w:right w:w="108" w:type="dxa"/>
          </w:tblCellMar>
        </w:tblPrEx>
        <w:trPr>
          <w:trHeight w:val="921" w:hRule="atLeast"/>
        </w:trPr>
        <w:tc>
          <w:tcPr>
            <w:tcW w:w="536" w:type="dxa"/>
            <w:vMerge w:val="continue"/>
            <w:tcBorders>
              <w:top w:val="nil"/>
              <w:left w:val="single" w:color="auto" w:sz="4" w:space="0"/>
              <w:bottom w:val="single" w:color="auto" w:sz="4" w:space="0"/>
              <w:right w:val="single" w:color="auto" w:sz="4" w:space="0"/>
            </w:tcBorders>
            <w:shd w:val="clear" w:color="auto" w:fill="auto"/>
            <w:vAlign w:val="center"/>
          </w:tcPr>
          <w:p w14:paraId="2EC4A848">
            <w:pPr>
              <w:jc w:val="center"/>
              <w:rPr>
                <w:rFonts w:ascii="CESI仿宋-GB2312" w:hAnsi="CESI仿宋-GB2312" w:eastAsia="CESI仿宋-GB2312" w:cs="CESI仿宋-GB2312"/>
                <w:color w:val="auto"/>
                <w:sz w:val="20"/>
                <w:szCs w:val="20"/>
                <w:highlight w:val="none"/>
              </w:rPr>
            </w:pPr>
          </w:p>
        </w:tc>
        <w:tc>
          <w:tcPr>
            <w:tcW w:w="843" w:type="dxa"/>
            <w:vMerge w:val="continue"/>
            <w:tcBorders>
              <w:top w:val="nil"/>
              <w:left w:val="single" w:color="auto" w:sz="4" w:space="0"/>
              <w:bottom w:val="single" w:color="auto" w:sz="4" w:space="0"/>
              <w:right w:val="single" w:color="auto" w:sz="4" w:space="0"/>
            </w:tcBorders>
            <w:shd w:val="clear" w:color="auto" w:fill="auto"/>
            <w:vAlign w:val="center"/>
          </w:tcPr>
          <w:p w14:paraId="497893B8">
            <w:pPr>
              <w:jc w:val="center"/>
              <w:rPr>
                <w:rFonts w:ascii="CESI仿宋-GB2312" w:hAnsi="CESI仿宋-GB2312" w:eastAsia="CESI仿宋-GB2312" w:cs="CESI仿宋-GB2312"/>
                <w:color w:val="auto"/>
                <w:sz w:val="20"/>
                <w:szCs w:val="20"/>
                <w:highlight w:val="none"/>
              </w:rPr>
            </w:pPr>
          </w:p>
        </w:tc>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31C7D136">
            <w:pPr>
              <w:rPr>
                <w:rFonts w:ascii="CESI仿宋-GB2312" w:hAnsi="CESI仿宋-GB2312" w:eastAsia="CESI仿宋-GB2312" w:cs="CESI仿宋-GB2312"/>
                <w:color w:val="auto"/>
                <w:sz w:val="20"/>
                <w:szCs w:val="20"/>
                <w:highlight w:val="none"/>
              </w:rPr>
            </w:pPr>
          </w:p>
        </w:tc>
        <w:tc>
          <w:tcPr>
            <w:tcW w:w="5336" w:type="dxa"/>
            <w:tcBorders>
              <w:top w:val="nil"/>
              <w:left w:val="nil"/>
              <w:bottom w:val="single" w:color="auto" w:sz="4" w:space="0"/>
              <w:right w:val="single" w:color="auto" w:sz="4" w:space="0"/>
            </w:tcBorders>
            <w:shd w:val="clear" w:color="auto" w:fill="auto"/>
            <w:vAlign w:val="center"/>
          </w:tcPr>
          <w:p w14:paraId="59B1D683">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5.服务场所张贴《服务团队》，实行服务人员身份和电话公开；张贴《管理服务规范》</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t>公开服务要求，接受群众监督；</w:t>
            </w:r>
          </w:p>
        </w:tc>
        <w:tc>
          <w:tcPr>
            <w:tcW w:w="2043" w:type="dxa"/>
            <w:vMerge w:val="continue"/>
            <w:tcBorders>
              <w:top w:val="nil"/>
              <w:left w:val="single" w:color="auto" w:sz="4" w:space="0"/>
              <w:bottom w:val="single" w:color="auto" w:sz="4" w:space="0"/>
              <w:right w:val="single" w:color="auto" w:sz="4" w:space="0"/>
            </w:tcBorders>
            <w:shd w:val="clear" w:color="auto" w:fill="auto"/>
            <w:vAlign w:val="center"/>
          </w:tcPr>
          <w:p w14:paraId="167F4DE3">
            <w:pPr>
              <w:rPr>
                <w:rFonts w:ascii="CESI仿宋-GB2312" w:hAnsi="CESI仿宋-GB2312" w:eastAsia="CESI仿宋-GB2312" w:cs="CESI仿宋-GB2312"/>
                <w:color w:val="auto"/>
                <w:sz w:val="20"/>
                <w:szCs w:val="20"/>
                <w:highlight w:val="none"/>
              </w:rPr>
            </w:pPr>
          </w:p>
        </w:tc>
      </w:tr>
      <w:tr w14:paraId="55D31D4E">
        <w:tblPrEx>
          <w:tblCellMar>
            <w:top w:w="0" w:type="dxa"/>
            <w:left w:w="108" w:type="dxa"/>
            <w:bottom w:w="0" w:type="dxa"/>
            <w:right w:w="108" w:type="dxa"/>
          </w:tblCellMar>
        </w:tblPrEx>
        <w:trPr>
          <w:trHeight w:val="720" w:hRule="atLeast"/>
        </w:trPr>
        <w:tc>
          <w:tcPr>
            <w:tcW w:w="536" w:type="dxa"/>
            <w:vMerge w:val="continue"/>
            <w:tcBorders>
              <w:top w:val="nil"/>
              <w:left w:val="single" w:color="auto" w:sz="4" w:space="0"/>
              <w:bottom w:val="single" w:color="auto" w:sz="4" w:space="0"/>
              <w:right w:val="single" w:color="auto" w:sz="4" w:space="0"/>
            </w:tcBorders>
            <w:shd w:val="clear" w:color="auto" w:fill="auto"/>
            <w:vAlign w:val="center"/>
          </w:tcPr>
          <w:p w14:paraId="0547C665">
            <w:pPr>
              <w:jc w:val="center"/>
              <w:rPr>
                <w:rFonts w:ascii="CESI仿宋-GB2312" w:hAnsi="CESI仿宋-GB2312" w:eastAsia="CESI仿宋-GB2312" w:cs="CESI仿宋-GB2312"/>
                <w:color w:val="auto"/>
                <w:sz w:val="20"/>
                <w:szCs w:val="20"/>
                <w:highlight w:val="none"/>
              </w:rPr>
            </w:pPr>
          </w:p>
        </w:tc>
        <w:tc>
          <w:tcPr>
            <w:tcW w:w="843" w:type="dxa"/>
            <w:vMerge w:val="continue"/>
            <w:tcBorders>
              <w:top w:val="nil"/>
              <w:left w:val="single" w:color="auto" w:sz="4" w:space="0"/>
              <w:bottom w:val="single" w:color="auto" w:sz="4" w:space="0"/>
              <w:right w:val="single" w:color="auto" w:sz="4" w:space="0"/>
            </w:tcBorders>
            <w:shd w:val="clear" w:color="auto" w:fill="auto"/>
            <w:vAlign w:val="center"/>
          </w:tcPr>
          <w:p w14:paraId="2D92D21B">
            <w:pPr>
              <w:jc w:val="center"/>
              <w:rPr>
                <w:rFonts w:ascii="CESI仿宋-GB2312" w:hAnsi="CESI仿宋-GB2312" w:eastAsia="CESI仿宋-GB2312" w:cs="CESI仿宋-GB2312"/>
                <w:color w:val="auto"/>
                <w:sz w:val="20"/>
                <w:szCs w:val="20"/>
                <w:highlight w:val="none"/>
              </w:rPr>
            </w:pPr>
          </w:p>
        </w:tc>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74931F3C">
            <w:pPr>
              <w:rPr>
                <w:rFonts w:ascii="CESI仿宋-GB2312" w:hAnsi="CESI仿宋-GB2312" w:eastAsia="CESI仿宋-GB2312" w:cs="CESI仿宋-GB2312"/>
                <w:color w:val="auto"/>
                <w:sz w:val="20"/>
                <w:szCs w:val="20"/>
                <w:highlight w:val="none"/>
              </w:rPr>
            </w:pPr>
          </w:p>
        </w:tc>
        <w:tc>
          <w:tcPr>
            <w:tcW w:w="5336" w:type="dxa"/>
            <w:tcBorders>
              <w:top w:val="nil"/>
              <w:left w:val="nil"/>
              <w:bottom w:val="single" w:color="auto" w:sz="4" w:space="0"/>
              <w:right w:val="single" w:color="auto" w:sz="4" w:space="0"/>
            </w:tcBorders>
            <w:shd w:val="clear" w:color="auto" w:fill="auto"/>
            <w:vAlign w:val="center"/>
          </w:tcPr>
          <w:p w14:paraId="4B22414C">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6.在显眼位置张贴服务二维码（包括指定或认可的就业服务平台小程序或APP的服务二维码），引导企业或群众直接线上业务登记或办理</w:t>
            </w:r>
            <w:r>
              <w:rPr>
                <w:rFonts w:hint="eastAsia" w:ascii="CESI仿宋-GB2312" w:hAnsi="CESI仿宋-GB2312" w:eastAsia="CESI仿宋-GB2312" w:cs="CESI仿宋-GB2312"/>
                <w:color w:val="auto"/>
                <w:kern w:val="0"/>
                <w:sz w:val="20"/>
                <w:szCs w:val="20"/>
                <w:highlight w:val="none"/>
                <w:lang w:eastAsia="zh-CN" w:bidi="ar"/>
              </w:rPr>
              <w:t>；</w:t>
            </w:r>
          </w:p>
        </w:tc>
        <w:tc>
          <w:tcPr>
            <w:tcW w:w="2043" w:type="dxa"/>
            <w:vMerge w:val="continue"/>
            <w:tcBorders>
              <w:top w:val="nil"/>
              <w:left w:val="single" w:color="auto" w:sz="4" w:space="0"/>
              <w:bottom w:val="single" w:color="auto" w:sz="4" w:space="0"/>
              <w:right w:val="single" w:color="auto" w:sz="4" w:space="0"/>
            </w:tcBorders>
            <w:shd w:val="clear" w:color="auto" w:fill="auto"/>
            <w:vAlign w:val="center"/>
          </w:tcPr>
          <w:p w14:paraId="7C2FEE3A">
            <w:pPr>
              <w:rPr>
                <w:rFonts w:ascii="CESI仿宋-GB2312" w:hAnsi="CESI仿宋-GB2312" w:eastAsia="CESI仿宋-GB2312" w:cs="CESI仿宋-GB2312"/>
                <w:color w:val="auto"/>
                <w:sz w:val="20"/>
                <w:szCs w:val="20"/>
                <w:highlight w:val="none"/>
              </w:rPr>
            </w:pPr>
          </w:p>
        </w:tc>
      </w:tr>
      <w:tr w14:paraId="5A03D93E">
        <w:tblPrEx>
          <w:tblCellMar>
            <w:top w:w="0" w:type="dxa"/>
            <w:left w:w="108" w:type="dxa"/>
            <w:bottom w:w="0" w:type="dxa"/>
            <w:right w:w="108" w:type="dxa"/>
          </w:tblCellMar>
        </w:tblPrEx>
        <w:trPr>
          <w:trHeight w:val="480" w:hRule="atLeast"/>
        </w:trPr>
        <w:tc>
          <w:tcPr>
            <w:tcW w:w="536" w:type="dxa"/>
            <w:vMerge w:val="continue"/>
            <w:tcBorders>
              <w:top w:val="nil"/>
              <w:left w:val="single" w:color="auto" w:sz="4" w:space="0"/>
              <w:bottom w:val="single" w:color="auto" w:sz="4" w:space="0"/>
              <w:right w:val="single" w:color="auto" w:sz="4" w:space="0"/>
            </w:tcBorders>
            <w:shd w:val="clear" w:color="auto" w:fill="auto"/>
            <w:vAlign w:val="center"/>
          </w:tcPr>
          <w:p w14:paraId="1F182B74">
            <w:pPr>
              <w:jc w:val="center"/>
              <w:rPr>
                <w:rFonts w:ascii="CESI仿宋-GB2312" w:hAnsi="CESI仿宋-GB2312" w:eastAsia="CESI仿宋-GB2312" w:cs="CESI仿宋-GB2312"/>
                <w:color w:val="auto"/>
                <w:sz w:val="20"/>
                <w:szCs w:val="20"/>
                <w:highlight w:val="none"/>
              </w:rPr>
            </w:pPr>
          </w:p>
        </w:tc>
        <w:tc>
          <w:tcPr>
            <w:tcW w:w="843" w:type="dxa"/>
            <w:vMerge w:val="continue"/>
            <w:tcBorders>
              <w:top w:val="nil"/>
              <w:left w:val="single" w:color="auto" w:sz="4" w:space="0"/>
              <w:bottom w:val="single" w:color="auto" w:sz="4" w:space="0"/>
              <w:right w:val="single" w:color="auto" w:sz="4" w:space="0"/>
            </w:tcBorders>
            <w:shd w:val="clear" w:color="auto" w:fill="auto"/>
            <w:vAlign w:val="center"/>
          </w:tcPr>
          <w:p w14:paraId="7D47CD1D">
            <w:pPr>
              <w:jc w:val="center"/>
              <w:rPr>
                <w:rFonts w:ascii="CESI仿宋-GB2312" w:hAnsi="CESI仿宋-GB2312" w:eastAsia="CESI仿宋-GB2312" w:cs="CESI仿宋-GB2312"/>
                <w:color w:val="auto"/>
                <w:sz w:val="20"/>
                <w:szCs w:val="20"/>
                <w:highlight w:val="none"/>
              </w:rPr>
            </w:pPr>
          </w:p>
        </w:tc>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4694D8C8">
            <w:pPr>
              <w:rPr>
                <w:rFonts w:ascii="CESI仿宋-GB2312" w:hAnsi="CESI仿宋-GB2312" w:eastAsia="CESI仿宋-GB2312" w:cs="CESI仿宋-GB2312"/>
                <w:color w:val="auto"/>
                <w:sz w:val="20"/>
                <w:szCs w:val="20"/>
                <w:highlight w:val="none"/>
              </w:rPr>
            </w:pPr>
          </w:p>
        </w:tc>
        <w:tc>
          <w:tcPr>
            <w:tcW w:w="5336" w:type="dxa"/>
            <w:tcBorders>
              <w:top w:val="nil"/>
              <w:left w:val="nil"/>
              <w:bottom w:val="single" w:color="auto" w:sz="4" w:space="0"/>
              <w:right w:val="single" w:color="auto" w:sz="4" w:space="0"/>
            </w:tcBorders>
            <w:shd w:val="clear" w:color="auto" w:fill="auto"/>
            <w:vAlign w:val="center"/>
          </w:tcPr>
          <w:p w14:paraId="574D4540">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7.工作人员统一着装，配置统一的服务马甲或服务服装，配挂统一服务工牌。</w:t>
            </w:r>
          </w:p>
        </w:tc>
        <w:tc>
          <w:tcPr>
            <w:tcW w:w="2043" w:type="dxa"/>
            <w:vMerge w:val="continue"/>
            <w:tcBorders>
              <w:top w:val="nil"/>
              <w:left w:val="single" w:color="auto" w:sz="4" w:space="0"/>
              <w:bottom w:val="single" w:color="auto" w:sz="4" w:space="0"/>
              <w:right w:val="single" w:color="auto" w:sz="4" w:space="0"/>
            </w:tcBorders>
            <w:shd w:val="clear" w:color="auto" w:fill="auto"/>
            <w:vAlign w:val="center"/>
          </w:tcPr>
          <w:p w14:paraId="4A6684DC">
            <w:pPr>
              <w:rPr>
                <w:rFonts w:ascii="CESI仿宋-GB2312" w:hAnsi="CESI仿宋-GB2312" w:eastAsia="CESI仿宋-GB2312" w:cs="CESI仿宋-GB2312"/>
                <w:color w:val="auto"/>
                <w:sz w:val="20"/>
                <w:szCs w:val="20"/>
                <w:highlight w:val="none"/>
              </w:rPr>
            </w:pPr>
          </w:p>
        </w:tc>
      </w:tr>
      <w:tr w14:paraId="2A41F073">
        <w:tblPrEx>
          <w:tblCellMar>
            <w:top w:w="0" w:type="dxa"/>
            <w:left w:w="108" w:type="dxa"/>
            <w:bottom w:w="0" w:type="dxa"/>
            <w:right w:w="108" w:type="dxa"/>
          </w:tblCellMar>
        </w:tblPrEx>
        <w:trPr>
          <w:trHeight w:val="501" w:hRule="atLeast"/>
        </w:trPr>
        <w:tc>
          <w:tcPr>
            <w:tcW w:w="536" w:type="dxa"/>
            <w:vMerge w:val="restart"/>
            <w:tcBorders>
              <w:top w:val="nil"/>
              <w:left w:val="single" w:color="auto" w:sz="4" w:space="0"/>
              <w:bottom w:val="single" w:color="auto" w:sz="4" w:space="0"/>
              <w:right w:val="single" w:color="auto" w:sz="4" w:space="0"/>
            </w:tcBorders>
            <w:shd w:val="clear" w:color="auto" w:fill="auto"/>
            <w:vAlign w:val="center"/>
          </w:tcPr>
          <w:p w14:paraId="60B1F9E3">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5</w:t>
            </w:r>
          </w:p>
        </w:tc>
        <w:tc>
          <w:tcPr>
            <w:tcW w:w="843" w:type="dxa"/>
            <w:vMerge w:val="restart"/>
            <w:tcBorders>
              <w:top w:val="nil"/>
              <w:left w:val="single" w:color="auto" w:sz="4" w:space="0"/>
              <w:bottom w:val="single" w:color="auto" w:sz="4" w:space="0"/>
              <w:right w:val="single" w:color="auto" w:sz="4" w:space="0"/>
            </w:tcBorders>
            <w:shd w:val="clear" w:color="auto" w:fill="auto"/>
            <w:vAlign w:val="center"/>
          </w:tcPr>
          <w:p w14:paraId="26CC558E">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有服务台账</w:t>
            </w:r>
          </w:p>
        </w:tc>
        <w:tc>
          <w:tcPr>
            <w:tcW w:w="1455" w:type="dxa"/>
            <w:vMerge w:val="restart"/>
            <w:tcBorders>
              <w:top w:val="nil"/>
              <w:left w:val="single" w:color="auto" w:sz="4" w:space="0"/>
              <w:bottom w:val="single" w:color="auto" w:sz="4" w:space="0"/>
              <w:right w:val="single" w:color="auto" w:sz="4" w:space="0"/>
            </w:tcBorders>
            <w:shd w:val="clear" w:color="auto" w:fill="auto"/>
            <w:vAlign w:val="center"/>
          </w:tcPr>
          <w:p w14:paraId="07FAE522">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建立市场日常管理运营服务台账，做好全程服务记录</w:t>
            </w:r>
          </w:p>
        </w:tc>
        <w:tc>
          <w:tcPr>
            <w:tcW w:w="5336" w:type="dxa"/>
            <w:tcBorders>
              <w:top w:val="nil"/>
              <w:left w:val="nil"/>
              <w:bottom w:val="single" w:color="auto" w:sz="4" w:space="0"/>
              <w:right w:val="single" w:color="auto" w:sz="4" w:space="0"/>
            </w:tcBorders>
            <w:shd w:val="clear" w:color="auto" w:fill="auto"/>
            <w:vAlign w:val="center"/>
          </w:tcPr>
          <w:p w14:paraId="3F34F3D6">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1.《求职/培训登记册》（前台接待或走访服务或回访服务使用）</w:t>
            </w:r>
            <w:r>
              <w:rPr>
                <w:rFonts w:hint="eastAsia" w:ascii="CESI仿宋-GB2312" w:hAnsi="CESI仿宋-GB2312" w:eastAsia="CESI仿宋-GB2312" w:cs="CESI仿宋-GB2312"/>
                <w:color w:val="auto"/>
                <w:kern w:val="0"/>
                <w:sz w:val="20"/>
                <w:szCs w:val="20"/>
                <w:highlight w:val="none"/>
                <w:lang w:eastAsia="zh-CN" w:bidi="ar"/>
              </w:rPr>
              <w:t>；</w:t>
            </w:r>
          </w:p>
        </w:tc>
        <w:tc>
          <w:tcPr>
            <w:tcW w:w="2043" w:type="dxa"/>
            <w:vMerge w:val="restart"/>
            <w:tcBorders>
              <w:top w:val="nil"/>
              <w:left w:val="single" w:color="auto" w:sz="4" w:space="0"/>
              <w:bottom w:val="single" w:color="auto" w:sz="4" w:space="0"/>
              <w:right w:val="single" w:color="auto" w:sz="4" w:space="0"/>
            </w:tcBorders>
            <w:shd w:val="clear" w:color="auto" w:fill="auto"/>
            <w:vAlign w:val="center"/>
          </w:tcPr>
          <w:p w14:paraId="6D7B3234">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5244F0A9">
        <w:tblPrEx>
          <w:tblCellMar>
            <w:top w:w="0" w:type="dxa"/>
            <w:left w:w="108" w:type="dxa"/>
            <w:bottom w:w="0" w:type="dxa"/>
            <w:right w:w="108" w:type="dxa"/>
          </w:tblCellMar>
        </w:tblPrEx>
        <w:trPr>
          <w:trHeight w:val="501" w:hRule="atLeast"/>
        </w:trPr>
        <w:tc>
          <w:tcPr>
            <w:tcW w:w="536" w:type="dxa"/>
            <w:vMerge w:val="continue"/>
            <w:tcBorders>
              <w:top w:val="nil"/>
              <w:left w:val="single" w:color="auto" w:sz="4" w:space="0"/>
              <w:bottom w:val="single" w:color="auto" w:sz="4" w:space="0"/>
              <w:right w:val="single" w:color="auto" w:sz="4" w:space="0"/>
            </w:tcBorders>
            <w:shd w:val="clear" w:color="auto" w:fill="auto"/>
            <w:vAlign w:val="center"/>
          </w:tcPr>
          <w:p w14:paraId="3EB2337C">
            <w:pPr>
              <w:jc w:val="center"/>
              <w:rPr>
                <w:rFonts w:ascii="CESI仿宋-GB2312" w:hAnsi="CESI仿宋-GB2312" w:eastAsia="CESI仿宋-GB2312" w:cs="CESI仿宋-GB2312"/>
                <w:color w:val="auto"/>
                <w:sz w:val="20"/>
                <w:szCs w:val="20"/>
                <w:highlight w:val="none"/>
              </w:rPr>
            </w:pPr>
          </w:p>
        </w:tc>
        <w:tc>
          <w:tcPr>
            <w:tcW w:w="843" w:type="dxa"/>
            <w:vMerge w:val="continue"/>
            <w:tcBorders>
              <w:top w:val="nil"/>
              <w:left w:val="single" w:color="auto" w:sz="4" w:space="0"/>
              <w:bottom w:val="single" w:color="auto" w:sz="4" w:space="0"/>
              <w:right w:val="single" w:color="auto" w:sz="4" w:space="0"/>
            </w:tcBorders>
            <w:shd w:val="clear" w:color="auto" w:fill="auto"/>
            <w:vAlign w:val="center"/>
          </w:tcPr>
          <w:p w14:paraId="556DEF5E">
            <w:pPr>
              <w:jc w:val="center"/>
              <w:rPr>
                <w:rFonts w:ascii="CESI仿宋-GB2312" w:hAnsi="CESI仿宋-GB2312" w:eastAsia="CESI仿宋-GB2312" w:cs="CESI仿宋-GB2312"/>
                <w:color w:val="auto"/>
                <w:sz w:val="20"/>
                <w:szCs w:val="20"/>
                <w:highlight w:val="none"/>
              </w:rPr>
            </w:pPr>
          </w:p>
        </w:tc>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7584C263">
            <w:pPr>
              <w:rPr>
                <w:rFonts w:ascii="CESI仿宋-GB2312" w:hAnsi="CESI仿宋-GB2312" w:eastAsia="CESI仿宋-GB2312" w:cs="CESI仿宋-GB2312"/>
                <w:color w:val="auto"/>
                <w:sz w:val="20"/>
                <w:szCs w:val="20"/>
                <w:highlight w:val="none"/>
              </w:rPr>
            </w:pPr>
          </w:p>
        </w:tc>
        <w:tc>
          <w:tcPr>
            <w:tcW w:w="5336" w:type="dxa"/>
            <w:tcBorders>
              <w:top w:val="nil"/>
              <w:left w:val="nil"/>
              <w:bottom w:val="single" w:color="auto" w:sz="4" w:space="0"/>
              <w:right w:val="single" w:color="auto" w:sz="4" w:space="0"/>
            </w:tcBorders>
            <w:shd w:val="clear" w:color="auto" w:fill="auto"/>
            <w:vAlign w:val="center"/>
          </w:tcPr>
          <w:p w14:paraId="0122369F">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2.《用工招聘登记册》（前台接待或走访服务或回访服务使用）</w:t>
            </w:r>
            <w:r>
              <w:rPr>
                <w:rFonts w:hint="eastAsia" w:ascii="CESI仿宋-GB2312" w:hAnsi="CESI仿宋-GB2312" w:eastAsia="CESI仿宋-GB2312" w:cs="CESI仿宋-GB2312"/>
                <w:color w:val="auto"/>
                <w:kern w:val="0"/>
                <w:sz w:val="20"/>
                <w:szCs w:val="20"/>
                <w:highlight w:val="none"/>
                <w:lang w:eastAsia="zh-CN" w:bidi="ar"/>
              </w:rPr>
              <w:t>；</w:t>
            </w:r>
          </w:p>
        </w:tc>
        <w:tc>
          <w:tcPr>
            <w:tcW w:w="2043" w:type="dxa"/>
            <w:vMerge w:val="continue"/>
            <w:tcBorders>
              <w:top w:val="nil"/>
              <w:left w:val="single" w:color="auto" w:sz="4" w:space="0"/>
              <w:bottom w:val="single" w:color="auto" w:sz="4" w:space="0"/>
              <w:right w:val="single" w:color="auto" w:sz="4" w:space="0"/>
            </w:tcBorders>
            <w:shd w:val="clear" w:color="auto" w:fill="auto"/>
            <w:vAlign w:val="center"/>
          </w:tcPr>
          <w:p w14:paraId="18961F8C">
            <w:pPr>
              <w:rPr>
                <w:rFonts w:ascii="CESI仿宋-GB2312" w:hAnsi="CESI仿宋-GB2312" w:eastAsia="CESI仿宋-GB2312" w:cs="CESI仿宋-GB2312"/>
                <w:color w:val="auto"/>
                <w:sz w:val="20"/>
                <w:szCs w:val="20"/>
                <w:highlight w:val="none"/>
              </w:rPr>
            </w:pPr>
          </w:p>
        </w:tc>
      </w:tr>
      <w:tr w14:paraId="3B394214">
        <w:tblPrEx>
          <w:tblCellMar>
            <w:top w:w="0" w:type="dxa"/>
            <w:left w:w="108" w:type="dxa"/>
            <w:bottom w:w="0" w:type="dxa"/>
            <w:right w:w="108" w:type="dxa"/>
          </w:tblCellMar>
        </w:tblPrEx>
        <w:trPr>
          <w:trHeight w:val="501" w:hRule="atLeast"/>
        </w:trPr>
        <w:tc>
          <w:tcPr>
            <w:tcW w:w="536" w:type="dxa"/>
            <w:vMerge w:val="continue"/>
            <w:tcBorders>
              <w:top w:val="nil"/>
              <w:left w:val="single" w:color="auto" w:sz="4" w:space="0"/>
              <w:bottom w:val="single" w:color="auto" w:sz="4" w:space="0"/>
              <w:right w:val="single" w:color="auto" w:sz="4" w:space="0"/>
            </w:tcBorders>
            <w:shd w:val="clear" w:color="auto" w:fill="auto"/>
            <w:vAlign w:val="center"/>
          </w:tcPr>
          <w:p w14:paraId="39D16E95">
            <w:pPr>
              <w:jc w:val="center"/>
              <w:rPr>
                <w:rFonts w:ascii="CESI仿宋-GB2312" w:hAnsi="CESI仿宋-GB2312" w:eastAsia="CESI仿宋-GB2312" w:cs="CESI仿宋-GB2312"/>
                <w:color w:val="auto"/>
                <w:sz w:val="20"/>
                <w:szCs w:val="20"/>
                <w:highlight w:val="none"/>
              </w:rPr>
            </w:pPr>
          </w:p>
        </w:tc>
        <w:tc>
          <w:tcPr>
            <w:tcW w:w="843" w:type="dxa"/>
            <w:vMerge w:val="continue"/>
            <w:tcBorders>
              <w:top w:val="nil"/>
              <w:left w:val="single" w:color="auto" w:sz="4" w:space="0"/>
              <w:bottom w:val="single" w:color="auto" w:sz="4" w:space="0"/>
              <w:right w:val="single" w:color="auto" w:sz="4" w:space="0"/>
            </w:tcBorders>
            <w:shd w:val="clear" w:color="auto" w:fill="auto"/>
            <w:vAlign w:val="center"/>
          </w:tcPr>
          <w:p w14:paraId="328C0A92">
            <w:pPr>
              <w:jc w:val="center"/>
              <w:rPr>
                <w:rFonts w:ascii="CESI仿宋-GB2312" w:hAnsi="CESI仿宋-GB2312" w:eastAsia="CESI仿宋-GB2312" w:cs="CESI仿宋-GB2312"/>
                <w:color w:val="auto"/>
                <w:sz w:val="20"/>
                <w:szCs w:val="20"/>
                <w:highlight w:val="none"/>
              </w:rPr>
            </w:pPr>
          </w:p>
        </w:tc>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417E3E9B">
            <w:pPr>
              <w:rPr>
                <w:rFonts w:ascii="CESI仿宋-GB2312" w:hAnsi="CESI仿宋-GB2312" w:eastAsia="CESI仿宋-GB2312" w:cs="CESI仿宋-GB2312"/>
                <w:color w:val="auto"/>
                <w:sz w:val="20"/>
                <w:szCs w:val="20"/>
                <w:highlight w:val="none"/>
              </w:rPr>
            </w:pPr>
          </w:p>
        </w:tc>
        <w:tc>
          <w:tcPr>
            <w:tcW w:w="5336" w:type="dxa"/>
            <w:tcBorders>
              <w:top w:val="nil"/>
              <w:left w:val="nil"/>
              <w:bottom w:val="single" w:color="auto" w:sz="4" w:space="0"/>
              <w:right w:val="single" w:color="auto" w:sz="4" w:space="0"/>
            </w:tcBorders>
            <w:shd w:val="clear" w:color="auto" w:fill="auto"/>
            <w:vAlign w:val="center"/>
          </w:tcPr>
          <w:p w14:paraId="2334A9A9">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3.《服务评价及意见建议册》（前台接待使用）</w:t>
            </w:r>
            <w:r>
              <w:rPr>
                <w:rFonts w:hint="eastAsia" w:ascii="CESI仿宋-GB2312" w:hAnsi="CESI仿宋-GB2312" w:eastAsia="CESI仿宋-GB2312" w:cs="CESI仿宋-GB2312"/>
                <w:color w:val="auto"/>
                <w:kern w:val="0"/>
                <w:sz w:val="20"/>
                <w:szCs w:val="20"/>
                <w:highlight w:val="none"/>
                <w:lang w:eastAsia="zh-CN" w:bidi="ar"/>
              </w:rPr>
              <w:t>；</w:t>
            </w:r>
          </w:p>
        </w:tc>
        <w:tc>
          <w:tcPr>
            <w:tcW w:w="2043" w:type="dxa"/>
            <w:vMerge w:val="continue"/>
            <w:tcBorders>
              <w:top w:val="nil"/>
              <w:left w:val="single" w:color="auto" w:sz="4" w:space="0"/>
              <w:bottom w:val="single" w:color="auto" w:sz="4" w:space="0"/>
              <w:right w:val="single" w:color="auto" w:sz="4" w:space="0"/>
            </w:tcBorders>
            <w:shd w:val="clear" w:color="auto" w:fill="auto"/>
            <w:vAlign w:val="center"/>
          </w:tcPr>
          <w:p w14:paraId="365D7AB5">
            <w:pPr>
              <w:rPr>
                <w:rFonts w:ascii="CESI仿宋-GB2312" w:hAnsi="CESI仿宋-GB2312" w:eastAsia="CESI仿宋-GB2312" w:cs="CESI仿宋-GB2312"/>
                <w:color w:val="auto"/>
                <w:sz w:val="20"/>
                <w:szCs w:val="20"/>
                <w:highlight w:val="none"/>
              </w:rPr>
            </w:pPr>
          </w:p>
        </w:tc>
      </w:tr>
      <w:tr w14:paraId="58839679">
        <w:tblPrEx>
          <w:tblCellMar>
            <w:top w:w="0" w:type="dxa"/>
            <w:left w:w="108" w:type="dxa"/>
            <w:bottom w:w="0" w:type="dxa"/>
            <w:right w:w="108" w:type="dxa"/>
          </w:tblCellMar>
        </w:tblPrEx>
        <w:trPr>
          <w:trHeight w:val="501" w:hRule="atLeast"/>
        </w:trPr>
        <w:tc>
          <w:tcPr>
            <w:tcW w:w="536" w:type="dxa"/>
            <w:vMerge w:val="continue"/>
            <w:tcBorders>
              <w:top w:val="nil"/>
              <w:left w:val="single" w:color="auto" w:sz="4" w:space="0"/>
              <w:bottom w:val="single" w:color="auto" w:sz="4" w:space="0"/>
              <w:right w:val="single" w:color="auto" w:sz="4" w:space="0"/>
            </w:tcBorders>
            <w:shd w:val="clear" w:color="auto" w:fill="auto"/>
            <w:vAlign w:val="center"/>
          </w:tcPr>
          <w:p w14:paraId="1EA8C851">
            <w:pPr>
              <w:jc w:val="center"/>
              <w:rPr>
                <w:rFonts w:ascii="CESI仿宋-GB2312" w:hAnsi="CESI仿宋-GB2312" w:eastAsia="CESI仿宋-GB2312" w:cs="CESI仿宋-GB2312"/>
                <w:color w:val="auto"/>
                <w:sz w:val="20"/>
                <w:szCs w:val="20"/>
                <w:highlight w:val="none"/>
              </w:rPr>
            </w:pPr>
          </w:p>
        </w:tc>
        <w:tc>
          <w:tcPr>
            <w:tcW w:w="843" w:type="dxa"/>
            <w:vMerge w:val="continue"/>
            <w:tcBorders>
              <w:top w:val="nil"/>
              <w:left w:val="single" w:color="auto" w:sz="4" w:space="0"/>
              <w:bottom w:val="single" w:color="auto" w:sz="4" w:space="0"/>
              <w:right w:val="single" w:color="auto" w:sz="4" w:space="0"/>
            </w:tcBorders>
            <w:shd w:val="clear" w:color="auto" w:fill="auto"/>
            <w:vAlign w:val="center"/>
          </w:tcPr>
          <w:p w14:paraId="4C19971A">
            <w:pPr>
              <w:jc w:val="center"/>
              <w:rPr>
                <w:rFonts w:ascii="CESI仿宋-GB2312" w:hAnsi="CESI仿宋-GB2312" w:eastAsia="CESI仿宋-GB2312" w:cs="CESI仿宋-GB2312"/>
                <w:color w:val="auto"/>
                <w:sz w:val="20"/>
                <w:szCs w:val="20"/>
                <w:highlight w:val="none"/>
              </w:rPr>
            </w:pPr>
          </w:p>
        </w:tc>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0CC6ABD2">
            <w:pPr>
              <w:rPr>
                <w:rFonts w:ascii="CESI仿宋-GB2312" w:hAnsi="CESI仿宋-GB2312" w:eastAsia="CESI仿宋-GB2312" w:cs="CESI仿宋-GB2312"/>
                <w:color w:val="auto"/>
                <w:sz w:val="20"/>
                <w:szCs w:val="20"/>
                <w:highlight w:val="none"/>
              </w:rPr>
            </w:pPr>
          </w:p>
        </w:tc>
        <w:tc>
          <w:tcPr>
            <w:tcW w:w="5336" w:type="dxa"/>
            <w:tcBorders>
              <w:top w:val="nil"/>
              <w:left w:val="nil"/>
              <w:bottom w:val="single" w:color="auto" w:sz="4" w:space="0"/>
              <w:right w:val="single" w:color="auto" w:sz="4" w:space="0"/>
            </w:tcBorders>
            <w:shd w:val="clear" w:color="auto" w:fill="auto"/>
            <w:vAlign w:val="center"/>
          </w:tcPr>
          <w:p w14:paraId="3CBA55EE">
            <w:pPr>
              <w:widowControl/>
              <w:textAlignment w:val="center"/>
              <w:rPr>
                <w:rFonts w:ascii="CESI仿宋-GB2312" w:hAnsi="CESI仿宋-GB2312" w:eastAsia="CESI仿宋-GB2312" w:cs="CESI仿宋-GB2312"/>
                <w:color w:val="auto"/>
                <w:sz w:val="20"/>
                <w:szCs w:val="20"/>
                <w:highlight w:val="none"/>
              </w:rPr>
            </w:pPr>
            <w:r>
              <w:rPr>
                <w:rStyle w:val="127"/>
                <w:color w:val="auto"/>
                <w:highlight w:val="none"/>
                <w:lang w:bidi="ar"/>
              </w:rPr>
              <w:t>4.</w:t>
            </w:r>
            <w:r>
              <w:rPr>
                <w:rStyle w:val="128"/>
                <w:color w:val="auto"/>
                <w:highlight w:val="none"/>
                <w:lang w:bidi="ar"/>
              </w:rPr>
              <w:t>《重要活动/事件登记册》（服务管理使用）；</w:t>
            </w:r>
          </w:p>
        </w:tc>
        <w:tc>
          <w:tcPr>
            <w:tcW w:w="2043" w:type="dxa"/>
            <w:vMerge w:val="continue"/>
            <w:tcBorders>
              <w:top w:val="nil"/>
              <w:left w:val="single" w:color="auto" w:sz="4" w:space="0"/>
              <w:bottom w:val="single" w:color="auto" w:sz="4" w:space="0"/>
              <w:right w:val="single" w:color="auto" w:sz="4" w:space="0"/>
            </w:tcBorders>
            <w:shd w:val="clear" w:color="auto" w:fill="auto"/>
            <w:vAlign w:val="center"/>
          </w:tcPr>
          <w:p w14:paraId="537F5F9B">
            <w:pPr>
              <w:rPr>
                <w:rFonts w:ascii="CESI仿宋-GB2312" w:hAnsi="CESI仿宋-GB2312" w:eastAsia="CESI仿宋-GB2312" w:cs="CESI仿宋-GB2312"/>
                <w:color w:val="auto"/>
                <w:sz w:val="20"/>
                <w:szCs w:val="20"/>
                <w:highlight w:val="none"/>
              </w:rPr>
            </w:pPr>
          </w:p>
        </w:tc>
      </w:tr>
      <w:tr w14:paraId="367EE991">
        <w:tblPrEx>
          <w:tblCellMar>
            <w:top w:w="0" w:type="dxa"/>
            <w:left w:w="108" w:type="dxa"/>
            <w:bottom w:w="0" w:type="dxa"/>
            <w:right w:w="108" w:type="dxa"/>
          </w:tblCellMar>
        </w:tblPrEx>
        <w:trPr>
          <w:trHeight w:val="501" w:hRule="atLeast"/>
        </w:trPr>
        <w:tc>
          <w:tcPr>
            <w:tcW w:w="536" w:type="dxa"/>
            <w:vMerge w:val="continue"/>
            <w:tcBorders>
              <w:top w:val="nil"/>
              <w:left w:val="single" w:color="auto" w:sz="4" w:space="0"/>
              <w:bottom w:val="single" w:color="auto" w:sz="4" w:space="0"/>
              <w:right w:val="single" w:color="auto" w:sz="4" w:space="0"/>
            </w:tcBorders>
            <w:shd w:val="clear" w:color="auto" w:fill="auto"/>
            <w:vAlign w:val="center"/>
          </w:tcPr>
          <w:p w14:paraId="4B307FA4">
            <w:pPr>
              <w:jc w:val="center"/>
              <w:rPr>
                <w:rFonts w:ascii="CESI仿宋-GB2312" w:hAnsi="CESI仿宋-GB2312" w:eastAsia="CESI仿宋-GB2312" w:cs="CESI仿宋-GB2312"/>
                <w:color w:val="auto"/>
                <w:sz w:val="20"/>
                <w:szCs w:val="20"/>
                <w:highlight w:val="none"/>
              </w:rPr>
            </w:pPr>
          </w:p>
        </w:tc>
        <w:tc>
          <w:tcPr>
            <w:tcW w:w="843" w:type="dxa"/>
            <w:vMerge w:val="continue"/>
            <w:tcBorders>
              <w:top w:val="nil"/>
              <w:left w:val="single" w:color="auto" w:sz="4" w:space="0"/>
              <w:bottom w:val="single" w:color="auto" w:sz="4" w:space="0"/>
              <w:right w:val="single" w:color="auto" w:sz="4" w:space="0"/>
            </w:tcBorders>
            <w:shd w:val="clear" w:color="auto" w:fill="auto"/>
            <w:vAlign w:val="center"/>
          </w:tcPr>
          <w:p w14:paraId="1E9D8EB2">
            <w:pPr>
              <w:jc w:val="center"/>
              <w:rPr>
                <w:rFonts w:ascii="CESI仿宋-GB2312" w:hAnsi="CESI仿宋-GB2312" w:eastAsia="CESI仿宋-GB2312" w:cs="CESI仿宋-GB2312"/>
                <w:color w:val="auto"/>
                <w:sz w:val="20"/>
                <w:szCs w:val="20"/>
                <w:highlight w:val="none"/>
              </w:rPr>
            </w:pPr>
          </w:p>
        </w:tc>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1D780D85">
            <w:pPr>
              <w:rPr>
                <w:rFonts w:ascii="CESI仿宋-GB2312" w:hAnsi="CESI仿宋-GB2312" w:eastAsia="CESI仿宋-GB2312" w:cs="CESI仿宋-GB2312"/>
                <w:color w:val="auto"/>
                <w:sz w:val="20"/>
                <w:szCs w:val="20"/>
                <w:highlight w:val="none"/>
              </w:rPr>
            </w:pPr>
          </w:p>
        </w:tc>
        <w:tc>
          <w:tcPr>
            <w:tcW w:w="5336" w:type="dxa"/>
            <w:tcBorders>
              <w:top w:val="nil"/>
              <w:left w:val="nil"/>
              <w:bottom w:val="single" w:color="auto" w:sz="4" w:space="0"/>
              <w:right w:val="single" w:color="auto" w:sz="4" w:space="0"/>
            </w:tcBorders>
            <w:shd w:val="clear" w:color="auto" w:fill="auto"/>
            <w:vAlign w:val="center"/>
          </w:tcPr>
          <w:p w14:paraId="21AB6C67">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5.服务台账及时登记或梳理入库，做好全程服务记录、服务跟踪。</w:t>
            </w:r>
          </w:p>
        </w:tc>
        <w:tc>
          <w:tcPr>
            <w:tcW w:w="2043" w:type="dxa"/>
            <w:vMerge w:val="continue"/>
            <w:tcBorders>
              <w:top w:val="nil"/>
              <w:left w:val="single" w:color="auto" w:sz="4" w:space="0"/>
              <w:bottom w:val="single" w:color="auto" w:sz="4" w:space="0"/>
              <w:right w:val="single" w:color="auto" w:sz="4" w:space="0"/>
            </w:tcBorders>
            <w:shd w:val="clear" w:color="auto" w:fill="auto"/>
            <w:vAlign w:val="center"/>
          </w:tcPr>
          <w:p w14:paraId="486A7107">
            <w:pPr>
              <w:rPr>
                <w:rFonts w:ascii="CESI仿宋-GB2312" w:hAnsi="CESI仿宋-GB2312" w:eastAsia="CESI仿宋-GB2312" w:cs="CESI仿宋-GB2312"/>
                <w:color w:val="auto"/>
                <w:sz w:val="20"/>
                <w:szCs w:val="20"/>
                <w:highlight w:val="none"/>
              </w:rPr>
            </w:pPr>
          </w:p>
        </w:tc>
      </w:tr>
      <w:tr w14:paraId="208A827A">
        <w:tblPrEx>
          <w:tblCellMar>
            <w:top w:w="0" w:type="dxa"/>
            <w:left w:w="108" w:type="dxa"/>
            <w:bottom w:w="0" w:type="dxa"/>
            <w:right w:w="108" w:type="dxa"/>
          </w:tblCellMar>
        </w:tblPrEx>
        <w:trPr>
          <w:trHeight w:val="1521" w:hRule="atLeast"/>
        </w:trPr>
        <w:tc>
          <w:tcPr>
            <w:tcW w:w="536" w:type="dxa"/>
            <w:vMerge w:val="restart"/>
            <w:tcBorders>
              <w:top w:val="nil"/>
              <w:left w:val="single" w:color="auto" w:sz="4" w:space="0"/>
              <w:bottom w:val="single" w:color="auto" w:sz="4" w:space="0"/>
              <w:right w:val="single" w:color="auto" w:sz="4" w:space="0"/>
            </w:tcBorders>
            <w:shd w:val="clear" w:color="auto" w:fill="auto"/>
            <w:vAlign w:val="center"/>
          </w:tcPr>
          <w:p w14:paraId="3DD33937">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6</w:t>
            </w:r>
          </w:p>
        </w:tc>
        <w:tc>
          <w:tcPr>
            <w:tcW w:w="843" w:type="dxa"/>
            <w:vMerge w:val="restart"/>
            <w:tcBorders>
              <w:top w:val="nil"/>
              <w:left w:val="single" w:color="auto" w:sz="4" w:space="0"/>
              <w:bottom w:val="single" w:color="auto" w:sz="4" w:space="0"/>
              <w:right w:val="single" w:color="auto" w:sz="4" w:space="0"/>
            </w:tcBorders>
            <w:shd w:val="clear" w:color="auto" w:fill="auto"/>
            <w:vAlign w:val="center"/>
          </w:tcPr>
          <w:p w14:paraId="6B46CF24">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有服务系统</w:t>
            </w:r>
          </w:p>
        </w:tc>
        <w:tc>
          <w:tcPr>
            <w:tcW w:w="1455" w:type="dxa"/>
            <w:vMerge w:val="restart"/>
            <w:tcBorders>
              <w:top w:val="nil"/>
              <w:left w:val="single" w:color="auto" w:sz="4" w:space="0"/>
              <w:bottom w:val="single" w:color="auto" w:sz="4" w:space="0"/>
              <w:right w:val="single" w:color="auto" w:sz="4" w:space="0"/>
            </w:tcBorders>
            <w:shd w:val="clear" w:color="auto" w:fill="auto"/>
            <w:vAlign w:val="center"/>
          </w:tcPr>
          <w:p w14:paraId="168581F4">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统一接入南宁市人力资源和社会保障局指定或认可的线上公共就业服务平台并实现就业“一库一平台”数据互联互通</w:t>
            </w:r>
          </w:p>
        </w:tc>
        <w:tc>
          <w:tcPr>
            <w:tcW w:w="5336" w:type="dxa"/>
            <w:tcBorders>
              <w:top w:val="nil"/>
              <w:left w:val="nil"/>
              <w:bottom w:val="single" w:color="auto" w:sz="4" w:space="0"/>
              <w:right w:val="single" w:color="auto" w:sz="4" w:space="0"/>
            </w:tcBorders>
            <w:shd w:val="clear" w:color="auto" w:fill="auto"/>
            <w:vAlign w:val="center"/>
          </w:tcPr>
          <w:p w14:paraId="1AD73A72">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1.市场统一接入南宁市人力资源和社会保障局指定或认可的线上公共就业服务平台，实时收集、更新、发布及跟踪招聘求职培训创业信息，并实现就业“一库一平台”数据互联互通；</w:t>
            </w:r>
          </w:p>
        </w:tc>
        <w:tc>
          <w:tcPr>
            <w:tcW w:w="2043" w:type="dxa"/>
            <w:tcBorders>
              <w:top w:val="nil"/>
              <w:left w:val="nil"/>
              <w:bottom w:val="single" w:color="auto" w:sz="4" w:space="0"/>
              <w:right w:val="single" w:color="auto" w:sz="4" w:space="0"/>
            </w:tcBorders>
            <w:shd w:val="clear" w:color="auto" w:fill="auto"/>
            <w:vAlign w:val="center"/>
          </w:tcPr>
          <w:p w14:paraId="4DE9E1DC">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26A9A02A">
        <w:tblPrEx>
          <w:tblCellMar>
            <w:top w:w="0" w:type="dxa"/>
            <w:left w:w="108" w:type="dxa"/>
            <w:bottom w:w="0" w:type="dxa"/>
            <w:right w:w="108" w:type="dxa"/>
          </w:tblCellMar>
        </w:tblPrEx>
        <w:trPr>
          <w:trHeight w:val="1200" w:hRule="atLeast"/>
        </w:trPr>
        <w:tc>
          <w:tcPr>
            <w:tcW w:w="536" w:type="dxa"/>
            <w:vMerge w:val="continue"/>
            <w:tcBorders>
              <w:top w:val="nil"/>
              <w:left w:val="single" w:color="auto" w:sz="4" w:space="0"/>
              <w:bottom w:val="single" w:color="auto" w:sz="4" w:space="0"/>
              <w:right w:val="single" w:color="auto" w:sz="4" w:space="0"/>
            </w:tcBorders>
            <w:shd w:val="clear" w:color="auto" w:fill="auto"/>
            <w:vAlign w:val="center"/>
          </w:tcPr>
          <w:p w14:paraId="7CBC35B8">
            <w:pPr>
              <w:jc w:val="center"/>
              <w:rPr>
                <w:rFonts w:ascii="CESI仿宋-GB2312" w:hAnsi="CESI仿宋-GB2312" w:eastAsia="CESI仿宋-GB2312" w:cs="CESI仿宋-GB2312"/>
                <w:color w:val="auto"/>
                <w:sz w:val="20"/>
                <w:szCs w:val="20"/>
                <w:highlight w:val="none"/>
              </w:rPr>
            </w:pPr>
          </w:p>
        </w:tc>
        <w:tc>
          <w:tcPr>
            <w:tcW w:w="843" w:type="dxa"/>
            <w:vMerge w:val="continue"/>
            <w:tcBorders>
              <w:top w:val="nil"/>
              <w:left w:val="single" w:color="auto" w:sz="4" w:space="0"/>
              <w:bottom w:val="single" w:color="auto" w:sz="4" w:space="0"/>
              <w:right w:val="single" w:color="auto" w:sz="4" w:space="0"/>
            </w:tcBorders>
            <w:shd w:val="clear" w:color="auto" w:fill="auto"/>
            <w:vAlign w:val="center"/>
          </w:tcPr>
          <w:p w14:paraId="5B65C4E9">
            <w:pPr>
              <w:jc w:val="center"/>
              <w:rPr>
                <w:rFonts w:ascii="CESI仿宋-GB2312" w:hAnsi="CESI仿宋-GB2312" w:eastAsia="CESI仿宋-GB2312" w:cs="CESI仿宋-GB2312"/>
                <w:color w:val="auto"/>
                <w:sz w:val="20"/>
                <w:szCs w:val="20"/>
                <w:highlight w:val="none"/>
              </w:rPr>
            </w:pPr>
          </w:p>
        </w:tc>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6A3FFC3A">
            <w:pPr>
              <w:jc w:val="center"/>
              <w:rPr>
                <w:rFonts w:ascii="CESI仿宋-GB2312" w:hAnsi="CESI仿宋-GB2312" w:eastAsia="CESI仿宋-GB2312" w:cs="CESI仿宋-GB2312"/>
                <w:color w:val="auto"/>
                <w:sz w:val="20"/>
                <w:szCs w:val="20"/>
                <w:highlight w:val="none"/>
              </w:rPr>
            </w:pPr>
          </w:p>
        </w:tc>
        <w:tc>
          <w:tcPr>
            <w:tcW w:w="5336" w:type="dxa"/>
            <w:tcBorders>
              <w:top w:val="nil"/>
              <w:left w:val="nil"/>
              <w:bottom w:val="single" w:color="auto" w:sz="4" w:space="0"/>
              <w:right w:val="single" w:color="auto" w:sz="4" w:space="0"/>
            </w:tcBorders>
            <w:shd w:val="clear" w:color="auto" w:fill="auto"/>
            <w:vAlign w:val="center"/>
          </w:tcPr>
          <w:p w14:paraId="33BC3841">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2.建立多级调度监测机制，能远程监测和科学直观了解辖区服务网点的运营数据，实现分站点、分时段、分类型</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等服务数据的监测、分析、统计、调度、展示等；</w:t>
            </w:r>
          </w:p>
        </w:tc>
        <w:tc>
          <w:tcPr>
            <w:tcW w:w="2043" w:type="dxa"/>
            <w:tcBorders>
              <w:top w:val="nil"/>
              <w:left w:val="nil"/>
              <w:bottom w:val="single" w:color="auto" w:sz="4" w:space="0"/>
              <w:right w:val="single" w:color="auto" w:sz="4" w:space="0"/>
            </w:tcBorders>
            <w:shd w:val="clear" w:color="auto" w:fill="auto"/>
            <w:vAlign w:val="center"/>
          </w:tcPr>
          <w:p w14:paraId="56C6E0C4">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322BF8BC">
        <w:tblPrEx>
          <w:tblCellMar>
            <w:top w:w="0" w:type="dxa"/>
            <w:left w:w="108" w:type="dxa"/>
            <w:bottom w:w="0" w:type="dxa"/>
            <w:right w:w="108" w:type="dxa"/>
          </w:tblCellMar>
        </w:tblPrEx>
        <w:trPr>
          <w:trHeight w:val="960" w:hRule="atLeast"/>
        </w:trPr>
        <w:tc>
          <w:tcPr>
            <w:tcW w:w="536" w:type="dxa"/>
            <w:vMerge w:val="continue"/>
            <w:tcBorders>
              <w:top w:val="nil"/>
              <w:left w:val="single" w:color="auto" w:sz="4" w:space="0"/>
              <w:bottom w:val="single" w:color="auto" w:sz="4" w:space="0"/>
              <w:right w:val="single" w:color="auto" w:sz="4" w:space="0"/>
            </w:tcBorders>
            <w:shd w:val="clear" w:color="auto" w:fill="auto"/>
            <w:vAlign w:val="center"/>
          </w:tcPr>
          <w:p w14:paraId="54722062">
            <w:pPr>
              <w:jc w:val="center"/>
              <w:rPr>
                <w:rFonts w:ascii="CESI仿宋-GB2312" w:hAnsi="CESI仿宋-GB2312" w:eastAsia="CESI仿宋-GB2312" w:cs="CESI仿宋-GB2312"/>
                <w:color w:val="auto"/>
                <w:sz w:val="20"/>
                <w:szCs w:val="20"/>
                <w:highlight w:val="none"/>
              </w:rPr>
            </w:pPr>
          </w:p>
        </w:tc>
        <w:tc>
          <w:tcPr>
            <w:tcW w:w="843" w:type="dxa"/>
            <w:vMerge w:val="continue"/>
            <w:tcBorders>
              <w:top w:val="nil"/>
              <w:left w:val="single" w:color="auto" w:sz="4" w:space="0"/>
              <w:bottom w:val="single" w:color="auto" w:sz="4" w:space="0"/>
              <w:right w:val="single" w:color="auto" w:sz="4" w:space="0"/>
            </w:tcBorders>
            <w:shd w:val="clear" w:color="auto" w:fill="auto"/>
            <w:vAlign w:val="center"/>
          </w:tcPr>
          <w:p w14:paraId="39512120">
            <w:pPr>
              <w:jc w:val="center"/>
              <w:rPr>
                <w:rFonts w:ascii="CESI仿宋-GB2312" w:hAnsi="CESI仿宋-GB2312" w:eastAsia="CESI仿宋-GB2312" w:cs="CESI仿宋-GB2312"/>
                <w:color w:val="auto"/>
                <w:sz w:val="20"/>
                <w:szCs w:val="20"/>
                <w:highlight w:val="none"/>
              </w:rPr>
            </w:pPr>
          </w:p>
        </w:tc>
        <w:tc>
          <w:tcPr>
            <w:tcW w:w="1455" w:type="dxa"/>
            <w:vMerge w:val="continue"/>
            <w:tcBorders>
              <w:top w:val="nil"/>
              <w:left w:val="single" w:color="auto" w:sz="4" w:space="0"/>
              <w:bottom w:val="single" w:color="auto" w:sz="4" w:space="0"/>
              <w:right w:val="single" w:color="auto" w:sz="4" w:space="0"/>
            </w:tcBorders>
            <w:shd w:val="clear" w:color="auto" w:fill="auto"/>
            <w:vAlign w:val="center"/>
          </w:tcPr>
          <w:p w14:paraId="78709413">
            <w:pPr>
              <w:jc w:val="center"/>
              <w:rPr>
                <w:rFonts w:ascii="CESI仿宋-GB2312" w:hAnsi="CESI仿宋-GB2312" w:eastAsia="CESI仿宋-GB2312" w:cs="CESI仿宋-GB2312"/>
                <w:color w:val="auto"/>
                <w:sz w:val="20"/>
                <w:szCs w:val="20"/>
                <w:highlight w:val="none"/>
              </w:rPr>
            </w:pPr>
          </w:p>
        </w:tc>
        <w:tc>
          <w:tcPr>
            <w:tcW w:w="5336" w:type="dxa"/>
            <w:tcBorders>
              <w:top w:val="nil"/>
              <w:left w:val="nil"/>
              <w:bottom w:val="single" w:color="auto" w:sz="4" w:space="0"/>
              <w:right w:val="single" w:color="auto" w:sz="4" w:space="0"/>
            </w:tcBorders>
            <w:shd w:val="clear" w:color="auto" w:fill="auto"/>
            <w:vAlign w:val="center"/>
          </w:tcPr>
          <w:p w14:paraId="11ED99BC">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3.提供中枢服务功能的，能远程实时监控和调度县内各站点运营方工作人员的服务状况和网点运行情况，并能接受上级（或中枢性）网点监控和调度。</w:t>
            </w:r>
          </w:p>
        </w:tc>
        <w:tc>
          <w:tcPr>
            <w:tcW w:w="2043" w:type="dxa"/>
            <w:tcBorders>
              <w:top w:val="nil"/>
              <w:left w:val="nil"/>
              <w:bottom w:val="single" w:color="auto" w:sz="4" w:space="0"/>
              <w:right w:val="single" w:color="auto" w:sz="4" w:space="0"/>
            </w:tcBorders>
            <w:shd w:val="clear" w:color="auto" w:fill="auto"/>
            <w:vAlign w:val="center"/>
          </w:tcPr>
          <w:p w14:paraId="632F8C73">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bl>
    <w:p w14:paraId="5BF21FC8">
      <w:pPr>
        <w:widowControl/>
        <w:spacing w:line="560" w:lineRule="exact"/>
        <w:textAlignment w:val="center"/>
        <w:rPr>
          <w:rFonts w:ascii="Arial" w:hAnsi="Arial" w:cs="Arial"/>
          <w:color w:val="auto"/>
          <w:kern w:val="0"/>
          <w:szCs w:val="21"/>
          <w:highlight w:val="none"/>
        </w:rPr>
      </w:pPr>
      <w:r>
        <w:rPr>
          <w:rFonts w:ascii="Arial" w:hAnsi="Arial" w:cs="Arial"/>
          <w:color w:val="auto"/>
          <w:szCs w:val="21"/>
          <w:highlight w:val="none"/>
          <w:lang w:bidi="ar"/>
        </w:rPr>
        <w:br w:type="page"/>
      </w:r>
      <w:r>
        <w:rPr>
          <w:rFonts w:ascii="Arial" w:hAnsi="Arial" w:cs="Arial"/>
          <w:color w:val="auto"/>
          <w:kern w:val="0"/>
          <w:sz w:val="32"/>
          <w:szCs w:val="32"/>
          <w:highlight w:val="none"/>
          <w:lang w:bidi="ar"/>
        </w:rPr>
        <w:t>附件3</w:t>
      </w:r>
    </w:p>
    <w:tbl>
      <w:tblPr>
        <w:tblStyle w:val="35"/>
        <w:tblW w:w="10327" w:type="dxa"/>
        <w:tblInd w:w="-411" w:type="dxa"/>
        <w:tblLayout w:type="autofit"/>
        <w:tblCellMar>
          <w:top w:w="0" w:type="dxa"/>
          <w:left w:w="108" w:type="dxa"/>
          <w:bottom w:w="0" w:type="dxa"/>
          <w:right w:w="108" w:type="dxa"/>
        </w:tblCellMar>
      </w:tblPr>
      <w:tblGrid>
        <w:gridCol w:w="574"/>
        <w:gridCol w:w="830"/>
        <w:gridCol w:w="2017"/>
        <w:gridCol w:w="5068"/>
        <w:gridCol w:w="1838"/>
      </w:tblGrid>
      <w:tr w14:paraId="6C5826F2">
        <w:tblPrEx>
          <w:tblCellMar>
            <w:top w:w="0" w:type="dxa"/>
            <w:left w:w="108" w:type="dxa"/>
            <w:bottom w:w="0" w:type="dxa"/>
            <w:right w:w="108" w:type="dxa"/>
          </w:tblCellMar>
        </w:tblPrEx>
        <w:trPr>
          <w:trHeight w:val="621" w:hRule="atLeast"/>
        </w:trPr>
        <w:tc>
          <w:tcPr>
            <w:tcW w:w="10327"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72BA338A">
            <w:pPr>
              <w:widowControl/>
              <w:jc w:val="center"/>
              <w:textAlignment w:val="center"/>
              <w:rPr>
                <w:rFonts w:ascii="仿宋_GB2312" w:hAnsi="宋体" w:eastAsia="仿宋_GB2312" w:cs="仿宋_GB2312"/>
                <w:b/>
                <w:bCs/>
                <w:color w:val="auto"/>
                <w:sz w:val="40"/>
                <w:szCs w:val="40"/>
                <w:highlight w:val="none"/>
              </w:rPr>
            </w:pPr>
            <w:r>
              <w:rPr>
                <w:rFonts w:ascii="仿宋_GB2312" w:hAnsi="宋体" w:eastAsia="仿宋_GB2312" w:cs="仿宋_GB2312"/>
                <w:b/>
                <w:bCs/>
                <w:color w:val="auto"/>
                <w:kern w:val="0"/>
                <w:sz w:val="40"/>
                <w:szCs w:val="40"/>
                <w:highlight w:val="none"/>
                <w:lang w:bidi="ar"/>
              </w:rPr>
              <w:t>宾阳县一级就业服务站规范配备标准</w:t>
            </w:r>
          </w:p>
        </w:tc>
      </w:tr>
      <w:tr w14:paraId="28EB1A44">
        <w:tblPrEx>
          <w:tblCellMar>
            <w:top w:w="0" w:type="dxa"/>
            <w:left w:w="108" w:type="dxa"/>
            <w:bottom w:w="0" w:type="dxa"/>
            <w:right w:w="108" w:type="dxa"/>
          </w:tblCellMar>
        </w:tblPrEx>
        <w:trPr>
          <w:trHeight w:val="331" w:hRule="atLeast"/>
        </w:trPr>
        <w:tc>
          <w:tcPr>
            <w:tcW w:w="574" w:type="dxa"/>
            <w:vMerge w:val="restart"/>
            <w:tcBorders>
              <w:top w:val="nil"/>
              <w:left w:val="single" w:color="auto" w:sz="4" w:space="0"/>
              <w:bottom w:val="single" w:color="auto" w:sz="4" w:space="0"/>
              <w:right w:val="single" w:color="auto" w:sz="4" w:space="0"/>
            </w:tcBorders>
            <w:shd w:val="clear" w:color="auto" w:fill="auto"/>
            <w:vAlign w:val="center"/>
          </w:tcPr>
          <w:p w14:paraId="0CDB0ED3">
            <w:pPr>
              <w:widowControl/>
              <w:jc w:val="center"/>
              <w:textAlignment w:val="center"/>
              <w:rPr>
                <w:rFonts w:ascii="黑体" w:hAnsi="宋体" w:eastAsia="黑体" w:cs="黑体"/>
                <w:b/>
                <w:bCs/>
                <w:color w:val="auto"/>
                <w:sz w:val="20"/>
                <w:szCs w:val="20"/>
                <w:highlight w:val="none"/>
              </w:rPr>
            </w:pPr>
            <w:r>
              <w:rPr>
                <w:rFonts w:hint="eastAsia" w:ascii="黑体" w:hAnsi="宋体" w:eastAsia="黑体" w:cs="黑体"/>
                <w:b/>
                <w:bCs/>
                <w:color w:val="auto"/>
                <w:kern w:val="0"/>
                <w:sz w:val="20"/>
                <w:szCs w:val="20"/>
                <w:highlight w:val="none"/>
                <w:lang w:bidi="ar"/>
              </w:rPr>
              <w:t>序号</w:t>
            </w:r>
          </w:p>
        </w:tc>
        <w:tc>
          <w:tcPr>
            <w:tcW w:w="830" w:type="dxa"/>
            <w:vMerge w:val="restart"/>
            <w:tcBorders>
              <w:top w:val="nil"/>
              <w:left w:val="single" w:color="auto" w:sz="4" w:space="0"/>
              <w:bottom w:val="single" w:color="auto" w:sz="4" w:space="0"/>
              <w:right w:val="single" w:color="auto" w:sz="4" w:space="0"/>
            </w:tcBorders>
            <w:shd w:val="clear" w:color="auto" w:fill="auto"/>
            <w:vAlign w:val="center"/>
          </w:tcPr>
          <w:p w14:paraId="4AD46056">
            <w:pPr>
              <w:widowControl/>
              <w:jc w:val="center"/>
              <w:textAlignment w:val="center"/>
              <w:rPr>
                <w:rFonts w:ascii="黑体" w:hAnsi="宋体" w:eastAsia="黑体" w:cs="黑体"/>
                <w:b/>
                <w:bCs/>
                <w:color w:val="auto"/>
                <w:sz w:val="20"/>
                <w:szCs w:val="20"/>
                <w:highlight w:val="none"/>
              </w:rPr>
            </w:pPr>
            <w:r>
              <w:rPr>
                <w:rFonts w:hint="eastAsia" w:ascii="黑体" w:hAnsi="宋体" w:eastAsia="黑体" w:cs="黑体"/>
                <w:b/>
                <w:bCs/>
                <w:color w:val="auto"/>
                <w:kern w:val="0"/>
                <w:sz w:val="20"/>
                <w:szCs w:val="20"/>
                <w:highlight w:val="none"/>
                <w:lang w:bidi="ar"/>
              </w:rPr>
              <w:t>配备运营标准</w:t>
            </w:r>
          </w:p>
        </w:tc>
        <w:tc>
          <w:tcPr>
            <w:tcW w:w="2017" w:type="dxa"/>
            <w:vMerge w:val="restart"/>
            <w:tcBorders>
              <w:top w:val="nil"/>
              <w:left w:val="single" w:color="auto" w:sz="4" w:space="0"/>
              <w:bottom w:val="single" w:color="auto" w:sz="4" w:space="0"/>
              <w:right w:val="single" w:color="auto" w:sz="4" w:space="0"/>
            </w:tcBorders>
            <w:shd w:val="clear" w:color="auto" w:fill="auto"/>
            <w:vAlign w:val="center"/>
          </w:tcPr>
          <w:p w14:paraId="5080991C">
            <w:pPr>
              <w:widowControl/>
              <w:jc w:val="center"/>
              <w:textAlignment w:val="center"/>
              <w:rPr>
                <w:rFonts w:ascii="黑体" w:hAnsi="宋体" w:eastAsia="黑体" w:cs="黑体"/>
                <w:b/>
                <w:bCs/>
                <w:color w:val="auto"/>
                <w:sz w:val="20"/>
                <w:szCs w:val="20"/>
                <w:highlight w:val="none"/>
              </w:rPr>
            </w:pPr>
            <w:r>
              <w:rPr>
                <w:rFonts w:hint="eastAsia" w:ascii="黑体" w:hAnsi="宋体" w:eastAsia="黑体" w:cs="黑体"/>
                <w:b/>
                <w:bCs/>
                <w:color w:val="auto"/>
                <w:kern w:val="0"/>
                <w:sz w:val="20"/>
                <w:szCs w:val="20"/>
                <w:highlight w:val="none"/>
                <w:lang w:bidi="ar"/>
              </w:rPr>
              <w:t>配备运营要求</w:t>
            </w:r>
          </w:p>
        </w:tc>
        <w:tc>
          <w:tcPr>
            <w:tcW w:w="5068" w:type="dxa"/>
            <w:vMerge w:val="restart"/>
            <w:tcBorders>
              <w:top w:val="nil"/>
              <w:left w:val="single" w:color="auto" w:sz="4" w:space="0"/>
              <w:bottom w:val="single" w:color="auto" w:sz="4" w:space="0"/>
              <w:right w:val="single" w:color="auto" w:sz="4" w:space="0"/>
            </w:tcBorders>
            <w:shd w:val="clear" w:color="auto" w:fill="auto"/>
            <w:vAlign w:val="center"/>
          </w:tcPr>
          <w:p w14:paraId="707EA727">
            <w:pPr>
              <w:widowControl/>
              <w:jc w:val="center"/>
              <w:textAlignment w:val="center"/>
              <w:rPr>
                <w:rFonts w:ascii="黑体" w:hAnsi="宋体" w:eastAsia="黑体" w:cs="黑体"/>
                <w:b/>
                <w:bCs/>
                <w:color w:val="auto"/>
                <w:sz w:val="20"/>
                <w:szCs w:val="20"/>
                <w:highlight w:val="none"/>
              </w:rPr>
            </w:pPr>
            <w:r>
              <w:rPr>
                <w:rFonts w:hint="eastAsia" w:ascii="黑体" w:hAnsi="宋体" w:eastAsia="黑体" w:cs="黑体"/>
                <w:b/>
                <w:bCs/>
                <w:color w:val="auto"/>
                <w:kern w:val="0"/>
                <w:sz w:val="20"/>
                <w:szCs w:val="20"/>
                <w:highlight w:val="none"/>
                <w:lang w:bidi="ar"/>
              </w:rPr>
              <w:t>基本配备</w:t>
            </w:r>
          </w:p>
        </w:tc>
        <w:tc>
          <w:tcPr>
            <w:tcW w:w="1838" w:type="dxa"/>
            <w:vMerge w:val="restart"/>
            <w:tcBorders>
              <w:top w:val="nil"/>
              <w:left w:val="single" w:color="auto" w:sz="4" w:space="0"/>
              <w:bottom w:val="single" w:color="auto" w:sz="4" w:space="0"/>
              <w:right w:val="single" w:color="auto" w:sz="4" w:space="0"/>
            </w:tcBorders>
            <w:shd w:val="clear" w:color="auto" w:fill="auto"/>
            <w:vAlign w:val="center"/>
          </w:tcPr>
          <w:p w14:paraId="45DF7728">
            <w:pPr>
              <w:widowControl/>
              <w:jc w:val="center"/>
              <w:textAlignment w:val="center"/>
              <w:rPr>
                <w:rFonts w:ascii="黑体" w:hAnsi="宋体" w:eastAsia="黑体" w:cs="黑体"/>
                <w:b/>
                <w:bCs/>
                <w:color w:val="auto"/>
                <w:sz w:val="20"/>
                <w:szCs w:val="20"/>
                <w:highlight w:val="none"/>
              </w:rPr>
            </w:pPr>
            <w:r>
              <w:rPr>
                <w:rFonts w:hint="eastAsia" w:ascii="黑体" w:hAnsi="宋体" w:eastAsia="黑体" w:cs="黑体"/>
                <w:b/>
                <w:bCs/>
                <w:color w:val="auto"/>
                <w:kern w:val="0"/>
                <w:sz w:val="20"/>
                <w:szCs w:val="20"/>
                <w:highlight w:val="none"/>
                <w:lang w:bidi="ar"/>
              </w:rPr>
              <w:t>可选配备</w:t>
            </w:r>
          </w:p>
        </w:tc>
      </w:tr>
      <w:tr w14:paraId="2A552ABD">
        <w:tblPrEx>
          <w:tblCellMar>
            <w:top w:w="0" w:type="dxa"/>
            <w:left w:w="108" w:type="dxa"/>
            <w:bottom w:w="0" w:type="dxa"/>
            <w:right w:w="108" w:type="dxa"/>
          </w:tblCellMar>
        </w:tblPrEx>
        <w:trPr>
          <w:trHeight w:val="540" w:hRule="atLeast"/>
        </w:trPr>
        <w:tc>
          <w:tcPr>
            <w:tcW w:w="574" w:type="dxa"/>
            <w:vMerge w:val="continue"/>
            <w:tcBorders>
              <w:top w:val="nil"/>
              <w:left w:val="single" w:color="auto" w:sz="4" w:space="0"/>
              <w:bottom w:val="single" w:color="auto" w:sz="4" w:space="0"/>
              <w:right w:val="single" w:color="auto" w:sz="4" w:space="0"/>
            </w:tcBorders>
            <w:shd w:val="clear" w:color="auto" w:fill="auto"/>
            <w:vAlign w:val="center"/>
          </w:tcPr>
          <w:p w14:paraId="5E5B6949">
            <w:pPr>
              <w:jc w:val="center"/>
              <w:rPr>
                <w:rFonts w:ascii="黑体" w:hAnsi="宋体" w:eastAsia="黑体" w:cs="黑体"/>
                <w:b/>
                <w:bCs/>
                <w:color w:val="auto"/>
                <w:sz w:val="20"/>
                <w:szCs w:val="20"/>
                <w:highlight w:val="none"/>
              </w:rPr>
            </w:pPr>
          </w:p>
        </w:tc>
        <w:tc>
          <w:tcPr>
            <w:tcW w:w="830" w:type="dxa"/>
            <w:vMerge w:val="continue"/>
            <w:tcBorders>
              <w:top w:val="nil"/>
              <w:left w:val="single" w:color="auto" w:sz="4" w:space="0"/>
              <w:bottom w:val="single" w:color="auto" w:sz="4" w:space="0"/>
              <w:right w:val="single" w:color="auto" w:sz="4" w:space="0"/>
            </w:tcBorders>
            <w:shd w:val="clear" w:color="auto" w:fill="auto"/>
            <w:vAlign w:val="center"/>
          </w:tcPr>
          <w:p w14:paraId="73E2F367">
            <w:pPr>
              <w:jc w:val="center"/>
              <w:rPr>
                <w:rFonts w:ascii="黑体" w:hAnsi="宋体" w:eastAsia="黑体" w:cs="黑体"/>
                <w:b/>
                <w:bCs/>
                <w:color w:val="auto"/>
                <w:sz w:val="20"/>
                <w:szCs w:val="20"/>
                <w:highlight w:val="none"/>
              </w:rPr>
            </w:pPr>
          </w:p>
        </w:tc>
        <w:tc>
          <w:tcPr>
            <w:tcW w:w="2017" w:type="dxa"/>
            <w:vMerge w:val="continue"/>
            <w:tcBorders>
              <w:top w:val="nil"/>
              <w:left w:val="single" w:color="auto" w:sz="4" w:space="0"/>
              <w:bottom w:val="single" w:color="auto" w:sz="4" w:space="0"/>
              <w:right w:val="single" w:color="auto" w:sz="4" w:space="0"/>
            </w:tcBorders>
            <w:shd w:val="clear" w:color="auto" w:fill="auto"/>
            <w:vAlign w:val="center"/>
          </w:tcPr>
          <w:p w14:paraId="64A0A71C">
            <w:pPr>
              <w:jc w:val="center"/>
              <w:rPr>
                <w:rFonts w:ascii="黑体" w:hAnsi="宋体" w:eastAsia="黑体" w:cs="黑体"/>
                <w:b/>
                <w:bCs/>
                <w:color w:val="auto"/>
                <w:sz w:val="20"/>
                <w:szCs w:val="20"/>
                <w:highlight w:val="none"/>
              </w:rPr>
            </w:pPr>
          </w:p>
        </w:tc>
        <w:tc>
          <w:tcPr>
            <w:tcW w:w="5068" w:type="dxa"/>
            <w:vMerge w:val="continue"/>
            <w:tcBorders>
              <w:top w:val="nil"/>
              <w:left w:val="single" w:color="auto" w:sz="4" w:space="0"/>
              <w:bottom w:val="single" w:color="auto" w:sz="4" w:space="0"/>
              <w:right w:val="single" w:color="auto" w:sz="4" w:space="0"/>
            </w:tcBorders>
            <w:shd w:val="clear" w:color="auto" w:fill="auto"/>
            <w:vAlign w:val="center"/>
          </w:tcPr>
          <w:p w14:paraId="0237BE35">
            <w:pPr>
              <w:jc w:val="center"/>
              <w:rPr>
                <w:rFonts w:ascii="黑体" w:hAnsi="宋体" w:eastAsia="黑体" w:cs="黑体"/>
                <w:b/>
                <w:bCs/>
                <w:color w:val="auto"/>
                <w:sz w:val="20"/>
                <w:szCs w:val="20"/>
                <w:highlight w:val="none"/>
              </w:rPr>
            </w:pPr>
          </w:p>
        </w:tc>
        <w:tc>
          <w:tcPr>
            <w:tcW w:w="1838" w:type="dxa"/>
            <w:vMerge w:val="continue"/>
            <w:tcBorders>
              <w:top w:val="nil"/>
              <w:left w:val="single" w:color="auto" w:sz="4" w:space="0"/>
              <w:bottom w:val="single" w:color="auto" w:sz="4" w:space="0"/>
              <w:right w:val="single" w:color="auto" w:sz="4" w:space="0"/>
            </w:tcBorders>
            <w:shd w:val="clear" w:color="auto" w:fill="auto"/>
            <w:vAlign w:val="center"/>
          </w:tcPr>
          <w:p w14:paraId="2F88B359">
            <w:pPr>
              <w:jc w:val="center"/>
              <w:rPr>
                <w:rFonts w:ascii="黑体" w:hAnsi="宋体" w:eastAsia="黑体" w:cs="黑体"/>
                <w:b/>
                <w:bCs/>
                <w:color w:val="auto"/>
                <w:sz w:val="20"/>
                <w:szCs w:val="20"/>
                <w:highlight w:val="none"/>
              </w:rPr>
            </w:pPr>
          </w:p>
        </w:tc>
      </w:tr>
      <w:tr w14:paraId="4802CE2E">
        <w:tblPrEx>
          <w:tblCellMar>
            <w:top w:w="0" w:type="dxa"/>
            <w:left w:w="108" w:type="dxa"/>
            <w:bottom w:w="0" w:type="dxa"/>
            <w:right w:w="108" w:type="dxa"/>
          </w:tblCellMar>
        </w:tblPrEx>
        <w:trPr>
          <w:trHeight w:val="759" w:hRule="atLeast"/>
        </w:trPr>
        <w:tc>
          <w:tcPr>
            <w:tcW w:w="574" w:type="dxa"/>
            <w:vMerge w:val="restart"/>
            <w:tcBorders>
              <w:top w:val="nil"/>
              <w:left w:val="single" w:color="auto" w:sz="4" w:space="0"/>
              <w:bottom w:val="single" w:color="auto" w:sz="4" w:space="0"/>
              <w:right w:val="single" w:color="auto" w:sz="4" w:space="0"/>
            </w:tcBorders>
            <w:shd w:val="clear" w:color="auto" w:fill="auto"/>
            <w:vAlign w:val="center"/>
          </w:tcPr>
          <w:p w14:paraId="20555121">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w:t>
            </w:r>
          </w:p>
        </w:tc>
        <w:tc>
          <w:tcPr>
            <w:tcW w:w="830" w:type="dxa"/>
            <w:vMerge w:val="restart"/>
            <w:tcBorders>
              <w:top w:val="nil"/>
              <w:left w:val="single" w:color="auto" w:sz="4" w:space="0"/>
              <w:bottom w:val="single" w:color="auto" w:sz="4" w:space="0"/>
              <w:right w:val="single" w:color="auto" w:sz="4" w:space="0"/>
            </w:tcBorders>
            <w:shd w:val="clear" w:color="auto" w:fill="auto"/>
            <w:vAlign w:val="center"/>
          </w:tcPr>
          <w:p w14:paraId="041628DF">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有服务场所</w:t>
            </w:r>
          </w:p>
        </w:tc>
        <w:tc>
          <w:tcPr>
            <w:tcW w:w="2017" w:type="dxa"/>
            <w:vMerge w:val="restart"/>
            <w:tcBorders>
              <w:top w:val="nil"/>
              <w:left w:val="single" w:color="auto" w:sz="4" w:space="0"/>
              <w:bottom w:val="single" w:color="auto" w:sz="4" w:space="0"/>
              <w:right w:val="single" w:color="auto" w:sz="4" w:space="0"/>
            </w:tcBorders>
            <w:shd w:val="clear" w:color="auto" w:fill="auto"/>
            <w:vAlign w:val="center"/>
          </w:tcPr>
          <w:p w14:paraId="612AAA3B">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有固定、独立的服务场所，面积符合服务功能需求，选址位于人员集中居住区、人流密集区等便于服务对象到达的地方</w:t>
            </w:r>
          </w:p>
        </w:tc>
        <w:tc>
          <w:tcPr>
            <w:tcW w:w="5068" w:type="dxa"/>
            <w:tcBorders>
              <w:top w:val="nil"/>
              <w:left w:val="nil"/>
              <w:bottom w:val="single" w:color="auto" w:sz="4" w:space="0"/>
              <w:right w:val="single" w:color="auto" w:sz="4" w:space="0"/>
            </w:tcBorders>
            <w:shd w:val="clear" w:color="auto" w:fill="auto"/>
            <w:vAlign w:val="center"/>
          </w:tcPr>
          <w:p w14:paraId="3CD1949E">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1.原则上场地面积不少于30平方米；</w:t>
            </w:r>
          </w:p>
        </w:tc>
        <w:tc>
          <w:tcPr>
            <w:tcW w:w="1838" w:type="dxa"/>
            <w:vMerge w:val="restart"/>
            <w:tcBorders>
              <w:top w:val="nil"/>
              <w:left w:val="single" w:color="auto" w:sz="4" w:space="0"/>
              <w:bottom w:val="single" w:color="auto" w:sz="4" w:space="0"/>
              <w:right w:val="single" w:color="auto" w:sz="4" w:space="0"/>
            </w:tcBorders>
            <w:shd w:val="clear" w:color="auto" w:fill="auto"/>
            <w:vAlign w:val="center"/>
          </w:tcPr>
          <w:p w14:paraId="4F3F3C8D">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根据场地实际，可增设招聘洽谈区、职业培训区、线上直播间、视频面试间以及24小时人社自助服务区等功能区域；</w:t>
            </w:r>
          </w:p>
        </w:tc>
      </w:tr>
      <w:tr w14:paraId="4DDE8739">
        <w:tblPrEx>
          <w:tblCellMar>
            <w:top w:w="0" w:type="dxa"/>
            <w:left w:w="108" w:type="dxa"/>
            <w:bottom w:w="0" w:type="dxa"/>
            <w:right w:w="108" w:type="dxa"/>
          </w:tblCellMar>
        </w:tblPrEx>
        <w:trPr>
          <w:trHeight w:val="1239" w:hRule="atLeast"/>
        </w:trPr>
        <w:tc>
          <w:tcPr>
            <w:tcW w:w="574" w:type="dxa"/>
            <w:vMerge w:val="continue"/>
            <w:tcBorders>
              <w:top w:val="nil"/>
              <w:left w:val="single" w:color="auto" w:sz="4" w:space="0"/>
              <w:bottom w:val="single" w:color="auto" w:sz="4" w:space="0"/>
              <w:right w:val="single" w:color="auto" w:sz="4" w:space="0"/>
            </w:tcBorders>
            <w:shd w:val="clear" w:color="auto" w:fill="auto"/>
            <w:vAlign w:val="center"/>
          </w:tcPr>
          <w:p w14:paraId="2EAC9633">
            <w:pPr>
              <w:jc w:val="center"/>
              <w:rPr>
                <w:rFonts w:ascii="CESI仿宋-GB2312" w:hAnsi="CESI仿宋-GB2312" w:eastAsia="CESI仿宋-GB2312" w:cs="CESI仿宋-GB2312"/>
                <w:color w:val="auto"/>
                <w:sz w:val="20"/>
                <w:szCs w:val="20"/>
                <w:highlight w:val="none"/>
              </w:rPr>
            </w:pPr>
          </w:p>
        </w:tc>
        <w:tc>
          <w:tcPr>
            <w:tcW w:w="830" w:type="dxa"/>
            <w:vMerge w:val="continue"/>
            <w:tcBorders>
              <w:top w:val="nil"/>
              <w:left w:val="single" w:color="auto" w:sz="4" w:space="0"/>
              <w:bottom w:val="single" w:color="auto" w:sz="4" w:space="0"/>
              <w:right w:val="single" w:color="auto" w:sz="4" w:space="0"/>
            </w:tcBorders>
            <w:shd w:val="clear" w:color="auto" w:fill="auto"/>
            <w:vAlign w:val="center"/>
          </w:tcPr>
          <w:p w14:paraId="2E0AF40D">
            <w:pPr>
              <w:jc w:val="center"/>
              <w:rPr>
                <w:rFonts w:ascii="CESI仿宋-GB2312" w:hAnsi="CESI仿宋-GB2312" w:eastAsia="CESI仿宋-GB2312" w:cs="CESI仿宋-GB2312"/>
                <w:color w:val="auto"/>
                <w:sz w:val="20"/>
                <w:szCs w:val="20"/>
                <w:highlight w:val="none"/>
              </w:rPr>
            </w:pPr>
          </w:p>
        </w:tc>
        <w:tc>
          <w:tcPr>
            <w:tcW w:w="2017" w:type="dxa"/>
            <w:vMerge w:val="continue"/>
            <w:tcBorders>
              <w:top w:val="nil"/>
              <w:left w:val="single" w:color="auto" w:sz="4" w:space="0"/>
              <w:bottom w:val="single" w:color="auto" w:sz="4" w:space="0"/>
              <w:right w:val="single" w:color="auto" w:sz="4" w:space="0"/>
            </w:tcBorders>
            <w:shd w:val="clear" w:color="auto" w:fill="auto"/>
            <w:vAlign w:val="center"/>
          </w:tcPr>
          <w:p w14:paraId="7541622C">
            <w:pPr>
              <w:jc w:val="center"/>
              <w:rPr>
                <w:rFonts w:ascii="CESI仿宋-GB2312" w:hAnsi="CESI仿宋-GB2312" w:eastAsia="CESI仿宋-GB2312" w:cs="CESI仿宋-GB2312"/>
                <w:color w:val="auto"/>
                <w:sz w:val="20"/>
                <w:szCs w:val="20"/>
                <w:highlight w:val="none"/>
              </w:rPr>
            </w:pPr>
          </w:p>
        </w:tc>
        <w:tc>
          <w:tcPr>
            <w:tcW w:w="5068" w:type="dxa"/>
            <w:tcBorders>
              <w:top w:val="nil"/>
              <w:left w:val="nil"/>
              <w:bottom w:val="single" w:color="auto" w:sz="4" w:space="0"/>
              <w:right w:val="single" w:color="auto" w:sz="4" w:space="0"/>
            </w:tcBorders>
            <w:shd w:val="clear" w:color="auto" w:fill="auto"/>
            <w:vAlign w:val="center"/>
          </w:tcPr>
          <w:p w14:paraId="68602ED0">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2.场地能满足设置柜面服务区、信息发布区、数智求职区、等候休息区、便民服务区等基本功能区域。</w:t>
            </w:r>
          </w:p>
        </w:tc>
        <w:tc>
          <w:tcPr>
            <w:tcW w:w="1838" w:type="dxa"/>
            <w:vMerge w:val="continue"/>
            <w:tcBorders>
              <w:top w:val="nil"/>
              <w:left w:val="single" w:color="auto" w:sz="4" w:space="0"/>
              <w:bottom w:val="single" w:color="auto" w:sz="4" w:space="0"/>
              <w:right w:val="single" w:color="auto" w:sz="4" w:space="0"/>
            </w:tcBorders>
            <w:shd w:val="clear" w:color="auto" w:fill="auto"/>
            <w:vAlign w:val="center"/>
          </w:tcPr>
          <w:p w14:paraId="4CF0D314">
            <w:pPr>
              <w:jc w:val="left"/>
              <w:rPr>
                <w:rFonts w:ascii="CESI仿宋-GB2312" w:hAnsi="CESI仿宋-GB2312" w:eastAsia="CESI仿宋-GB2312" w:cs="CESI仿宋-GB2312"/>
                <w:color w:val="auto"/>
                <w:sz w:val="20"/>
                <w:szCs w:val="20"/>
                <w:highlight w:val="none"/>
              </w:rPr>
            </w:pPr>
          </w:p>
        </w:tc>
      </w:tr>
      <w:tr w14:paraId="4D5DC98E">
        <w:tblPrEx>
          <w:tblCellMar>
            <w:top w:w="0" w:type="dxa"/>
            <w:left w:w="108" w:type="dxa"/>
            <w:bottom w:w="0" w:type="dxa"/>
            <w:right w:w="108" w:type="dxa"/>
          </w:tblCellMar>
        </w:tblPrEx>
        <w:trPr>
          <w:trHeight w:val="121" w:hRule="atLeast"/>
        </w:trPr>
        <w:tc>
          <w:tcPr>
            <w:tcW w:w="574" w:type="dxa"/>
            <w:tcBorders>
              <w:top w:val="nil"/>
              <w:left w:val="single" w:color="auto" w:sz="4" w:space="0"/>
              <w:bottom w:val="single" w:color="auto" w:sz="4" w:space="0"/>
              <w:right w:val="single" w:color="auto" w:sz="4" w:space="0"/>
            </w:tcBorders>
            <w:shd w:val="clear" w:color="auto" w:fill="auto"/>
            <w:vAlign w:val="center"/>
          </w:tcPr>
          <w:p w14:paraId="6CF67131">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2</w:t>
            </w:r>
          </w:p>
        </w:tc>
        <w:tc>
          <w:tcPr>
            <w:tcW w:w="830" w:type="dxa"/>
            <w:tcBorders>
              <w:top w:val="nil"/>
              <w:left w:val="nil"/>
              <w:bottom w:val="single" w:color="auto" w:sz="4" w:space="0"/>
              <w:right w:val="single" w:color="auto" w:sz="4" w:space="0"/>
            </w:tcBorders>
            <w:shd w:val="clear" w:color="auto" w:fill="auto"/>
            <w:vAlign w:val="center"/>
          </w:tcPr>
          <w:p w14:paraId="45615CB0">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有服务设施</w:t>
            </w:r>
          </w:p>
        </w:tc>
        <w:tc>
          <w:tcPr>
            <w:tcW w:w="2017" w:type="dxa"/>
            <w:tcBorders>
              <w:top w:val="nil"/>
              <w:left w:val="nil"/>
              <w:bottom w:val="single" w:color="auto" w:sz="4" w:space="0"/>
              <w:right w:val="single" w:color="auto" w:sz="4" w:space="0"/>
            </w:tcBorders>
            <w:shd w:val="clear" w:color="auto" w:fill="auto"/>
            <w:vAlign w:val="center"/>
          </w:tcPr>
          <w:p w14:paraId="432D9764">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配备有必要的办公服务、求职服务、便民服务、安全防护等设施设备</w:t>
            </w:r>
          </w:p>
        </w:tc>
        <w:tc>
          <w:tcPr>
            <w:tcW w:w="5068" w:type="dxa"/>
            <w:tcBorders>
              <w:top w:val="nil"/>
              <w:left w:val="nil"/>
              <w:bottom w:val="single" w:color="auto" w:sz="4" w:space="0"/>
              <w:right w:val="single" w:color="auto" w:sz="4" w:space="0"/>
            </w:tcBorders>
            <w:shd w:val="clear" w:color="auto" w:fill="auto"/>
            <w:vAlign w:val="center"/>
          </w:tcPr>
          <w:p w14:paraId="4715ADCC">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1.办公服务：</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（1）服务前台及座椅（可容纳2人）</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（2）办公电脑（不少于2台）</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（3）打印复印一体机</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（4）文件柜；</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（5）座机电话</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（6）彩色电视大屏（1个，根据空间大小配置合理尺寸）；</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（7）人社专网、免费</w:t>
            </w:r>
            <w:r>
              <w:rPr>
                <w:rFonts w:hint="eastAsia" w:ascii="CESI仿宋-GB2312" w:hAnsi="CESI仿宋-GB2312" w:eastAsia="CESI仿宋-GB2312" w:cs="CESI仿宋-GB2312"/>
                <w:color w:val="auto"/>
                <w:kern w:val="0"/>
                <w:sz w:val="20"/>
                <w:szCs w:val="20"/>
                <w:highlight w:val="none"/>
                <w:lang w:eastAsia="zh-CN" w:bidi="ar"/>
              </w:rPr>
              <w:t>Wi-Fi</w:t>
            </w:r>
            <w:r>
              <w:rPr>
                <w:rFonts w:ascii="CESI仿宋-GB2312" w:hAnsi="CESI仿宋-GB2312" w:eastAsia="CESI仿宋-GB2312" w:cs="CESI仿宋-GB2312"/>
                <w:color w:val="auto"/>
                <w:kern w:val="0"/>
                <w:sz w:val="20"/>
                <w:szCs w:val="20"/>
                <w:highlight w:val="none"/>
                <w:lang w:bidi="ar"/>
              </w:rPr>
              <w:t>；</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（8）公示公告栏</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（9）音响（1套）</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2.求职服务：</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（10）求职招聘信息发布大屏（或可触摸查询信息大屏）</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（11）求职招聘自助服务机；</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（12）资料取阅架</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（13）开设洽谈、面试区等，配套桌椅设备等（尺寸、款式、数量根据场地情况进行配备设置）；</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3.便民服务：</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（14）等候休息桌椅（连排不锈钢椅子不少于3套，可容纳9人以上）</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t>（因场地空间设置）</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（15）室内空调</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（16）自助饮水机或茶吧机（配一次性水杯）</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4.爱心服务设备：</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（17）应急药箱、微波炉、储物柜、充电宝、手机充电、便民雨伞及老花镜等；</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5.安全防护：</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（18）监控设备（数量视场地情况配备，确保监控全覆盖）；</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（19）灭火器（不少于2支</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t>视场地情况配置）</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（20）反恐防暴装备</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t>数量视场地情况配备</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t>。</w:t>
            </w:r>
          </w:p>
        </w:tc>
        <w:tc>
          <w:tcPr>
            <w:tcW w:w="1838" w:type="dxa"/>
            <w:tcBorders>
              <w:top w:val="nil"/>
              <w:left w:val="nil"/>
              <w:bottom w:val="single" w:color="auto" w:sz="4" w:space="0"/>
              <w:right w:val="single" w:color="auto" w:sz="4" w:space="0"/>
            </w:tcBorders>
            <w:shd w:val="clear" w:color="auto" w:fill="auto"/>
            <w:vAlign w:val="center"/>
          </w:tcPr>
          <w:p w14:paraId="25B9361D">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根据需要增设有关设施设备，包括但不限于：</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1.自助服务设备：招聘直播机、智能AI招聘设备等；</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2.增设区域配套设施：设有职业培训区（创业指导区）、线上直播区、视频面试区以及24小时人社自助服务区等所需桌椅、设施设备等。</w:t>
            </w:r>
          </w:p>
        </w:tc>
      </w:tr>
      <w:tr w14:paraId="63107D74">
        <w:tblPrEx>
          <w:tblCellMar>
            <w:top w:w="0" w:type="dxa"/>
            <w:left w:w="108" w:type="dxa"/>
            <w:bottom w:w="0" w:type="dxa"/>
            <w:right w:w="108" w:type="dxa"/>
          </w:tblCellMar>
        </w:tblPrEx>
        <w:trPr>
          <w:trHeight w:val="960" w:hRule="atLeast"/>
        </w:trPr>
        <w:tc>
          <w:tcPr>
            <w:tcW w:w="574" w:type="dxa"/>
            <w:vMerge w:val="restart"/>
            <w:tcBorders>
              <w:top w:val="nil"/>
              <w:left w:val="single" w:color="auto" w:sz="4" w:space="0"/>
              <w:bottom w:val="single" w:color="auto" w:sz="4" w:space="0"/>
              <w:right w:val="single" w:color="auto" w:sz="4" w:space="0"/>
            </w:tcBorders>
            <w:shd w:val="clear" w:color="auto" w:fill="auto"/>
            <w:vAlign w:val="center"/>
          </w:tcPr>
          <w:p w14:paraId="220A3051">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3</w:t>
            </w:r>
          </w:p>
        </w:tc>
        <w:tc>
          <w:tcPr>
            <w:tcW w:w="830" w:type="dxa"/>
            <w:vMerge w:val="restart"/>
            <w:tcBorders>
              <w:top w:val="nil"/>
              <w:left w:val="single" w:color="auto" w:sz="4" w:space="0"/>
              <w:bottom w:val="single" w:color="auto" w:sz="4" w:space="0"/>
              <w:right w:val="single" w:color="auto" w:sz="4" w:space="0"/>
            </w:tcBorders>
            <w:shd w:val="clear" w:color="auto" w:fill="auto"/>
            <w:vAlign w:val="center"/>
          </w:tcPr>
          <w:p w14:paraId="7BEC6432">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有服务团队</w:t>
            </w:r>
          </w:p>
        </w:tc>
        <w:tc>
          <w:tcPr>
            <w:tcW w:w="2017" w:type="dxa"/>
            <w:vMerge w:val="restart"/>
            <w:tcBorders>
              <w:top w:val="nil"/>
              <w:left w:val="single" w:color="auto" w:sz="4" w:space="0"/>
              <w:bottom w:val="single" w:color="auto" w:sz="4" w:space="0"/>
              <w:right w:val="single" w:color="auto" w:sz="4" w:space="0"/>
            </w:tcBorders>
            <w:shd w:val="clear" w:color="auto" w:fill="auto"/>
            <w:vAlign w:val="center"/>
          </w:tcPr>
          <w:p w14:paraId="36CCCB06">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配备专业的运营队伍，熟悉就业政策和业务流程，在购买服务方和属地的监督指导下充分实现服务要求</w:t>
            </w:r>
          </w:p>
        </w:tc>
        <w:tc>
          <w:tcPr>
            <w:tcW w:w="5068" w:type="dxa"/>
            <w:tcBorders>
              <w:top w:val="nil"/>
              <w:left w:val="nil"/>
              <w:bottom w:val="single" w:color="auto" w:sz="4" w:space="0"/>
              <w:right w:val="single" w:color="auto" w:sz="4" w:space="0"/>
            </w:tcBorders>
            <w:shd w:val="clear" w:color="auto" w:fill="auto"/>
            <w:vAlign w:val="center"/>
          </w:tcPr>
          <w:p w14:paraId="69957E91">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1.第一站长：当地党委政府或所属机构安排1名在职在编干部负责服务站的日常联络和监督指导工作；</w:t>
            </w:r>
          </w:p>
        </w:tc>
        <w:tc>
          <w:tcPr>
            <w:tcW w:w="1838" w:type="dxa"/>
            <w:vMerge w:val="restart"/>
            <w:tcBorders>
              <w:top w:val="nil"/>
              <w:left w:val="single" w:color="auto" w:sz="4" w:space="0"/>
              <w:bottom w:val="single" w:color="auto" w:sz="4" w:space="0"/>
              <w:right w:val="single" w:color="auto" w:sz="4" w:space="0"/>
            </w:tcBorders>
            <w:shd w:val="clear" w:color="auto" w:fill="auto"/>
            <w:vAlign w:val="center"/>
          </w:tcPr>
          <w:p w14:paraId="27257544">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运营机构在履行购买服务要求的基础上，可根据需要增加人员配备或管理运营力量。</w:t>
            </w:r>
          </w:p>
        </w:tc>
      </w:tr>
      <w:tr w14:paraId="29CB7BC9">
        <w:tblPrEx>
          <w:tblCellMar>
            <w:top w:w="0" w:type="dxa"/>
            <w:left w:w="108" w:type="dxa"/>
            <w:bottom w:w="0" w:type="dxa"/>
            <w:right w:w="108" w:type="dxa"/>
          </w:tblCellMar>
        </w:tblPrEx>
        <w:trPr>
          <w:trHeight w:val="699" w:hRule="atLeast"/>
        </w:trPr>
        <w:tc>
          <w:tcPr>
            <w:tcW w:w="574" w:type="dxa"/>
            <w:vMerge w:val="continue"/>
            <w:tcBorders>
              <w:top w:val="nil"/>
              <w:left w:val="single" w:color="auto" w:sz="4" w:space="0"/>
              <w:bottom w:val="single" w:color="auto" w:sz="4" w:space="0"/>
              <w:right w:val="single" w:color="auto" w:sz="4" w:space="0"/>
            </w:tcBorders>
            <w:shd w:val="clear" w:color="auto" w:fill="auto"/>
            <w:vAlign w:val="center"/>
          </w:tcPr>
          <w:p w14:paraId="0AA9BD7C">
            <w:pPr>
              <w:jc w:val="center"/>
              <w:rPr>
                <w:rFonts w:ascii="CESI仿宋-GB2312" w:hAnsi="CESI仿宋-GB2312" w:eastAsia="CESI仿宋-GB2312" w:cs="CESI仿宋-GB2312"/>
                <w:color w:val="auto"/>
                <w:sz w:val="20"/>
                <w:szCs w:val="20"/>
                <w:highlight w:val="none"/>
              </w:rPr>
            </w:pPr>
          </w:p>
        </w:tc>
        <w:tc>
          <w:tcPr>
            <w:tcW w:w="830" w:type="dxa"/>
            <w:vMerge w:val="continue"/>
            <w:tcBorders>
              <w:top w:val="nil"/>
              <w:left w:val="single" w:color="auto" w:sz="4" w:space="0"/>
              <w:bottom w:val="single" w:color="auto" w:sz="4" w:space="0"/>
              <w:right w:val="single" w:color="auto" w:sz="4" w:space="0"/>
            </w:tcBorders>
            <w:shd w:val="clear" w:color="auto" w:fill="auto"/>
            <w:vAlign w:val="center"/>
          </w:tcPr>
          <w:p w14:paraId="2CD6F891">
            <w:pPr>
              <w:jc w:val="center"/>
              <w:rPr>
                <w:rFonts w:ascii="CESI仿宋-GB2312" w:hAnsi="CESI仿宋-GB2312" w:eastAsia="CESI仿宋-GB2312" w:cs="CESI仿宋-GB2312"/>
                <w:color w:val="auto"/>
                <w:sz w:val="20"/>
                <w:szCs w:val="20"/>
                <w:highlight w:val="none"/>
              </w:rPr>
            </w:pPr>
          </w:p>
        </w:tc>
        <w:tc>
          <w:tcPr>
            <w:tcW w:w="2017" w:type="dxa"/>
            <w:vMerge w:val="continue"/>
            <w:tcBorders>
              <w:top w:val="nil"/>
              <w:left w:val="single" w:color="auto" w:sz="4" w:space="0"/>
              <w:bottom w:val="single" w:color="auto" w:sz="4" w:space="0"/>
              <w:right w:val="single" w:color="auto" w:sz="4" w:space="0"/>
            </w:tcBorders>
            <w:shd w:val="clear" w:color="auto" w:fill="auto"/>
            <w:vAlign w:val="center"/>
          </w:tcPr>
          <w:p w14:paraId="4E0AA732">
            <w:pPr>
              <w:jc w:val="center"/>
              <w:rPr>
                <w:rFonts w:ascii="CESI仿宋-GB2312" w:hAnsi="CESI仿宋-GB2312" w:eastAsia="CESI仿宋-GB2312" w:cs="CESI仿宋-GB2312"/>
                <w:color w:val="auto"/>
                <w:sz w:val="20"/>
                <w:szCs w:val="20"/>
                <w:highlight w:val="none"/>
              </w:rPr>
            </w:pPr>
          </w:p>
        </w:tc>
        <w:tc>
          <w:tcPr>
            <w:tcW w:w="5068" w:type="dxa"/>
            <w:tcBorders>
              <w:top w:val="nil"/>
              <w:left w:val="nil"/>
              <w:bottom w:val="single" w:color="auto" w:sz="4" w:space="0"/>
              <w:right w:val="single" w:color="auto" w:sz="4" w:space="0"/>
            </w:tcBorders>
            <w:shd w:val="clear" w:color="auto" w:fill="auto"/>
            <w:vAlign w:val="center"/>
          </w:tcPr>
          <w:p w14:paraId="09BCFED0">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2.站长：运营机构设置有专门的驻站负责人，对服务站日常运营负责；</w:t>
            </w:r>
          </w:p>
        </w:tc>
        <w:tc>
          <w:tcPr>
            <w:tcW w:w="1838" w:type="dxa"/>
            <w:vMerge w:val="continue"/>
            <w:tcBorders>
              <w:top w:val="nil"/>
              <w:left w:val="single" w:color="auto" w:sz="4" w:space="0"/>
              <w:bottom w:val="single" w:color="auto" w:sz="4" w:space="0"/>
              <w:right w:val="single" w:color="auto" w:sz="4" w:space="0"/>
            </w:tcBorders>
            <w:shd w:val="clear" w:color="auto" w:fill="auto"/>
            <w:vAlign w:val="center"/>
          </w:tcPr>
          <w:p w14:paraId="32881647">
            <w:pPr>
              <w:jc w:val="left"/>
              <w:rPr>
                <w:rFonts w:ascii="CESI仿宋-GB2312" w:hAnsi="CESI仿宋-GB2312" w:eastAsia="CESI仿宋-GB2312" w:cs="CESI仿宋-GB2312"/>
                <w:color w:val="auto"/>
                <w:sz w:val="20"/>
                <w:szCs w:val="20"/>
                <w:highlight w:val="none"/>
              </w:rPr>
            </w:pPr>
          </w:p>
        </w:tc>
      </w:tr>
      <w:tr w14:paraId="61C58B93">
        <w:tblPrEx>
          <w:tblCellMar>
            <w:top w:w="0" w:type="dxa"/>
            <w:left w:w="108" w:type="dxa"/>
            <w:bottom w:w="0" w:type="dxa"/>
            <w:right w:w="108" w:type="dxa"/>
          </w:tblCellMar>
        </w:tblPrEx>
        <w:trPr>
          <w:trHeight w:val="519" w:hRule="atLeast"/>
        </w:trPr>
        <w:tc>
          <w:tcPr>
            <w:tcW w:w="574" w:type="dxa"/>
            <w:vMerge w:val="continue"/>
            <w:tcBorders>
              <w:top w:val="nil"/>
              <w:left w:val="single" w:color="auto" w:sz="4" w:space="0"/>
              <w:bottom w:val="single" w:color="auto" w:sz="4" w:space="0"/>
              <w:right w:val="single" w:color="auto" w:sz="4" w:space="0"/>
            </w:tcBorders>
            <w:shd w:val="clear" w:color="auto" w:fill="auto"/>
            <w:vAlign w:val="center"/>
          </w:tcPr>
          <w:p w14:paraId="7E588743">
            <w:pPr>
              <w:jc w:val="center"/>
              <w:rPr>
                <w:rFonts w:ascii="CESI仿宋-GB2312" w:hAnsi="CESI仿宋-GB2312" w:eastAsia="CESI仿宋-GB2312" w:cs="CESI仿宋-GB2312"/>
                <w:color w:val="auto"/>
                <w:sz w:val="20"/>
                <w:szCs w:val="20"/>
                <w:highlight w:val="none"/>
              </w:rPr>
            </w:pPr>
          </w:p>
        </w:tc>
        <w:tc>
          <w:tcPr>
            <w:tcW w:w="830" w:type="dxa"/>
            <w:vMerge w:val="continue"/>
            <w:tcBorders>
              <w:top w:val="nil"/>
              <w:left w:val="single" w:color="auto" w:sz="4" w:space="0"/>
              <w:bottom w:val="single" w:color="auto" w:sz="4" w:space="0"/>
              <w:right w:val="single" w:color="auto" w:sz="4" w:space="0"/>
            </w:tcBorders>
            <w:shd w:val="clear" w:color="auto" w:fill="auto"/>
            <w:vAlign w:val="center"/>
          </w:tcPr>
          <w:p w14:paraId="254A0CDA">
            <w:pPr>
              <w:jc w:val="center"/>
              <w:rPr>
                <w:rFonts w:ascii="CESI仿宋-GB2312" w:hAnsi="CESI仿宋-GB2312" w:eastAsia="CESI仿宋-GB2312" w:cs="CESI仿宋-GB2312"/>
                <w:color w:val="auto"/>
                <w:sz w:val="20"/>
                <w:szCs w:val="20"/>
                <w:highlight w:val="none"/>
              </w:rPr>
            </w:pPr>
          </w:p>
        </w:tc>
        <w:tc>
          <w:tcPr>
            <w:tcW w:w="2017" w:type="dxa"/>
            <w:vMerge w:val="continue"/>
            <w:tcBorders>
              <w:top w:val="nil"/>
              <w:left w:val="single" w:color="auto" w:sz="4" w:space="0"/>
              <w:bottom w:val="single" w:color="auto" w:sz="4" w:space="0"/>
              <w:right w:val="single" w:color="auto" w:sz="4" w:space="0"/>
            </w:tcBorders>
            <w:shd w:val="clear" w:color="auto" w:fill="auto"/>
            <w:vAlign w:val="center"/>
          </w:tcPr>
          <w:p w14:paraId="24DBD63F">
            <w:pPr>
              <w:jc w:val="center"/>
              <w:rPr>
                <w:rFonts w:ascii="CESI仿宋-GB2312" w:hAnsi="CESI仿宋-GB2312" w:eastAsia="CESI仿宋-GB2312" w:cs="CESI仿宋-GB2312"/>
                <w:color w:val="auto"/>
                <w:sz w:val="20"/>
                <w:szCs w:val="20"/>
                <w:highlight w:val="none"/>
              </w:rPr>
            </w:pPr>
          </w:p>
        </w:tc>
        <w:tc>
          <w:tcPr>
            <w:tcW w:w="5068" w:type="dxa"/>
            <w:tcBorders>
              <w:top w:val="nil"/>
              <w:left w:val="nil"/>
              <w:bottom w:val="single" w:color="auto" w:sz="4" w:space="0"/>
              <w:right w:val="single" w:color="auto" w:sz="4" w:space="0"/>
            </w:tcBorders>
            <w:shd w:val="clear" w:color="auto" w:fill="auto"/>
            <w:vAlign w:val="center"/>
          </w:tcPr>
          <w:p w14:paraId="20B6FA91">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3.服务专员：前台常态至少1人在岗服务。</w:t>
            </w:r>
          </w:p>
        </w:tc>
        <w:tc>
          <w:tcPr>
            <w:tcW w:w="1838" w:type="dxa"/>
            <w:vMerge w:val="continue"/>
            <w:tcBorders>
              <w:top w:val="nil"/>
              <w:left w:val="single" w:color="auto" w:sz="4" w:space="0"/>
              <w:bottom w:val="single" w:color="auto" w:sz="4" w:space="0"/>
              <w:right w:val="single" w:color="auto" w:sz="4" w:space="0"/>
            </w:tcBorders>
            <w:shd w:val="clear" w:color="auto" w:fill="auto"/>
            <w:vAlign w:val="center"/>
          </w:tcPr>
          <w:p w14:paraId="26B751B0">
            <w:pPr>
              <w:jc w:val="left"/>
              <w:rPr>
                <w:rFonts w:ascii="CESI仿宋-GB2312" w:hAnsi="CESI仿宋-GB2312" w:eastAsia="CESI仿宋-GB2312" w:cs="CESI仿宋-GB2312"/>
                <w:color w:val="auto"/>
                <w:sz w:val="20"/>
                <w:szCs w:val="20"/>
                <w:highlight w:val="none"/>
              </w:rPr>
            </w:pPr>
          </w:p>
        </w:tc>
      </w:tr>
      <w:tr w14:paraId="7777940E">
        <w:tblPrEx>
          <w:tblCellMar>
            <w:top w:w="0" w:type="dxa"/>
            <w:left w:w="108" w:type="dxa"/>
            <w:bottom w:w="0" w:type="dxa"/>
            <w:right w:w="108" w:type="dxa"/>
          </w:tblCellMar>
        </w:tblPrEx>
        <w:trPr>
          <w:trHeight w:val="720" w:hRule="atLeast"/>
        </w:trPr>
        <w:tc>
          <w:tcPr>
            <w:tcW w:w="574" w:type="dxa"/>
            <w:vMerge w:val="restart"/>
            <w:tcBorders>
              <w:top w:val="nil"/>
              <w:left w:val="single" w:color="auto" w:sz="4" w:space="0"/>
              <w:bottom w:val="single" w:color="auto" w:sz="4" w:space="0"/>
              <w:right w:val="single" w:color="auto" w:sz="4" w:space="0"/>
            </w:tcBorders>
            <w:shd w:val="clear" w:color="auto" w:fill="auto"/>
            <w:vAlign w:val="center"/>
          </w:tcPr>
          <w:p w14:paraId="728880E8">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4</w:t>
            </w:r>
          </w:p>
        </w:tc>
        <w:tc>
          <w:tcPr>
            <w:tcW w:w="830" w:type="dxa"/>
            <w:vMerge w:val="restart"/>
            <w:tcBorders>
              <w:top w:val="nil"/>
              <w:left w:val="single" w:color="auto" w:sz="4" w:space="0"/>
              <w:bottom w:val="single" w:color="auto" w:sz="4" w:space="0"/>
              <w:right w:val="single" w:color="auto" w:sz="4" w:space="0"/>
            </w:tcBorders>
            <w:shd w:val="clear" w:color="auto" w:fill="auto"/>
            <w:vAlign w:val="center"/>
          </w:tcPr>
          <w:p w14:paraId="79C643CE">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有服务标识</w:t>
            </w:r>
          </w:p>
        </w:tc>
        <w:tc>
          <w:tcPr>
            <w:tcW w:w="2017" w:type="dxa"/>
            <w:vMerge w:val="restart"/>
            <w:tcBorders>
              <w:top w:val="nil"/>
              <w:left w:val="single" w:color="auto" w:sz="4" w:space="0"/>
              <w:bottom w:val="single" w:color="auto" w:sz="4" w:space="0"/>
              <w:right w:val="single" w:color="auto" w:sz="4" w:space="0"/>
            </w:tcBorders>
            <w:shd w:val="clear" w:color="auto" w:fill="auto"/>
            <w:vAlign w:val="center"/>
          </w:tcPr>
          <w:p w14:paraId="46243C08">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统一命名规则、统一视觉识别，统一服务清单、统一制度规范</w:t>
            </w:r>
          </w:p>
        </w:tc>
        <w:tc>
          <w:tcPr>
            <w:tcW w:w="5068" w:type="dxa"/>
            <w:tcBorders>
              <w:top w:val="nil"/>
              <w:left w:val="nil"/>
              <w:bottom w:val="single" w:color="auto" w:sz="4" w:space="0"/>
              <w:right w:val="single" w:color="auto" w:sz="4" w:space="0"/>
            </w:tcBorders>
            <w:shd w:val="clear" w:color="auto" w:fill="auto"/>
            <w:vAlign w:val="center"/>
          </w:tcPr>
          <w:p w14:paraId="771FE508">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1.使用统一的标识标牌字体和徽标图案，室内装修以蓝底白色为主基调，形成整洁统一的视觉识别效果</w:t>
            </w:r>
            <w:r>
              <w:rPr>
                <w:rFonts w:hint="eastAsia" w:ascii="CESI仿宋-GB2312" w:hAnsi="CESI仿宋-GB2312" w:eastAsia="CESI仿宋-GB2312" w:cs="CESI仿宋-GB2312"/>
                <w:color w:val="auto"/>
                <w:kern w:val="0"/>
                <w:sz w:val="20"/>
                <w:szCs w:val="20"/>
                <w:highlight w:val="none"/>
                <w:lang w:eastAsia="zh-CN" w:bidi="ar"/>
              </w:rPr>
              <w:t>；</w:t>
            </w:r>
          </w:p>
        </w:tc>
        <w:tc>
          <w:tcPr>
            <w:tcW w:w="1838" w:type="dxa"/>
            <w:vMerge w:val="restart"/>
            <w:tcBorders>
              <w:top w:val="nil"/>
              <w:left w:val="single" w:color="auto" w:sz="4" w:space="0"/>
              <w:bottom w:val="single" w:color="auto" w:sz="4" w:space="0"/>
              <w:right w:val="single" w:color="auto" w:sz="4" w:space="0"/>
            </w:tcBorders>
            <w:shd w:val="clear" w:color="auto" w:fill="auto"/>
            <w:vAlign w:val="center"/>
          </w:tcPr>
          <w:p w14:paraId="1DA253DA">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5248A26F">
        <w:tblPrEx>
          <w:tblCellMar>
            <w:top w:w="0" w:type="dxa"/>
            <w:left w:w="108" w:type="dxa"/>
            <w:bottom w:w="0" w:type="dxa"/>
            <w:right w:w="108" w:type="dxa"/>
          </w:tblCellMar>
        </w:tblPrEx>
        <w:trPr>
          <w:trHeight w:val="861" w:hRule="atLeast"/>
        </w:trPr>
        <w:tc>
          <w:tcPr>
            <w:tcW w:w="574" w:type="dxa"/>
            <w:vMerge w:val="continue"/>
            <w:tcBorders>
              <w:top w:val="nil"/>
              <w:left w:val="single" w:color="auto" w:sz="4" w:space="0"/>
              <w:bottom w:val="single" w:color="auto" w:sz="4" w:space="0"/>
              <w:right w:val="single" w:color="auto" w:sz="4" w:space="0"/>
            </w:tcBorders>
            <w:shd w:val="clear" w:color="auto" w:fill="auto"/>
            <w:vAlign w:val="center"/>
          </w:tcPr>
          <w:p w14:paraId="4177D053">
            <w:pPr>
              <w:jc w:val="center"/>
              <w:rPr>
                <w:rFonts w:ascii="CESI仿宋-GB2312" w:hAnsi="CESI仿宋-GB2312" w:eastAsia="CESI仿宋-GB2312" w:cs="CESI仿宋-GB2312"/>
                <w:color w:val="auto"/>
                <w:sz w:val="20"/>
                <w:szCs w:val="20"/>
                <w:highlight w:val="none"/>
              </w:rPr>
            </w:pPr>
          </w:p>
        </w:tc>
        <w:tc>
          <w:tcPr>
            <w:tcW w:w="830" w:type="dxa"/>
            <w:vMerge w:val="continue"/>
            <w:tcBorders>
              <w:top w:val="nil"/>
              <w:left w:val="single" w:color="auto" w:sz="4" w:space="0"/>
              <w:bottom w:val="single" w:color="auto" w:sz="4" w:space="0"/>
              <w:right w:val="single" w:color="auto" w:sz="4" w:space="0"/>
            </w:tcBorders>
            <w:shd w:val="clear" w:color="auto" w:fill="auto"/>
            <w:vAlign w:val="center"/>
          </w:tcPr>
          <w:p w14:paraId="2C7FE814">
            <w:pPr>
              <w:jc w:val="center"/>
              <w:rPr>
                <w:rFonts w:ascii="CESI仿宋-GB2312" w:hAnsi="CESI仿宋-GB2312" w:eastAsia="CESI仿宋-GB2312" w:cs="CESI仿宋-GB2312"/>
                <w:color w:val="auto"/>
                <w:sz w:val="20"/>
                <w:szCs w:val="20"/>
                <w:highlight w:val="none"/>
              </w:rPr>
            </w:pPr>
          </w:p>
        </w:tc>
        <w:tc>
          <w:tcPr>
            <w:tcW w:w="2017" w:type="dxa"/>
            <w:vMerge w:val="continue"/>
            <w:tcBorders>
              <w:top w:val="nil"/>
              <w:left w:val="single" w:color="auto" w:sz="4" w:space="0"/>
              <w:bottom w:val="single" w:color="auto" w:sz="4" w:space="0"/>
              <w:right w:val="single" w:color="auto" w:sz="4" w:space="0"/>
            </w:tcBorders>
            <w:shd w:val="clear" w:color="auto" w:fill="auto"/>
            <w:vAlign w:val="center"/>
          </w:tcPr>
          <w:p w14:paraId="41F71EA2">
            <w:pPr>
              <w:jc w:val="center"/>
              <w:rPr>
                <w:rFonts w:ascii="CESI仿宋-GB2312" w:hAnsi="CESI仿宋-GB2312" w:eastAsia="CESI仿宋-GB2312" w:cs="CESI仿宋-GB2312"/>
                <w:color w:val="auto"/>
                <w:sz w:val="20"/>
                <w:szCs w:val="20"/>
                <w:highlight w:val="none"/>
              </w:rPr>
            </w:pPr>
          </w:p>
        </w:tc>
        <w:tc>
          <w:tcPr>
            <w:tcW w:w="5068" w:type="dxa"/>
            <w:tcBorders>
              <w:top w:val="nil"/>
              <w:left w:val="nil"/>
              <w:bottom w:val="single" w:color="auto" w:sz="4" w:space="0"/>
              <w:right w:val="single" w:color="auto" w:sz="4" w:space="0"/>
            </w:tcBorders>
            <w:shd w:val="clear" w:color="auto" w:fill="auto"/>
            <w:vAlign w:val="center"/>
          </w:tcPr>
          <w:p w14:paraId="405EFEC0">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2.门口上方按规范悬挂“就业服务站”牌匾；服务前台后方设置背景墙，明显标识“就业服务站”和主要服务内容；</w:t>
            </w:r>
          </w:p>
        </w:tc>
        <w:tc>
          <w:tcPr>
            <w:tcW w:w="1838" w:type="dxa"/>
            <w:vMerge w:val="continue"/>
            <w:tcBorders>
              <w:top w:val="nil"/>
              <w:left w:val="single" w:color="auto" w:sz="4" w:space="0"/>
              <w:bottom w:val="single" w:color="auto" w:sz="4" w:space="0"/>
              <w:right w:val="single" w:color="auto" w:sz="4" w:space="0"/>
            </w:tcBorders>
            <w:shd w:val="clear" w:color="auto" w:fill="auto"/>
            <w:vAlign w:val="center"/>
          </w:tcPr>
          <w:p w14:paraId="175FD3AF">
            <w:pPr>
              <w:jc w:val="center"/>
              <w:rPr>
                <w:rFonts w:ascii="CESI仿宋-GB2312" w:hAnsi="CESI仿宋-GB2312" w:eastAsia="CESI仿宋-GB2312" w:cs="CESI仿宋-GB2312"/>
                <w:color w:val="auto"/>
                <w:sz w:val="20"/>
                <w:szCs w:val="20"/>
                <w:highlight w:val="none"/>
              </w:rPr>
            </w:pPr>
          </w:p>
        </w:tc>
      </w:tr>
      <w:tr w14:paraId="43852B2C">
        <w:tblPrEx>
          <w:tblCellMar>
            <w:top w:w="0" w:type="dxa"/>
            <w:left w:w="108" w:type="dxa"/>
            <w:bottom w:w="0" w:type="dxa"/>
            <w:right w:w="108" w:type="dxa"/>
          </w:tblCellMar>
        </w:tblPrEx>
        <w:trPr>
          <w:trHeight w:val="720" w:hRule="atLeast"/>
        </w:trPr>
        <w:tc>
          <w:tcPr>
            <w:tcW w:w="574" w:type="dxa"/>
            <w:vMerge w:val="continue"/>
            <w:tcBorders>
              <w:top w:val="nil"/>
              <w:left w:val="single" w:color="auto" w:sz="4" w:space="0"/>
              <w:bottom w:val="single" w:color="auto" w:sz="4" w:space="0"/>
              <w:right w:val="single" w:color="auto" w:sz="4" w:space="0"/>
            </w:tcBorders>
            <w:shd w:val="clear" w:color="auto" w:fill="auto"/>
            <w:vAlign w:val="center"/>
          </w:tcPr>
          <w:p w14:paraId="478C6F90">
            <w:pPr>
              <w:jc w:val="center"/>
              <w:rPr>
                <w:rFonts w:ascii="CESI仿宋-GB2312" w:hAnsi="CESI仿宋-GB2312" w:eastAsia="CESI仿宋-GB2312" w:cs="CESI仿宋-GB2312"/>
                <w:color w:val="auto"/>
                <w:sz w:val="20"/>
                <w:szCs w:val="20"/>
                <w:highlight w:val="none"/>
              </w:rPr>
            </w:pPr>
          </w:p>
        </w:tc>
        <w:tc>
          <w:tcPr>
            <w:tcW w:w="830" w:type="dxa"/>
            <w:vMerge w:val="continue"/>
            <w:tcBorders>
              <w:top w:val="nil"/>
              <w:left w:val="single" w:color="auto" w:sz="4" w:space="0"/>
              <w:bottom w:val="single" w:color="auto" w:sz="4" w:space="0"/>
              <w:right w:val="single" w:color="auto" w:sz="4" w:space="0"/>
            </w:tcBorders>
            <w:shd w:val="clear" w:color="auto" w:fill="auto"/>
            <w:vAlign w:val="center"/>
          </w:tcPr>
          <w:p w14:paraId="71A0CF16">
            <w:pPr>
              <w:jc w:val="center"/>
              <w:rPr>
                <w:rFonts w:ascii="CESI仿宋-GB2312" w:hAnsi="CESI仿宋-GB2312" w:eastAsia="CESI仿宋-GB2312" w:cs="CESI仿宋-GB2312"/>
                <w:color w:val="auto"/>
                <w:sz w:val="20"/>
                <w:szCs w:val="20"/>
                <w:highlight w:val="none"/>
              </w:rPr>
            </w:pPr>
          </w:p>
        </w:tc>
        <w:tc>
          <w:tcPr>
            <w:tcW w:w="2017" w:type="dxa"/>
            <w:vMerge w:val="continue"/>
            <w:tcBorders>
              <w:top w:val="nil"/>
              <w:left w:val="single" w:color="auto" w:sz="4" w:space="0"/>
              <w:bottom w:val="single" w:color="auto" w:sz="4" w:space="0"/>
              <w:right w:val="single" w:color="auto" w:sz="4" w:space="0"/>
            </w:tcBorders>
            <w:shd w:val="clear" w:color="auto" w:fill="auto"/>
            <w:vAlign w:val="center"/>
          </w:tcPr>
          <w:p w14:paraId="41356EC9">
            <w:pPr>
              <w:jc w:val="center"/>
              <w:rPr>
                <w:rFonts w:ascii="CESI仿宋-GB2312" w:hAnsi="CESI仿宋-GB2312" w:eastAsia="CESI仿宋-GB2312" w:cs="CESI仿宋-GB2312"/>
                <w:color w:val="auto"/>
                <w:sz w:val="20"/>
                <w:szCs w:val="20"/>
                <w:highlight w:val="none"/>
              </w:rPr>
            </w:pPr>
          </w:p>
        </w:tc>
        <w:tc>
          <w:tcPr>
            <w:tcW w:w="5068" w:type="dxa"/>
            <w:tcBorders>
              <w:top w:val="nil"/>
              <w:left w:val="nil"/>
              <w:bottom w:val="single" w:color="auto" w:sz="4" w:space="0"/>
              <w:right w:val="single" w:color="auto" w:sz="4" w:space="0"/>
            </w:tcBorders>
            <w:shd w:val="clear" w:color="auto" w:fill="auto"/>
            <w:vAlign w:val="center"/>
          </w:tcPr>
          <w:p w14:paraId="39E7EF29">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3.场所内专门张贴服务站简介、服务网点分布图等，张贴或悬挂服务事项清单，对各功能区域规范服务标识、标语和服务指引；</w:t>
            </w:r>
          </w:p>
        </w:tc>
        <w:tc>
          <w:tcPr>
            <w:tcW w:w="1838" w:type="dxa"/>
            <w:vMerge w:val="continue"/>
            <w:tcBorders>
              <w:top w:val="nil"/>
              <w:left w:val="single" w:color="auto" w:sz="4" w:space="0"/>
              <w:bottom w:val="single" w:color="auto" w:sz="4" w:space="0"/>
              <w:right w:val="single" w:color="auto" w:sz="4" w:space="0"/>
            </w:tcBorders>
            <w:shd w:val="clear" w:color="auto" w:fill="auto"/>
            <w:vAlign w:val="center"/>
          </w:tcPr>
          <w:p w14:paraId="11CEBF14">
            <w:pPr>
              <w:jc w:val="center"/>
              <w:rPr>
                <w:rFonts w:ascii="CESI仿宋-GB2312" w:hAnsi="CESI仿宋-GB2312" w:eastAsia="CESI仿宋-GB2312" w:cs="CESI仿宋-GB2312"/>
                <w:color w:val="auto"/>
                <w:sz w:val="20"/>
                <w:szCs w:val="20"/>
                <w:highlight w:val="none"/>
              </w:rPr>
            </w:pPr>
          </w:p>
        </w:tc>
      </w:tr>
      <w:tr w14:paraId="1A6133FA">
        <w:tblPrEx>
          <w:tblCellMar>
            <w:top w:w="0" w:type="dxa"/>
            <w:left w:w="108" w:type="dxa"/>
            <w:bottom w:w="0" w:type="dxa"/>
            <w:right w:w="108" w:type="dxa"/>
          </w:tblCellMar>
        </w:tblPrEx>
        <w:trPr>
          <w:trHeight w:val="621" w:hRule="atLeast"/>
        </w:trPr>
        <w:tc>
          <w:tcPr>
            <w:tcW w:w="574" w:type="dxa"/>
            <w:vMerge w:val="continue"/>
            <w:tcBorders>
              <w:top w:val="nil"/>
              <w:left w:val="single" w:color="auto" w:sz="4" w:space="0"/>
              <w:bottom w:val="single" w:color="auto" w:sz="4" w:space="0"/>
              <w:right w:val="single" w:color="auto" w:sz="4" w:space="0"/>
            </w:tcBorders>
            <w:shd w:val="clear" w:color="auto" w:fill="auto"/>
            <w:vAlign w:val="center"/>
          </w:tcPr>
          <w:p w14:paraId="66D606B5">
            <w:pPr>
              <w:jc w:val="center"/>
              <w:rPr>
                <w:rFonts w:ascii="CESI仿宋-GB2312" w:hAnsi="CESI仿宋-GB2312" w:eastAsia="CESI仿宋-GB2312" w:cs="CESI仿宋-GB2312"/>
                <w:color w:val="auto"/>
                <w:sz w:val="20"/>
                <w:szCs w:val="20"/>
                <w:highlight w:val="none"/>
              </w:rPr>
            </w:pPr>
          </w:p>
        </w:tc>
        <w:tc>
          <w:tcPr>
            <w:tcW w:w="830" w:type="dxa"/>
            <w:vMerge w:val="continue"/>
            <w:tcBorders>
              <w:top w:val="nil"/>
              <w:left w:val="single" w:color="auto" w:sz="4" w:space="0"/>
              <w:bottom w:val="single" w:color="auto" w:sz="4" w:space="0"/>
              <w:right w:val="single" w:color="auto" w:sz="4" w:space="0"/>
            </w:tcBorders>
            <w:shd w:val="clear" w:color="auto" w:fill="auto"/>
            <w:vAlign w:val="center"/>
          </w:tcPr>
          <w:p w14:paraId="3BCC31C9">
            <w:pPr>
              <w:jc w:val="center"/>
              <w:rPr>
                <w:rFonts w:ascii="CESI仿宋-GB2312" w:hAnsi="CESI仿宋-GB2312" w:eastAsia="CESI仿宋-GB2312" w:cs="CESI仿宋-GB2312"/>
                <w:color w:val="auto"/>
                <w:sz w:val="20"/>
                <w:szCs w:val="20"/>
                <w:highlight w:val="none"/>
              </w:rPr>
            </w:pPr>
          </w:p>
        </w:tc>
        <w:tc>
          <w:tcPr>
            <w:tcW w:w="2017" w:type="dxa"/>
            <w:vMerge w:val="continue"/>
            <w:tcBorders>
              <w:top w:val="nil"/>
              <w:left w:val="single" w:color="auto" w:sz="4" w:space="0"/>
              <w:bottom w:val="single" w:color="auto" w:sz="4" w:space="0"/>
              <w:right w:val="single" w:color="auto" w:sz="4" w:space="0"/>
            </w:tcBorders>
            <w:shd w:val="clear" w:color="auto" w:fill="auto"/>
            <w:vAlign w:val="center"/>
          </w:tcPr>
          <w:p w14:paraId="239EB24E">
            <w:pPr>
              <w:jc w:val="center"/>
              <w:rPr>
                <w:rFonts w:ascii="CESI仿宋-GB2312" w:hAnsi="CESI仿宋-GB2312" w:eastAsia="CESI仿宋-GB2312" w:cs="CESI仿宋-GB2312"/>
                <w:color w:val="auto"/>
                <w:sz w:val="20"/>
                <w:szCs w:val="20"/>
                <w:highlight w:val="none"/>
              </w:rPr>
            </w:pPr>
          </w:p>
        </w:tc>
        <w:tc>
          <w:tcPr>
            <w:tcW w:w="5068" w:type="dxa"/>
            <w:tcBorders>
              <w:top w:val="nil"/>
              <w:left w:val="nil"/>
              <w:bottom w:val="single" w:color="auto" w:sz="4" w:space="0"/>
              <w:right w:val="single" w:color="auto" w:sz="4" w:space="0"/>
            </w:tcBorders>
            <w:shd w:val="clear" w:color="auto" w:fill="auto"/>
            <w:vAlign w:val="center"/>
          </w:tcPr>
          <w:p w14:paraId="1A2B1C5A">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4.服务场所门口张贴《服务时间》，实行服务时间告知和服务监督电话公开；</w:t>
            </w:r>
          </w:p>
        </w:tc>
        <w:tc>
          <w:tcPr>
            <w:tcW w:w="1838" w:type="dxa"/>
            <w:vMerge w:val="continue"/>
            <w:tcBorders>
              <w:top w:val="nil"/>
              <w:left w:val="single" w:color="auto" w:sz="4" w:space="0"/>
              <w:bottom w:val="single" w:color="auto" w:sz="4" w:space="0"/>
              <w:right w:val="single" w:color="auto" w:sz="4" w:space="0"/>
            </w:tcBorders>
            <w:shd w:val="clear" w:color="auto" w:fill="auto"/>
            <w:vAlign w:val="center"/>
          </w:tcPr>
          <w:p w14:paraId="02EB5D26">
            <w:pPr>
              <w:jc w:val="center"/>
              <w:rPr>
                <w:rFonts w:ascii="CESI仿宋-GB2312" w:hAnsi="CESI仿宋-GB2312" w:eastAsia="CESI仿宋-GB2312" w:cs="CESI仿宋-GB2312"/>
                <w:color w:val="auto"/>
                <w:sz w:val="20"/>
                <w:szCs w:val="20"/>
                <w:highlight w:val="none"/>
              </w:rPr>
            </w:pPr>
          </w:p>
        </w:tc>
      </w:tr>
      <w:tr w14:paraId="0BA4C931">
        <w:tblPrEx>
          <w:tblCellMar>
            <w:top w:w="0" w:type="dxa"/>
            <w:left w:w="108" w:type="dxa"/>
            <w:bottom w:w="0" w:type="dxa"/>
            <w:right w:w="108" w:type="dxa"/>
          </w:tblCellMar>
        </w:tblPrEx>
        <w:trPr>
          <w:trHeight w:val="921" w:hRule="atLeast"/>
        </w:trPr>
        <w:tc>
          <w:tcPr>
            <w:tcW w:w="574" w:type="dxa"/>
            <w:vMerge w:val="continue"/>
            <w:tcBorders>
              <w:top w:val="nil"/>
              <w:left w:val="single" w:color="auto" w:sz="4" w:space="0"/>
              <w:bottom w:val="single" w:color="auto" w:sz="4" w:space="0"/>
              <w:right w:val="single" w:color="auto" w:sz="4" w:space="0"/>
            </w:tcBorders>
            <w:shd w:val="clear" w:color="auto" w:fill="auto"/>
            <w:vAlign w:val="center"/>
          </w:tcPr>
          <w:p w14:paraId="1E13C801">
            <w:pPr>
              <w:jc w:val="center"/>
              <w:rPr>
                <w:rFonts w:ascii="CESI仿宋-GB2312" w:hAnsi="CESI仿宋-GB2312" w:eastAsia="CESI仿宋-GB2312" w:cs="CESI仿宋-GB2312"/>
                <w:color w:val="auto"/>
                <w:sz w:val="20"/>
                <w:szCs w:val="20"/>
                <w:highlight w:val="none"/>
              </w:rPr>
            </w:pPr>
          </w:p>
        </w:tc>
        <w:tc>
          <w:tcPr>
            <w:tcW w:w="830" w:type="dxa"/>
            <w:vMerge w:val="continue"/>
            <w:tcBorders>
              <w:top w:val="nil"/>
              <w:left w:val="single" w:color="auto" w:sz="4" w:space="0"/>
              <w:bottom w:val="single" w:color="auto" w:sz="4" w:space="0"/>
              <w:right w:val="single" w:color="auto" w:sz="4" w:space="0"/>
            </w:tcBorders>
            <w:shd w:val="clear" w:color="auto" w:fill="auto"/>
            <w:vAlign w:val="center"/>
          </w:tcPr>
          <w:p w14:paraId="77EC9218">
            <w:pPr>
              <w:jc w:val="center"/>
              <w:rPr>
                <w:rFonts w:ascii="CESI仿宋-GB2312" w:hAnsi="CESI仿宋-GB2312" w:eastAsia="CESI仿宋-GB2312" w:cs="CESI仿宋-GB2312"/>
                <w:color w:val="auto"/>
                <w:sz w:val="20"/>
                <w:szCs w:val="20"/>
                <w:highlight w:val="none"/>
              </w:rPr>
            </w:pPr>
          </w:p>
        </w:tc>
        <w:tc>
          <w:tcPr>
            <w:tcW w:w="2017" w:type="dxa"/>
            <w:vMerge w:val="continue"/>
            <w:tcBorders>
              <w:top w:val="nil"/>
              <w:left w:val="single" w:color="auto" w:sz="4" w:space="0"/>
              <w:bottom w:val="single" w:color="auto" w:sz="4" w:space="0"/>
              <w:right w:val="single" w:color="auto" w:sz="4" w:space="0"/>
            </w:tcBorders>
            <w:shd w:val="clear" w:color="auto" w:fill="auto"/>
            <w:vAlign w:val="center"/>
          </w:tcPr>
          <w:p w14:paraId="49ADAAB7">
            <w:pPr>
              <w:jc w:val="center"/>
              <w:rPr>
                <w:rFonts w:ascii="CESI仿宋-GB2312" w:hAnsi="CESI仿宋-GB2312" w:eastAsia="CESI仿宋-GB2312" w:cs="CESI仿宋-GB2312"/>
                <w:color w:val="auto"/>
                <w:sz w:val="20"/>
                <w:szCs w:val="20"/>
                <w:highlight w:val="none"/>
              </w:rPr>
            </w:pPr>
          </w:p>
        </w:tc>
        <w:tc>
          <w:tcPr>
            <w:tcW w:w="5068" w:type="dxa"/>
            <w:tcBorders>
              <w:top w:val="nil"/>
              <w:left w:val="nil"/>
              <w:bottom w:val="single" w:color="auto" w:sz="4" w:space="0"/>
              <w:right w:val="single" w:color="auto" w:sz="4" w:space="0"/>
            </w:tcBorders>
            <w:shd w:val="clear" w:color="auto" w:fill="auto"/>
            <w:vAlign w:val="center"/>
          </w:tcPr>
          <w:p w14:paraId="267AFC08">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5.服务场所内张贴《服务团队》，实行服务人员身份和电话公开；张贴《管理服务规范》</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t>公开服务要求，接受群众监督；</w:t>
            </w:r>
          </w:p>
        </w:tc>
        <w:tc>
          <w:tcPr>
            <w:tcW w:w="1838" w:type="dxa"/>
            <w:vMerge w:val="continue"/>
            <w:tcBorders>
              <w:top w:val="nil"/>
              <w:left w:val="single" w:color="auto" w:sz="4" w:space="0"/>
              <w:bottom w:val="single" w:color="auto" w:sz="4" w:space="0"/>
              <w:right w:val="single" w:color="auto" w:sz="4" w:space="0"/>
            </w:tcBorders>
            <w:shd w:val="clear" w:color="auto" w:fill="auto"/>
            <w:vAlign w:val="center"/>
          </w:tcPr>
          <w:p w14:paraId="572398AB">
            <w:pPr>
              <w:jc w:val="center"/>
              <w:rPr>
                <w:rFonts w:ascii="CESI仿宋-GB2312" w:hAnsi="CESI仿宋-GB2312" w:eastAsia="CESI仿宋-GB2312" w:cs="CESI仿宋-GB2312"/>
                <w:color w:val="auto"/>
                <w:sz w:val="20"/>
                <w:szCs w:val="20"/>
                <w:highlight w:val="none"/>
              </w:rPr>
            </w:pPr>
          </w:p>
        </w:tc>
      </w:tr>
      <w:tr w14:paraId="2771D906">
        <w:tblPrEx>
          <w:tblCellMar>
            <w:top w:w="0" w:type="dxa"/>
            <w:left w:w="108" w:type="dxa"/>
            <w:bottom w:w="0" w:type="dxa"/>
            <w:right w:w="108" w:type="dxa"/>
          </w:tblCellMar>
        </w:tblPrEx>
        <w:trPr>
          <w:trHeight w:val="840" w:hRule="atLeast"/>
        </w:trPr>
        <w:tc>
          <w:tcPr>
            <w:tcW w:w="574" w:type="dxa"/>
            <w:vMerge w:val="continue"/>
            <w:tcBorders>
              <w:top w:val="nil"/>
              <w:left w:val="single" w:color="auto" w:sz="4" w:space="0"/>
              <w:bottom w:val="single" w:color="auto" w:sz="4" w:space="0"/>
              <w:right w:val="single" w:color="auto" w:sz="4" w:space="0"/>
            </w:tcBorders>
            <w:shd w:val="clear" w:color="auto" w:fill="auto"/>
            <w:vAlign w:val="center"/>
          </w:tcPr>
          <w:p w14:paraId="4BC713F3">
            <w:pPr>
              <w:jc w:val="center"/>
              <w:rPr>
                <w:rFonts w:ascii="CESI仿宋-GB2312" w:hAnsi="CESI仿宋-GB2312" w:eastAsia="CESI仿宋-GB2312" w:cs="CESI仿宋-GB2312"/>
                <w:color w:val="auto"/>
                <w:sz w:val="20"/>
                <w:szCs w:val="20"/>
                <w:highlight w:val="none"/>
              </w:rPr>
            </w:pPr>
          </w:p>
        </w:tc>
        <w:tc>
          <w:tcPr>
            <w:tcW w:w="830" w:type="dxa"/>
            <w:vMerge w:val="continue"/>
            <w:tcBorders>
              <w:top w:val="nil"/>
              <w:left w:val="single" w:color="auto" w:sz="4" w:space="0"/>
              <w:bottom w:val="single" w:color="auto" w:sz="4" w:space="0"/>
              <w:right w:val="single" w:color="auto" w:sz="4" w:space="0"/>
            </w:tcBorders>
            <w:shd w:val="clear" w:color="auto" w:fill="auto"/>
            <w:vAlign w:val="center"/>
          </w:tcPr>
          <w:p w14:paraId="2F551F21">
            <w:pPr>
              <w:jc w:val="center"/>
              <w:rPr>
                <w:rFonts w:ascii="CESI仿宋-GB2312" w:hAnsi="CESI仿宋-GB2312" w:eastAsia="CESI仿宋-GB2312" w:cs="CESI仿宋-GB2312"/>
                <w:color w:val="auto"/>
                <w:sz w:val="20"/>
                <w:szCs w:val="20"/>
                <w:highlight w:val="none"/>
              </w:rPr>
            </w:pPr>
          </w:p>
        </w:tc>
        <w:tc>
          <w:tcPr>
            <w:tcW w:w="2017" w:type="dxa"/>
            <w:vMerge w:val="continue"/>
            <w:tcBorders>
              <w:top w:val="nil"/>
              <w:left w:val="single" w:color="auto" w:sz="4" w:space="0"/>
              <w:bottom w:val="single" w:color="auto" w:sz="4" w:space="0"/>
              <w:right w:val="single" w:color="auto" w:sz="4" w:space="0"/>
            </w:tcBorders>
            <w:shd w:val="clear" w:color="auto" w:fill="auto"/>
            <w:vAlign w:val="center"/>
          </w:tcPr>
          <w:p w14:paraId="6F980443">
            <w:pPr>
              <w:jc w:val="center"/>
              <w:rPr>
                <w:rFonts w:ascii="CESI仿宋-GB2312" w:hAnsi="CESI仿宋-GB2312" w:eastAsia="CESI仿宋-GB2312" w:cs="CESI仿宋-GB2312"/>
                <w:color w:val="auto"/>
                <w:sz w:val="20"/>
                <w:szCs w:val="20"/>
                <w:highlight w:val="none"/>
              </w:rPr>
            </w:pPr>
          </w:p>
        </w:tc>
        <w:tc>
          <w:tcPr>
            <w:tcW w:w="5068" w:type="dxa"/>
            <w:tcBorders>
              <w:top w:val="nil"/>
              <w:left w:val="nil"/>
              <w:bottom w:val="single" w:color="auto" w:sz="4" w:space="0"/>
              <w:right w:val="single" w:color="auto" w:sz="4" w:space="0"/>
            </w:tcBorders>
            <w:shd w:val="clear" w:color="auto" w:fill="auto"/>
            <w:vAlign w:val="center"/>
          </w:tcPr>
          <w:p w14:paraId="35E85EEC">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6.在显眼位置张贴服务二维码（包括指定或认可的就业服务平台小程序或APP的服务二维码），引导企业或群众直接线上业务登记或办理</w:t>
            </w:r>
            <w:r>
              <w:rPr>
                <w:rFonts w:hint="eastAsia" w:ascii="CESI仿宋-GB2312" w:hAnsi="CESI仿宋-GB2312" w:eastAsia="CESI仿宋-GB2312" w:cs="CESI仿宋-GB2312"/>
                <w:color w:val="auto"/>
                <w:kern w:val="0"/>
                <w:sz w:val="20"/>
                <w:szCs w:val="20"/>
                <w:highlight w:val="none"/>
                <w:lang w:eastAsia="zh-CN" w:bidi="ar"/>
              </w:rPr>
              <w:t>；</w:t>
            </w:r>
          </w:p>
        </w:tc>
        <w:tc>
          <w:tcPr>
            <w:tcW w:w="1838" w:type="dxa"/>
            <w:vMerge w:val="continue"/>
            <w:tcBorders>
              <w:top w:val="nil"/>
              <w:left w:val="single" w:color="auto" w:sz="4" w:space="0"/>
              <w:bottom w:val="single" w:color="auto" w:sz="4" w:space="0"/>
              <w:right w:val="single" w:color="auto" w:sz="4" w:space="0"/>
            </w:tcBorders>
            <w:shd w:val="clear" w:color="auto" w:fill="auto"/>
            <w:vAlign w:val="center"/>
          </w:tcPr>
          <w:p w14:paraId="2E8E62D2">
            <w:pPr>
              <w:jc w:val="center"/>
              <w:rPr>
                <w:rFonts w:ascii="CESI仿宋-GB2312" w:hAnsi="CESI仿宋-GB2312" w:eastAsia="CESI仿宋-GB2312" w:cs="CESI仿宋-GB2312"/>
                <w:color w:val="auto"/>
                <w:sz w:val="20"/>
                <w:szCs w:val="20"/>
                <w:highlight w:val="none"/>
              </w:rPr>
            </w:pPr>
          </w:p>
        </w:tc>
      </w:tr>
      <w:tr w14:paraId="75478014">
        <w:tblPrEx>
          <w:tblCellMar>
            <w:top w:w="0" w:type="dxa"/>
            <w:left w:w="108" w:type="dxa"/>
            <w:bottom w:w="0" w:type="dxa"/>
            <w:right w:w="108" w:type="dxa"/>
          </w:tblCellMar>
        </w:tblPrEx>
        <w:trPr>
          <w:trHeight w:val="480" w:hRule="atLeast"/>
        </w:trPr>
        <w:tc>
          <w:tcPr>
            <w:tcW w:w="574" w:type="dxa"/>
            <w:vMerge w:val="continue"/>
            <w:tcBorders>
              <w:top w:val="nil"/>
              <w:left w:val="single" w:color="auto" w:sz="4" w:space="0"/>
              <w:bottom w:val="single" w:color="auto" w:sz="4" w:space="0"/>
              <w:right w:val="single" w:color="auto" w:sz="4" w:space="0"/>
            </w:tcBorders>
            <w:shd w:val="clear" w:color="auto" w:fill="auto"/>
            <w:vAlign w:val="center"/>
          </w:tcPr>
          <w:p w14:paraId="559F80A3">
            <w:pPr>
              <w:jc w:val="center"/>
              <w:rPr>
                <w:rFonts w:ascii="CESI仿宋-GB2312" w:hAnsi="CESI仿宋-GB2312" w:eastAsia="CESI仿宋-GB2312" w:cs="CESI仿宋-GB2312"/>
                <w:color w:val="auto"/>
                <w:sz w:val="20"/>
                <w:szCs w:val="20"/>
                <w:highlight w:val="none"/>
              </w:rPr>
            </w:pPr>
          </w:p>
        </w:tc>
        <w:tc>
          <w:tcPr>
            <w:tcW w:w="830" w:type="dxa"/>
            <w:vMerge w:val="continue"/>
            <w:tcBorders>
              <w:top w:val="nil"/>
              <w:left w:val="single" w:color="auto" w:sz="4" w:space="0"/>
              <w:bottom w:val="single" w:color="auto" w:sz="4" w:space="0"/>
              <w:right w:val="single" w:color="auto" w:sz="4" w:space="0"/>
            </w:tcBorders>
            <w:shd w:val="clear" w:color="auto" w:fill="auto"/>
            <w:vAlign w:val="center"/>
          </w:tcPr>
          <w:p w14:paraId="6316D5AA">
            <w:pPr>
              <w:jc w:val="center"/>
              <w:rPr>
                <w:rFonts w:ascii="CESI仿宋-GB2312" w:hAnsi="CESI仿宋-GB2312" w:eastAsia="CESI仿宋-GB2312" w:cs="CESI仿宋-GB2312"/>
                <w:color w:val="auto"/>
                <w:sz w:val="20"/>
                <w:szCs w:val="20"/>
                <w:highlight w:val="none"/>
              </w:rPr>
            </w:pPr>
          </w:p>
        </w:tc>
        <w:tc>
          <w:tcPr>
            <w:tcW w:w="2017" w:type="dxa"/>
            <w:vMerge w:val="continue"/>
            <w:tcBorders>
              <w:top w:val="nil"/>
              <w:left w:val="single" w:color="auto" w:sz="4" w:space="0"/>
              <w:bottom w:val="single" w:color="auto" w:sz="4" w:space="0"/>
              <w:right w:val="single" w:color="auto" w:sz="4" w:space="0"/>
            </w:tcBorders>
            <w:shd w:val="clear" w:color="auto" w:fill="auto"/>
            <w:vAlign w:val="center"/>
          </w:tcPr>
          <w:p w14:paraId="7E0FBC89">
            <w:pPr>
              <w:jc w:val="center"/>
              <w:rPr>
                <w:rFonts w:ascii="CESI仿宋-GB2312" w:hAnsi="CESI仿宋-GB2312" w:eastAsia="CESI仿宋-GB2312" w:cs="CESI仿宋-GB2312"/>
                <w:color w:val="auto"/>
                <w:sz w:val="20"/>
                <w:szCs w:val="20"/>
                <w:highlight w:val="none"/>
              </w:rPr>
            </w:pPr>
          </w:p>
        </w:tc>
        <w:tc>
          <w:tcPr>
            <w:tcW w:w="5068" w:type="dxa"/>
            <w:tcBorders>
              <w:top w:val="nil"/>
              <w:left w:val="nil"/>
              <w:bottom w:val="single" w:color="auto" w:sz="4" w:space="0"/>
              <w:right w:val="single" w:color="auto" w:sz="4" w:space="0"/>
            </w:tcBorders>
            <w:shd w:val="clear" w:color="auto" w:fill="auto"/>
            <w:vAlign w:val="center"/>
          </w:tcPr>
          <w:p w14:paraId="3CC0D58C">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7.工作人员统一着装，配置统一的服务马甲或服务服装，配挂统一服务工牌。</w:t>
            </w:r>
          </w:p>
        </w:tc>
        <w:tc>
          <w:tcPr>
            <w:tcW w:w="1838" w:type="dxa"/>
            <w:vMerge w:val="continue"/>
            <w:tcBorders>
              <w:top w:val="nil"/>
              <w:left w:val="single" w:color="auto" w:sz="4" w:space="0"/>
              <w:bottom w:val="single" w:color="auto" w:sz="4" w:space="0"/>
              <w:right w:val="single" w:color="auto" w:sz="4" w:space="0"/>
            </w:tcBorders>
            <w:shd w:val="clear" w:color="auto" w:fill="auto"/>
            <w:vAlign w:val="center"/>
          </w:tcPr>
          <w:p w14:paraId="4CCD266A">
            <w:pPr>
              <w:jc w:val="center"/>
              <w:rPr>
                <w:rFonts w:ascii="CESI仿宋-GB2312" w:hAnsi="CESI仿宋-GB2312" w:eastAsia="CESI仿宋-GB2312" w:cs="CESI仿宋-GB2312"/>
                <w:color w:val="auto"/>
                <w:sz w:val="20"/>
                <w:szCs w:val="20"/>
                <w:highlight w:val="none"/>
              </w:rPr>
            </w:pPr>
          </w:p>
        </w:tc>
      </w:tr>
      <w:tr w14:paraId="34FDBD04">
        <w:tblPrEx>
          <w:tblCellMar>
            <w:top w:w="0" w:type="dxa"/>
            <w:left w:w="108" w:type="dxa"/>
            <w:bottom w:w="0" w:type="dxa"/>
            <w:right w:w="108" w:type="dxa"/>
          </w:tblCellMar>
        </w:tblPrEx>
        <w:trPr>
          <w:trHeight w:val="480" w:hRule="atLeast"/>
        </w:trPr>
        <w:tc>
          <w:tcPr>
            <w:tcW w:w="574" w:type="dxa"/>
            <w:vMerge w:val="restart"/>
            <w:tcBorders>
              <w:top w:val="nil"/>
              <w:left w:val="single" w:color="auto" w:sz="4" w:space="0"/>
              <w:bottom w:val="single" w:color="auto" w:sz="4" w:space="0"/>
              <w:right w:val="single" w:color="auto" w:sz="4" w:space="0"/>
            </w:tcBorders>
            <w:shd w:val="clear" w:color="auto" w:fill="auto"/>
            <w:vAlign w:val="center"/>
          </w:tcPr>
          <w:p w14:paraId="53097BB8">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5</w:t>
            </w:r>
          </w:p>
        </w:tc>
        <w:tc>
          <w:tcPr>
            <w:tcW w:w="830" w:type="dxa"/>
            <w:vMerge w:val="restart"/>
            <w:tcBorders>
              <w:top w:val="nil"/>
              <w:left w:val="single" w:color="auto" w:sz="4" w:space="0"/>
              <w:bottom w:val="single" w:color="auto" w:sz="4" w:space="0"/>
              <w:right w:val="single" w:color="auto" w:sz="4" w:space="0"/>
            </w:tcBorders>
            <w:shd w:val="clear" w:color="auto" w:fill="auto"/>
            <w:vAlign w:val="center"/>
          </w:tcPr>
          <w:p w14:paraId="2DDC36CF">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有服务台账</w:t>
            </w:r>
          </w:p>
        </w:tc>
        <w:tc>
          <w:tcPr>
            <w:tcW w:w="2017" w:type="dxa"/>
            <w:vMerge w:val="restart"/>
            <w:tcBorders>
              <w:top w:val="nil"/>
              <w:left w:val="single" w:color="auto" w:sz="4" w:space="0"/>
              <w:bottom w:val="single" w:color="auto" w:sz="4" w:space="0"/>
              <w:right w:val="single" w:color="auto" w:sz="4" w:space="0"/>
            </w:tcBorders>
            <w:shd w:val="clear" w:color="auto" w:fill="auto"/>
            <w:vAlign w:val="center"/>
          </w:tcPr>
          <w:p w14:paraId="742F6B6D">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建立市场日常管理运营服务台账，做好全程服务记录</w:t>
            </w:r>
          </w:p>
        </w:tc>
        <w:tc>
          <w:tcPr>
            <w:tcW w:w="5068" w:type="dxa"/>
            <w:tcBorders>
              <w:top w:val="nil"/>
              <w:left w:val="nil"/>
              <w:bottom w:val="single" w:color="auto" w:sz="4" w:space="0"/>
              <w:right w:val="single" w:color="auto" w:sz="4" w:space="0"/>
            </w:tcBorders>
            <w:shd w:val="clear" w:color="auto" w:fill="auto"/>
            <w:vAlign w:val="center"/>
          </w:tcPr>
          <w:p w14:paraId="5A3938B2">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1.《求职/培训登记册》（前台接待或走访服务或回访服务使用）</w:t>
            </w:r>
            <w:r>
              <w:rPr>
                <w:rFonts w:hint="eastAsia" w:ascii="CESI仿宋-GB2312" w:hAnsi="CESI仿宋-GB2312" w:eastAsia="CESI仿宋-GB2312" w:cs="CESI仿宋-GB2312"/>
                <w:color w:val="auto"/>
                <w:kern w:val="0"/>
                <w:sz w:val="20"/>
                <w:szCs w:val="20"/>
                <w:highlight w:val="none"/>
                <w:lang w:eastAsia="zh-CN" w:bidi="ar"/>
              </w:rPr>
              <w:t>；</w:t>
            </w:r>
          </w:p>
        </w:tc>
        <w:tc>
          <w:tcPr>
            <w:tcW w:w="1838" w:type="dxa"/>
            <w:vMerge w:val="restart"/>
            <w:tcBorders>
              <w:top w:val="nil"/>
              <w:left w:val="single" w:color="auto" w:sz="4" w:space="0"/>
              <w:bottom w:val="single" w:color="auto" w:sz="4" w:space="0"/>
              <w:right w:val="single" w:color="auto" w:sz="4" w:space="0"/>
            </w:tcBorders>
            <w:shd w:val="clear" w:color="auto" w:fill="auto"/>
            <w:vAlign w:val="center"/>
          </w:tcPr>
          <w:p w14:paraId="6040E77E">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5CC54BC2">
        <w:tblPrEx>
          <w:tblCellMar>
            <w:top w:w="0" w:type="dxa"/>
            <w:left w:w="108" w:type="dxa"/>
            <w:bottom w:w="0" w:type="dxa"/>
            <w:right w:w="108" w:type="dxa"/>
          </w:tblCellMar>
        </w:tblPrEx>
        <w:trPr>
          <w:trHeight w:val="480" w:hRule="atLeast"/>
        </w:trPr>
        <w:tc>
          <w:tcPr>
            <w:tcW w:w="574" w:type="dxa"/>
            <w:vMerge w:val="continue"/>
            <w:tcBorders>
              <w:top w:val="nil"/>
              <w:left w:val="single" w:color="auto" w:sz="4" w:space="0"/>
              <w:bottom w:val="single" w:color="auto" w:sz="4" w:space="0"/>
              <w:right w:val="single" w:color="auto" w:sz="4" w:space="0"/>
            </w:tcBorders>
            <w:shd w:val="clear" w:color="auto" w:fill="auto"/>
            <w:vAlign w:val="center"/>
          </w:tcPr>
          <w:p w14:paraId="0549200B">
            <w:pPr>
              <w:jc w:val="center"/>
              <w:rPr>
                <w:rFonts w:ascii="CESI仿宋-GB2312" w:hAnsi="CESI仿宋-GB2312" w:eastAsia="CESI仿宋-GB2312" w:cs="CESI仿宋-GB2312"/>
                <w:color w:val="auto"/>
                <w:sz w:val="20"/>
                <w:szCs w:val="20"/>
                <w:highlight w:val="none"/>
              </w:rPr>
            </w:pPr>
          </w:p>
        </w:tc>
        <w:tc>
          <w:tcPr>
            <w:tcW w:w="830" w:type="dxa"/>
            <w:vMerge w:val="continue"/>
            <w:tcBorders>
              <w:top w:val="nil"/>
              <w:left w:val="single" w:color="auto" w:sz="4" w:space="0"/>
              <w:bottom w:val="single" w:color="auto" w:sz="4" w:space="0"/>
              <w:right w:val="single" w:color="auto" w:sz="4" w:space="0"/>
            </w:tcBorders>
            <w:shd w:val="clear" w:color="auto" w:fill="auto"/>
            <w:vAlign w:val="center"/>
          </w:tcPr>
          <w:p w14:paraId="615EF473">
            <w:pPr>
              <w:jc w:val="center"/>
              <w:rPr>
                <w:rFonts w:ascii="CESI仿宋-GB2312" w:hAnsi="CESI仿宋-GB2312" w:eastAsia="CESI仿宋-GB2312" w:cs="CESI仿宋-GB2312"/>
                <w:color w:val="auto"/>
                <w:sz w:val="20"/>
                <w:szCs w:val="20"/>
                <w:highlight w:val="none"/>
              </w:rPr>
            </w:pPr>
          </w:p>
        </w:tc>
        <w:tc>
          <w:tcPr>
            <w:tcW w:w="2017" w:type="dxa"/>
            <w:vMerge w:val="continue"/>
            <w:tcBorders>
              <w:top w:val="nil"/>
              <w:left w:val="single" w:color="auto" w:sz="4" w:space="0"/>
              <w:bottom w:val="single" w:color="auto" w:sz="4" w:space="0"/>
              <w:right w:val="single" w:color="auto" w:sz="4" w:space="0"/>
            </w:tcBorders>
            <w:shd w:val="clear" w:color="auto" w:fill="auto"/>
            <w:vAlign w:val="center"/>
          </w:tcPr>
          <w:p w14:paraId="12D4D14C">
            <w:pPr>
              <w:rPr>
                <w:rFonts w:ascii="CESI仿宋-GB2312" w:hAnsi="CESI仿宋-GB2312" w:eastAsia="CESI仿宋-GB2312" w:cs="CESI仿宋-GB2312"/>
                <w:color w:val="auto"/>
                <w:sz w:val="20"/>
                <w:szCs w:val="20"/>
                <w:highlight w:val="none"/>
              </w:rPr>
            </w:pPr>
          </w:p>
        </w:tc>
        <w:tc>
          <w:tcPr>
            <w:tcW w:w="5068" w:type="dxa"/>
            <w:tcBorders>
              <w:top w:val="nil"/>
              <w:left w:val="nil"/>
              <w:bottom w:val="single" w:color="auto" w:sz="4" w:space="0"/>
              <w:right w:val="single" w:color="auto" w:sz="4" w:space="0"/>
            </w:tcBorders>
            <w:shd w:val="clear" w:color="auto" w:fill="auto"/>
            <w:vAlign w:val="center"/>
          </w:tcPr>
          <w:p w14:paraId="096E0B35">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2.《用工招聘登记册》（前台接待或走访服务或回访服务使用）</w:t>
            </w:r>
            <w:r>
              <w:rPr>
                <w:rFonts w:hint="eastAsia" w:ascii="CESI仿宋-GB2312" w:hAnsi="CESI仿宋-GB2312" w:eastAsia="CESI仿宋-GB2312" w:cs="CESI仿宋-GB2312"/>
                <w:color w:val="auto"/>
                <w:kern w:val="0"/>
                <w:sz w:val="20"/>
                <w:szCs w:val="20"/>
                <w:highlight w:val="none"/>
                <w:lang w:eastAsia="zh-CN" w:bidi="ar"/>
              </w:rPr>
              <w:t>；</w:t>
            </w:r>
          </w:p>
        </w:tc>
        <w:tc>
          <w:tcPr>
            <w:tcW w:w="1838" w:type="dxa"/>
            <w:vMerge w:val="continue"/>
            <w:tcBorders>
              <w:top w:val="nil"/>
              <w:left w:val="single" w:color="auto" w:sz="4" w:space="0"/>
              <w:bottom w:val="single" w:color="auto" w:sz="4" w:space="0"/>
              <w:right w:val="single" w:color="auto" w:sz="4" w:space="0"/>
            </w:tcBorders>
            <w:shd w:val="clear" w:color="auto" w:fill="auto"/>
            <w:vAlign w:val="center"/>
          </w:tcPr>
          <w:p w14:paraId="5DB0A560">
            <w:pPr>
              <w:rPr>
                <w:rFonts w:ascii="CESI仿宋-GB2312" w:hAnsi="CESI仿宋-GB2312" w:eastAsia="CESI仿宋-GB2312" w:cs="CESI仿宋-GB2312"/>
                <w:color w:val="auto"/>
                <w:sz w:val="20"/>
                <w:szCs w:val="20"/>
                <w:highlight w:val="none"/>
              </w:rPr>
            </w:pPr>
          </w:p>
        </w:tc>
      </w:tr>
      <w:tr w14:paraId="4FCD2D0E">
        <w:tblPrEx>
          <w:tblCellMar>
            <w:top w:w="0" w:type="dxa"/>
            <w:left w:w="108" w:type="dxa"/>
            <w:bottom w:w="0" w:type="dxa"/>
            <w:right w:w="108" w:type="dxa"/>
          </w:tblCellMar>
        </w:tblPrEx>
        <w:trPr>
          <w:trHeight w:val="240" w:hRule="atLeast"/>
        </w:trPr>
        <w:tc>
          <w:tcPr>
            <w:tcW w:w="574" w:type="dxa"/>
            <w:vMerge w:val="continue"/>
            <w:tcBorders>
              <w:top w:val="nil"/>
              <w:left w:val="single" w:color="auto" w:sz="4" w:space="0"/>
              <w:bottom w:val="single" w:color="auto" w:sz="4" w:space="0"/>
              <w:right w:val="single" w:color="auto" w:sz="4" w:space="0"/>
            </w:tcBorders>
            <w:shd w:val="clear" w:color="auto" w:fill="auto"/>
            <w:vAlign w:val="center"/>
          </w:tcPr>
          <w:p w14:paraId="17F8434C">
            <w:pPr>
              <w:jc w:val="center"/>
              <w:rPr>
                <w:rFonts w:ascii="CESI仿宋-GB2312" w:hAnsi="CESI仿宋-GB2312" w:eastAsia="CESI仿宋-GB2312" w:cs="CESI仿宋-GB2312"/>
                <w:color w:val="auto"/>
                <w:sz w:val="20"/>
                <w:szCs w:val="20"/>
                <w:highlight w:val="none"/>
              </w:rPr>
            </w:pPr>
          </w:p>
        </w:tc>
        <w:tc>
          <w:tcPr>
            <w:tcW w:w="830" w:type="dxa"/>
            <w:vMerge w:val="continue"/>
            <w:tcBorders>
              <w:top w:val="nil"/>
              <w:left w:val="single" w:color="auto" w:sz="4" w:space="0"/>
              <w:bottom w:val="single" w:color="auto" w:sz="4" w:space="0"/>
              <w:right w:val="single" w:color="auto" w:sz="4" w:space="0"/>
            </w:tcBorders>
            <w:shd w:val="clear" w:color="auto" w:fill="auto"/>
            <w:vAlign w:val="center"/>
          </w:tcPr>
          <w:p w14:paraId="2A3A6AB7">
            <w:pPr>
              <w:jc w:val="center"/>
              <w:rPr>
                <w:rFonts w:ascii="CESI仿宋-GB2312" w:hAnsi="CESI仿宋-GB2312" w:eastAsia="CESI仿宋-GB2312" w:cs="CESI仿宋-GB2312"/>
                <w:color w:val="auto"/>
                <w:sz w:val="20"/>
                <w:szCs w:val="20"/>
                <w:highlight w:val="none"/>
              </w:rPr>
            </w:pPr>
          </w:p>
        </w:tc>
        <w:tc>
          <w:tcPr>
            <w:tcW w:w="2017" w:type="dxa"/>
            <w:vMerge w:val="continue"/>
            <w:tcBorders>
              <w:top w:val="nil"/>
              <w:left w:val="single" w:color="auto" w:sz="4" w:space="0"/>
              <w:bottom w:val="single" w:color="auto" w:sz="4" w:space="0"/>
              <w:right w:val="single" w:color="auto" w:sz="4" w:space="0"/>
            </w:tcBorders>
            <w:shd w:val="clear" w:color="auto" w:fill="auto"/>
            <w:vAlign w:val="center"/>
          </w:tcPr>
          <w:p w14:paraId="1E1CB97C">
            <w:pPr>
              <w:rPr>
                <w:rFonts w:ascii="CESI仿宋-GB2312" w:hAnsi="CESI仿宋-GB2312" w:eastAsia="CESI仿宋-GB2312" w:cs="CESI仿宋-GB2312"/>
                <w:color w:val="auto"/>
                <w:sz w:val="20"/>
                <w:szCs w:val="20"/>
                <w:highlight w:val="none"/>
              </w:rPr>
            </w:pPr>
          </w:p>
        </w:tc>
        <w:tc>
          <w:tcPr>
            <w:tcW w:w="5068" w:type="dxa"/>
            <w:tcBorders>
              <w:top w:val="nil"/>
              <w:left w:val="nil"/>
              <w:bottom w:val="single" w:color="auto" w:sz="4" w:space="0"/>
              <w:right w:val="single" w:color="auto" w:sz="4" w:space="0"/>
            </w:tcBorders>
            <w:shd w:val="clear" w:color="auto" w:fill="auto"/>
            <w:vAlign w:val="center"/>
          </w:tcPr>
          <w:p w14:paraId="4F049D11">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3.《服务评价及意见建议册》（前台接待使用）</w:t>
            </w:r>
            <w:r>
              <w:rPr>
                <w:rFonts w:hint="eastAsia" w:ascii="CESI仿宋-GB2312" w:hAnsi="CESI仿宋-GB2312" w:eastAsia="CESI仿宋-GB2312" w:cs="CESI仿宋-GB2312"/>
                <w:color w:val="auto"/>
                <w:kern w:val="0"/>
                <w:sz w:val="20"/>
                <w:szCs w:val="20"/>
                <w:highlight w:val="none"/>
                <w:lang w:eastAsia="zh-CN" w:bidi="ar"/>
              </w:rPr>
              <w:t>；</w:t>
            </w:r>
          </w:p>
        </w:tc>
        <w:tc>
          <w:tcPr>
            <w:tcW w:w="1838" w:type="dxa"/>
            <w:vMerge w:val="continue"/>
            <w:tcBorders>
              <w:top w:val="nil"/>
              <w:left w:val="single" w:color="auto" w:sz="4" w:space="0"/>
              <w:bottom w:val="single" w:color="auto" w:sz="4" w:space="0"/>
              <w:right w:val="single" w:color="auto" w:sz="4" w:space="0"/>
            </w:tcBorders>
            <w:shd w:val="clear" w:color="auto" w:fill="auto"/>
            <w:vAlign w:val="center"/>
          </w:tcPr>
          <w:p w14:paraId="7F0A78E7">
            <w:pPr>
              <w:rPr>
                <w:rFonts w:ascii="CESI仿宋-GB2312" w:hAnsi="CESI仿宋-GB2312" w:eastAsia="CESI仿宋-GB2312" w:cs="CESI仿宋-GB2312"/>
                <w:color w:val="auto"/>
                <w:sz w:val="20"/>
                <w:szCs w:val="20"/>
                <w:highlight w:val="none"/>
              </w:rPr>
            </w:pPr>
          </w:p>
        </w:tc>
      </w:tr>
      <w:tr w14:paraId="68EF3478">
        <w:tblPrEx>
          <w:tblCellMar>
            <w:top w:w="0" w:type="dxa"/>
            <w:left w:w="108" w:type="dxa"/>
            <w:bottom w:w="0" w:type="dxa"/>
            <w:right w:w="108" w:type="dxa"/>
          </w:tblCellMar>
        </w:tblPrEx>
        <w:trPr>
          <w:trHeight w:val="240" w:hRule="atLeast"/>
        </w:trPr>
        <w:tc>
          <w:tcPr>
            <w:tcW w:w="574" w:type="dxa"/>
            <w:vMerge w:val="continue"/>
            <w:tcBorders>
              <w:top w:val="nil"/>
              <w:left w:val="single" w:color="auto" w:sz="4" w:space="0"/>
              <w:bottom w:val="single" w:color="auto" w:sz="4" w:space="0"/>
              <w:right w:val="single" w:color="auto" w:sz="4" w:space="0"/>
            </w:tcBorders>
            <w:shd w:val="clear" w:color="auto" w:fill="auto"/>
            <w:vAlign w:val="center"/>
          </w:tcPr>
          <w:p w14:paraId="0D4644BC">
            <w:pPr>
              <w:jc w:val="center"/>
              <w:rPr>
                <w:rFonts w:ascii="CESI仿宋-GB2312" w:hAnsi="CESI仿宋-GB2312" w:eastAsia="CESI仿宋-GB2312" w:cs="CESI仿宋-GB2312"/>
                <w:color w:val="auto"/>
                <w:sz w:val="20"/>
                <w:szCs w:val="20"/>
                <w:highlight w:val="none"/>
              </w:rPr>
            </w:pPr>
          </w:p>
        </w:tc>
        <w:tc>
          <w:tcPr>
            <w:tcW w:w="830" w:type="dxa"/>
            <w:vMerge w:val="continue"/>
            <w:tcBorders>
              <w:top w:val="nil"/>
              <w:left w:val="single" w:color="auto" w:sz="4" w:space="0"/>
              <w:bottom w:val="single" w:color="auto" w:sz="4" w:space="0"/>
              <w:right w:val="single" w:color="auto" w:sz="4" w:space="0"/>
            </w:tcBorders>
            <w:shd w:val="clear" w:color="auto" w:fill="auto"/>
            <w:vAlign w:val="center"/>
          </w:tcPr>
          <w:p w14:paraId="5BC7A12F">
            <w:pPr>
              <w:jc w:val="center"/>
              <w:rPr>
                <w:rFonts w:ascii="CESI仿宋-GB2312" w:hAnsi="CESI仿宋-GB2312" w:eastAsia="CESI仿宋-GB2312" w:cs="CESI仿宋-GB2312"/>
                <w:color w:val="auto"/>
                <w:sz w:val="20"/>
                <w:szCs w:val="20"/>
                <w:highlight w:val="none"/>
              </w:rPr>
            </w:pPr>
          </w:p>
        </w:tc>
        <w:tc>
          <w:tcPr>
            <w:tcW w:w="2017" w:type="dxa"/>
            <w:vMerge w:val="continue"/>
            <w:tcBorders>
              <w:top w:val="nil"/>
              <w:left w:val="single" w:color="auto" w:sz="4" w:space="0"/>
              <w:bottom w:val="single" w:color="auto" w:sz="4" w:space="0"/>
              <w:right w:val="single" w:color="auto" w:sz="4" w:space="0"/>
            </w:tcBorders>
            <w:shd w:val="clear" w:color="auto" w:fill="auto"/>
            <w:vAlign w:val="center"/>
          </w:tcPr>
          <w:p w14:paraId="147F6D75">
            <w:pPr>
              <w:rPr>
                <w:rFonts w:ascii="CESI仿宋-GB2312" w:hAnsi="CESI仿宋-GB2312" w:eastAsia="CESI仿宋-GB2312" w:cs="CESI仿宋-GB2312"/>
                <w:color w:val="auto"/>
                <w:sz w:val="20"/>
                <w:szCs w:val="20"/>
                <w:highlight w:val="none"/>
              </w:rPr>
            </w:pPr>
          </w:p>
        </w:tc>
        <w:tc>
          <w:tcPr>
            <w:tcW w:w="5068" w:type="dxa"/>
            <w:tcBorders>
              <w:top w:val="nil"/>
              <w:left w:val="nil"/>
              <w:bottom w:val="single" w:color="auto" w:sz="4" w:space="0"/>
              <w:right w:val="single" w:color="auto" w:sz="4" w:space="0"/>
            </w:tcBorders>
            <w:shd w:val="clear" w:color="auto" w:fill="auto"/>
            <w:vAlign w:val="center"/>
          </w:tcPr>
          <w:p w14:paraId="7796CBC3">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4.《重要活动/事件登记册》（服务管理使用）；</w:t>
            </w:r>
          </w:p>
        </w:tc>
        <w:tc>
          <w:tcPr>
            <w:tcW w:w="1838" w:type="dxa"/>
            <w:vMerge w:val="continue"/>
            <w:tcBorders>
              <w:top w:val="nil"/>
              <w:left w:val="single" w:color="auto" w:sz="4" w:space="0"/>
              <w:bottom w:val="single" w:color="auto" w:sz="4" w:space="0"/>
              <w:right w:val="single" w:color="auto" w:sz="4" w:space="0"/>
            </w:tcBorders>
            <w:shd w:val="clear" w:color="auto" w:fill="auto"/>
            <w:vAlign w:val="center"/>
          </w:tcPr>
          <w:p w14:paraId="6F13E2C3">
            <w:pPr>
              <w:rPr>
                <w:rFonts w:ascii="CESI仿宋-GB2312" w:hAnsi="CESI仿宋-GB2312" w:eastAsia="CESI仿宋-GB2312" w:cs="CESI仿宋-GB2312"/>
                <w:color w:val="auto"/>
                <w:sz w:val="20"/>
                <w:szCs w:val="20"/>
                <w:highlight w:val="none"/>
              </w:rPr>
            </w:pPr>
          </w:p>
        </w:tc>
      </w:tr>
      <w:tr w14:paraId="66B61848">
        <w:tblPrEx>
          <w:tblCellMar>
            <w:top w:w="0" w:type="dxa"/>
            <w:left w:w="108" w:type="dxa"/>
            <w:bottom w:w="0" w:type="dxa"/>
            <w:right w:w="108" w:type="dxa"/>
          </w:tblCellMar>
        </w:tblPrEx>
        <w:trPr>
          <w:trHeight w:val="561" w:hRule="atLeast"/>
        </w:trPr>
        <w:tc>
          <w:tcPr>
            <w:tcW w:w="574" w:type="dxa"/>
            <w:vMerge w:val="continue"/>
            <w:tcBorders>
              <w:top w:val="nil"/>
              <w:left w:val="single" w:color="auto" w:sz="4" w:space="0"/>
              <w:bottom w:val="single" w:color="auto" w:sz="4" w:space="0"/>
              <w:right w:val="single" w:color="auto" w:sz="4" w:space="0"/>
            </w:tcBorders>
            <w:shd w:val="clear" w:color="auto" w:fill="auto"/>
            <w:vAlign w:val="center"/>
          </w:tcPr>
          <w:p w14:paraId="3BBCD382">
            <w:pPr>
              <w:jc w:val="center"/>
              <w:rPr>
                <w:rFonts w:ascii="CESI仿宋-GB2312" w:hAnsi="CESI仿宋-GB2312" w:eastAsia="CESI仿宋-GB2312" w:cs="CESI仿宋-GB2312"/>
                <w:color w:val="auto"/>
                <w:sz w:val="20"/>
                <w:szCs w:val="20"/>
                <w:highlight w:val="none"/>
              </w:rPr>
            </w:pPr>
          </w:p>
        </w:tc>
        <w:tc>
          <w:tcPr>
            <w:tcW w:w="830" w:type="dxa"/>
            <w:vMerge w:val="continue"/>
            <w:tcBorders>
              <w:top w:val="nil"/>
              <w:left w:val="single" w:color="auto" w:sz="4" w:space="0"/>
              <w:bottom w:val="single" w:color="auto" w:sz="4" w:space="0"/>
              <w:right w:val="single" w:color="auto" w:sz="4" w:space="0"/>
            </w:tcBorders>
            <w:shd w:val="clear" w:color="auto" w:fill="auto"/>
            <w:vAlign w:val="center"/>
          </w:tcPr>
          <w:p w14:paraId="560AFBFD">
            <w:pPr>
              <w:jc w:val="center"/>
              <w:rPr>
                <w:rFonts w:ascii="CESI仿宋-GB2312" w:hAnsi="CESI仿宋-GB2312" w:eastAsia="CESI仿宋-GB2312" w:cs="CESI仿宋-GB2312"/>
                <w:color w:val="auto"/>
                <w:sz w:val="20"/>
                <w:szCs w:val="20"/>
                <w:highlight w:val="none"/>
              </w:rPr>
            </w:pPr>
          </w:p>
        </w:tc>
        <w:tc>
          <w:tcPr>
            <w:tcW w:w="2017" w:type="dxa"/>
            <w:vMerge w:val="continue"/>
            <w:tcBorders>
              <w:top w:val="nil"/>
              <w:left w:val="single" w:color="auto" w:sz="4" w:space="0"/>
              <w:bottom w:val="single" w:color="auto" w:sz="4" w:space="0"/>
              <w:right w:val="single" w:color="auto" w:sz="4" w:space="0"/>
            </w:tcBorders>
            <w:shd w:val="clear" w:color="auto" w:fill="auto"/>
            <w:vAlign w:val="center"/>
          </w:tcPr>
          <w:p w14:paraId="7E7209F9">
            <w:pPr>
              <w:rPr>
                <w:rFonts w:ascii="CESI仿宋-GB2312" w:hAnsi="CESI仿宋-GB2312" w:eastAsia="CESI仿宋-GB2312" w:cs="CESI仿宋-GB2312"/>
                <w:color w:val="auto"/>
                <w:sz w:val="20"/>
                <w:szCs w:val="20"/>
                <w:highlight w:val="none"/>
              </w:rPr>
            </w:pPr>
          </w:p>
        </w:tc>
        <w:tc>
          <w:tcPr>
            <w:tcW w:w="5068" w:type="dxa"/>
            <w:tcBorders>
              <w:top w:val="nil"/>
              <w:left w:val="nil"/>
              <w:bottom w:val="single" w:color="auto" w:sz="4" w:space="0"/>
              <w:right w:val="single" w:color="auto" w:sz="4" w:space="0"/>
            </w:tcBorders>
            <w:shd w:val="clear" w:color="auto" w:fill="auto"/>
            <w:vAlign w:val="center"/>
          </w:tcPr>
          <w:p w14:paraId="77F59954">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5.服务台账及时登记或梳理入库，做好全程服务记录、服务跟踪。</w:t>
            </w:r>
          </w:p>
        </w:tc>
        <w:tc>
          <w:tcPr>
            <w:tcW w:w="1838" w:type="dxa"/>
            <w:vMerge w:val="continue"/>
            <w:tcBorders>
              <w:top w:val="nil"/>
              <w:left w:val="single" w:color="auto" w:sz="4" w:space="0"/>
              <w:bottom w:val="single" w:color="auto" w:sz="4" w:space="0"/>
              <w:right w:val="single" w:color="auto" w:sz="4" w:space="0"/>
            </w:tcBorders>
            <w:shd w:val="clear" w:color="auto" w:fill="auto"/>
            <w:vAlign w:val="center"/>
          </w:tcPr>
          <w:p w14:paraId="24081FBB">
            <w:pPr>
              <w:rPr>
                <w:rFonts w:ascii="CESI仿宋-GB2312" w:hAnsi="CESI仿宋-GB2312" w:eastAsia="CESI仿宋-GB2312" w:cs="CESI仿宋-GB2312"/>
                <w:color w:val="auto"/>
                <w:sz w:val="20"/>
                <w:szCs w:val="20"/>
                <w:highlight w:val="none"/>
              </w:rPr>
            </w:pPr>
          </w:p>
        </w:tc>
      </w:tr>
      <w:tr w14:paraId="2AF4F20D">
        <w:tblPrEx>
          <w:tblCellMar>
            <w:top w:w="0" w:type="dxa"/>
            <w:left w:w="108" w:type="dxa"/>
            <w:bottom w:w="0" w:type="dxa"/>
            <w:right w:w="108" w:type="dxa"/>
          </w:tblCellMar>
        </w:tblPrEx>
        <w:trPr>
          <w:trHeight w:val="1380" w:hRule="atLeast"/>
        </w:trPr>
        <w:tc>
          <w:tcPr>
            <w:tcW w:w="574" w:type="dxa"/>
            <w:vMerge w:val="restart"/>
            <w:tcBorders>
              <w:top w:val="nil"/>
              <w:left w:val="single" w:color="auto" w:sz="4" w:space="0"/>
              <w:bottom w:val="single" w:color="auto" w:sz="4" w:space="0"/>
              <w:right w:val="single" w:color="auto" w:sz="4" w:space="0"/>
            </w:tcBorders>
            <w:shd w:val="clear" w:color="auto" w:fill="auto"/>
            <w:vAlign w:val="center"/>
          </w:tcPr>
          <w:p w14:paraId="72CE69B4">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6</w:t>
            </w:r>
          </w:p>
        </w:tc>
        <w:tc>
          <w:tcPr>
            <w:tcW w:w="830" w:type="dxa"/>
            <w:vMerge w:val="restart"/>
            <w:tcBorders>
              <w:top w:val="nil"/>
              <w:left w:val="single" w:color="auto" w:sz="4" w:space="0"/>
              <w:bottom w:val="single" w:color="auto" w:sz="4" w:space="0"/>
              <w:right w:val="single" w:color="auto" w:sz="4" w:space="0"/>
            </w:tcBorders>
            <w:shd w:val="clear" w:color="auto" w:fill="auto"/>
            <w:vAlign w:val="center"/>
          </w:tcPr>
          <w:p w14:paraId="73BA1FA4">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有服务系统</w:t>
            </w:r>
          </w:p>
        </w:tc>
        <w:tc>
          <w:tcPr>
            <w:tcW w:w="2017" w:type="dxa"/>
            <w:vMerge w:val="restart"/>
            <w:tcBorders>
              <w:top w:val="nil"/>
              <w:left w:val="single" w:color="auto" w:sz="4" w:space="0"/>
              <w:bottom w:val="single" w:color="auto" w:sz="4" w:space="0"/>
              <w:right w:val="single" w:color="auto" w:sz="4" w:space="0"/>
            </w:tcBorders>
            <w:shd w:val="clear" w:color="auto" w:fill="auto"/>
            <w:vAlign w:val="center"/>
          </w:tcPr>
          <w:p w14:paraId="465CBD28">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统一接入南宁市人力资源和社会保障局指定或认可的线上公共就业服务平台并实现就业“一库一平台”数据互联互通</w:t>
            </w:r>
          </w:p>
        </w:tc>
        <w:tc>
          <w:tcPr>
            <w:tcW w:w="5068" w:type="dxa"/>
            <w:tcBorders>
              <w:top w:val="nil"/>
              <w:left w:val="nil"/>
              <w:bottom w:val="single" w:color="auto" w:sz="4" w:space="0"/>
              <w:right w:val="single" w:color="auto" w:sz="4" w:space="0"/>
            </w:tcBorders>
            <w:shd w:val="clear" w:color="auto" w:fill="auto"/>
            <w:vAlign w:val="center"/>
          </w:tcPr>
          <w:p w14:paraId="6ED174A1">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1.服务站统一接入南宁市人力资源和社会保障局指定或认可的线上公共就业服务平台，实时收集、更新、发布及跟踪招聘求职培训创业信息，并实现就业“一库一平台”数据互联互通。</w:t>
            </w:r>
          </w:p>
        </w:tc>
        <w:tc>
          <w:tcPr>
            <w:tcW w:w="1838" w:type="dxa"/>
            <w:tcBorders>
              <w:top w:val="nil"/>
              <w:left w:val="nil"/>
              <w:bottom w:val="single" w:color="auto" w:sz="4" w:space="0"/>
              <w:right w:val="single" w:color="auto" w:sz="4" w:space="0"/>
            </w:tcBorders>
            <w:shd w:val="clear" w:color="auto" w:fill="auto"/>
            <w:vAlign w:val="center"/>
          </w:tcPr>
          <w:p w14:paraId="7474412B">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7AB1F271">
        <w:tblPrEx>
          <w:tblCellMar>
            <w:top w:w="0" w:type="dxa"/>
            <w:left w:w="108" w:type="dxa"/>
            <w:bottom w:w="0" w:type="dxa"/>
            <w:right w:w="108" w:type="dxa"/>
          </w:tblCellMar>
        </w:tblPrEx>
        <w:trPr>
          <w:trHeight w:val="1080" w:hRule="atLeast"/>
        </w:trPr>
        <w:tc>
          <w:tcPr>
            <w:tcW w:w="574" w:type="dxa"/>
            <w:vMerge w:val="continue"/>
            <w:tcBorders>
              <w:top w:val="nil"/>
              <w:left w:val="single" w:color="auto" w:sz="4" w:space="0"/>
              <w:bottom w:val="single" w:color="auto" w:sz="4" w:space="0"/>
              <w:right w:val="single" w:color="auto" w:sz="4" w:space="0"/>
            </w:tcBorders>
            <w:shd w:val="clear" w:color="auto" w:fill="auto"/>
            <w:vAlign w:val="center"/>
          </w:tcPr>
          <w:p w14:paraId="11F6B810">
            <w:pPr>
              <w:jc w:val="center"/>
              <w:rPr>
                <w:rFonts w:ascii="CESI仿宋-GB2312" w:hAnsi="CESI仿宋-GB2312" w:eastAsia="CESI仿宋-GB2312" w:cs="CESI仿宋-GB2312"/>
                <w:color w:val="auto"/>
                <w:sz w:val="20"/>
                <w:szCs w:val="20"/>
                <w:highlight w:val="none"/>
              </w:rPr>
            </w:pPr>
          </w:p>
        </w:tc>
        <w:tc>
          <w:tcPr>
            <w:tcW w:w="830" w:type="dxa"/>
            <w:vMerge w:val="continue"/>
            <w:tcBorders>
              <w:top w:val="nil"/>
              <w:left w:val="single" w:color="auto" w:sz="4" w:space="0"/>
              <w:bottom w:val="single" w:color="auto" w:sz="4" w:space="0"/>
              <w:right w:val="single" w:color="auto" w:sz="4" w:space="0"/>
            </w:tcBorders>
            <w:shd w:val="clear" w:color="auto" w:fill="auto"/>
            <w:vAlign w:val="center"/>
          </w:tcPr>
          <w:p w14:paraId="41000166">
            <w:pPr>
              <w:jc w:val="center"/>
              <w:rPr>
                <w:rFonts w:ascii="CESI仿宋-GB2312" w:hAnsi="CESI仿宋-GB2312" w:eastAsia="CESI仿宋-GB2312" w:cs="CESI仿宋-GB2312"/>
                <w:color w:val="auto"/>
                <w:sz w:val="20"/>
                <w:szCs w:val="20"/>
                <w:highlight w:val="none"/>
              </w:rPr>
            </w:pPr>
          </w:p>
        </w:tc>
        <w:tc>
          <w:tcPr>
            <w:tcW w:w="2017" w:type="dxa"/>
            <w:vMerge w:val="continue"/>
            <w:tcBorders>
              <w:top w:val="nil"/>
              <w:left w:val="single" w:color="auto" w:sz="4" w:space="0"/>
              <w:bottom w:val="single" w:color="auto" w:sz="4" w:space="0"/>
              <w:right w:val="single" w:color="auto" w:sz="4" w:space="0"/>
            </w:tcBorders>
            <w:shd w:val="clear" w:color="auto" w:fill="auto"/>
            <w:vAlign w:val="center"/>
          </w:tcPr>
          <w:p w14:paraId="384279C0">
            <w:pPr>
              <w:jc w:val="center"/>
              <w:rPr>
                <w:rFonts w:ascii="CESI仿宋-GB2312" w:hAnsi="CESI仿宋-GB2312" w:eastAsia="CESI仿宋-GB2312" w:cs="CESI仿宋-GB2312"/>
                <w:color w:val="auto"/>
                <w:sz w:val="20"/>
                <w:szCs w:val="20"/>
                <w:highlight w:val="none"/>
              </w:rPr>
            </w:pPr>
          </w:p>
        </w:tc>
        <w:tc>
          <w:tcPr>
            <w:tcW w:w="5068" w:type="dxa"/>
            <w:tcBorders>
              <w:top w:val="nil"/>
              <w:left w:val="nil"/>
              <w:bottom w:val="single" w:color="auto" w:sz="4" w:space="0"/>
              <w:right w:val="single" w:color="auto" w:sz="4" w:space="0"/>
            </w:tcBorders>
            <w:shd w:val="clear" w:color="auto" w:fill="auto"/>
            <w:vAlign w:val="center"/>
          </w:tcPr>
          <w:p w14:paraId="69459077">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2.建立多级调度监督机制，能远程监测和科学直观了解本辖区服务网点的运营数据，实现分站点、分时段、分类型等服务数据监测、分析、统计、调度、展示等；</w:t>
            </w:r>
          </w:p>
        </w:tc>
        <w:tc>
          <w:tcPr>
            <w:tcW w:w="1838" w:type="dxa"/>
            <w:tcBorders>
              <w:top w:val="nil"/>
              <w:left w:val="nil"/>
              <w:bottom w:val="single" w:color="auto" w:sz="4" w:space="0"/>
              <w:right w:val="single" w:color="auto" w:sz="4" w:space="0"/>
            </w:tcBorders>
            <w:shd w:val="clear" w:color="auto" w:fill="auto"/>
            <w:vAlign w:val="center"/>
          </w:tcPr>
          <w:p w14:paraId="2CC41DA4">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14571808">
        <w:tblPrEx>
          <w:tblCellMar>
            <w:top w:w="0" w:type="dxa"/>
            <w:left w:w="108" w:type="dxa"/>
            <w:bottom w:w="0" w:type="dxa"/>
            <w:right w:w="108" w:type="dxa"/>
          </w:tblCellMar>
        </w:tblPrEx>
        <w:trPr>
          <w:trHeight w:val="921" w:hRule="atLeast"/>
        </w:trPr>
        <w:tc>
          <w:tcPr>
            <w:tcW w:w="574" w:type="dxa"/>
            <w:vMerge w:val="continue"/>
            <w:tcBorders>
              <w:top w:val="nil"/>
              <w:left w:val="single" w:color="auto" w:sz="4" w:space="0"/>
              <w:bottom w:val="single" w:color="auto" w:sz="4" w:space="0"/>
              <w:right w:val="single" w:color="auto" w:sz="4" w:space="0"/>
            </w:tcBorders>
            <w:shd w:val="clear" w:color="auto" w:fill="auto"/>
            <w:vAlign w:val="center"/>
          </w:tcPr>
          <w:p w14:paraId="17AEDF66">
            <w:pPr>
              <w:jc w:val="center"/>
              <w:rPr>
                <w:rFonts w:ascii="CESI仿宋-GB2312" w:hAnsi="CESI仿宋-GB2312" w:eastAsia="CESI仿宋-GB2312" w:cs="CESI仿宋-GB2312"/>
                <w:color w:val="auto"/>
                <w:sz w:val="20"/>
                <w:szCs w:val="20"/>
                <w:highlight w:val="none"/>
              </w:rPr>
            </w:pPr>
          </w:p>
        </w:tc>
        <w:tc>
          <w:tcPr>
            <w:tcW w:w="830" w:type="dxa"/>
            <w:vMerge w:val="continue"/>
            <w:tcBorders>
              <w:top w:val="nil"/>
              <w:left w:val="single" w:color="auto" w:sz="4" w:space="0"/>
              <w:bottom w:val="single" w:color="auto" w:sz="4" w:space="0"/>
              <w:right w:val="single" w:color="auto" w:sz="4" w:space="0"/>
            </w:tcBorders>
            <w:shd w:val="clear" w:color="auto" w:fill="auto"/>
            <w:vAlign w:val="center"/>
          </w:tcPr>
          <w:p w14:paraId="2ABD19C2">
            <w:pPr>
              <w:jc w:val="center"/>
              <w:rPr>
                <w:rFonts w:ascii="CESI仿宋-GB2312" w:hAnsi="CESI仿宋-GB2312" w:eastAsia="CESI仿宋-GB2312" w:cs="CESI仿宋-GB2312"/>
                <w:color w:val="auto"/>
                <w:sz w:val="20"/>
                <w:szCs w:val="20"/>
                <w:highlight w:val="none"/>
              </w:rPr>
            </w:pPr>
          </w:p>
        </w:tc>
        <w:tc>
          <w:tcPr>
            <w:tcW w:w="2017" w:type="dxa"/>
            <w:vMerge w:val="continue"/>
            <w:tcBorders>
              <w:top w:val="nil"/>
              <w:left w:val="single" w:color="auto" w:sz="4" w:space="0"/>
              <w:bottom w:val="single" w:color="auto" w:sz="4" w:space="0"/>
              <w:right w:val="single" w:color="auto" w:sz="4" w:space="0"/>
            </w:tcBorders>
            <w:shd w:val="clear" w:color="auto" w:fill="auto"/>
            <w:vAlign w:val="center"/>
          </w:tcPr>
          <w:p w14:paraId="3391E8D1">
            <w:pPr>
              <w:jc w:val="center"/>
              <w:rPr>
                <w:rFonts w:ascii="CESI仿宋-GB2312" w:hAnsi="CESI仿宋-GB2312" w:eastAsia="CESI仿宋-GB2312" w:cs="CESI仿宋-GB2312"/>
                <w:color w:val="auto"/>
                <w:sz w:val="20"/>
                <w:szCs w:val="20"/>
                <w:highlight w:val="none"/>
              </w:rPr>
            </w:pPr>
          </w:p>
        </w:tc>
        <w:tc>
          <w:tcPr>
            <w:tcW w:w="5068" w:type="dxa"/>
            <w:tcBorders>
              <w:top w:val="nil"/>
              <w:left w:val="nil"/>
              <w:bottom w:val="single" w:color="auto" w:sz="4" w:space="0"/>
              <w:right w:val="single" w:color="auto" w:sz="4" w:space="0"/>
            </w:tcBorders>
            <w:shd w:val="clear" w:color="auto" w:fill="auto"/>
            <w:vAlign w:val="center"/>
          </w:tcPr>
          <w:p w14:paraId="7F9D5C62">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3.能远程实时监控和调度本辖区服务站点运营方工作人员的服务状况和站点运行情况，并能接受上级（或中枢性）网点监控和调度。</w:t>
            </w:r>
          </w:p>
        </w:tc>
        <w:tc>
          <w:tcPr>
            <w:tcW w:w="1838" w:type="dxa"/>
            <w:tcBorders>
              <w:top w:val="nil"/>
              <w:left w:val="nil"/>
              <w:bottom w:val="single" w:color="auto" w:sz="4" w:space="0"/>
              <w:right w:val="single" w:color="auto" w:sz="4" w:space="0"/>
            </w:tcBorders>
            <w:shd w:val="clear" w:color="auto" w:fill="auto"/>
            <w:vAlign w:val="center"/>
          </w:tcPr>
          <w:p w14:paraId="52EE2039">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bl>
    <w:p w14:paraId="6C419EE7">
      <w:pPr>
        <w:spacing w:line="560" w:lineRule="exact"/>
        <w:rPr>
          <w:rFonts w:ascii="Arial" w:hAnsi="Arial" w:cs="Arial"/>
          <w:color w:val="auto"/>
          <w:szCs w:val="21"/>
          <w:highlight w:val="none"/>
        </w:rPr>
      </w:pPr>
      <w:r>
        <w:rPr>
          <w:rFonts w:ascii="Arial" w:hAnsi="Arial" w:cs="Arial"/>
          <w:color w:val="auto"/>
          <w:sz w:val="32"/>
          <w:szCs w:val="32"/>
          <w:highlight w:val="none"/>
          <w:lang w:bidi="ar"/>
        </w:rPr>
        <w:t>附件4</w:t>
      </w:r>
    </w:p>
    <w:tbl>
      <w:tblPr>
        <w:tblStyle w:val="35"/>
        <w:tblW w:w="10098" w:type="dxa"/>
        <w:tblInd w:w="-284" w:type="dxa"/>
        <w:tblLayout w:type="autofit"/>
        <w:tblCellMar>
          <w:top w:w="0" w:type="dxa"/>
          <w:left w:w="108" w:type="dxa"/>
          <w:bottom w:w="0" w:type="dxa"/>
          <w:right w:w="108" w:type="dxa"/>
        </w:tblCellMar>
      </w:tblPr>
      <w:tblGrid>
        <w:gridCol w:w="562"/>
        <w:gridCol w:w="868"/>
        <w:gridCol w:w="2187"/>
        <w:gridCol w:w="4873"/>
        <w:gridCol w:w="1608"/>
      </w:tblGrid>
      <w:tr w14:paraId="60532721">
        <w:tblPrEx>
          <w:tblCellMar>
            <w:top w:w="0" w:type="dxa"/>
            <w:left w:w="108" w:type="dxa"/>
            <w:bottom w:w="0" w:type="dxa"/>
            <w:right w:w="108" w:type="dxa"/>
          </w:tblCellMar>
        </w:tblPrEx>
        <w:trPr>
          <w:trHeight w:val="621" w:hRule="atLeast"/>
        </w:trPr>
        <w:tc>
          <w:tcPr>
            <w:tcW w:w="1009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C7A065F">
            <w:pPr>
              <w:widowControl/>
              <w:jc w:val="center"/>
              <w:textAlignment w:val="center"/>
              <w:rPr>
                <w:rFonts w:ascii="仿宋_GB2312" w:hAnsi="宋体" w:eastAsia="仿宋_GB2312" w:cs="仿宋_GB2312"/>
                <w:b/>
                <w:bCs/>
                <w:color w:val="auto"/>
                <w:sz w:val="40"/>
                <w:szCs w:val="40"/>
                <w:highlight w:val="none"/>
              </w:rPr>
            </w:pPr>
            <w:r>
              <w:rPr>
                <w:rFonts w:ascii="仿宋_GB2312" w:hAnsi="宋体" w:eastAsia="仿宋_GB2312" w:cs="仿宋_GB2312"/>
                <w:b/>
                <w:bCs/>
                <w:color w:val="auto"/>
                <w:kern w:val="0"/>
                <w:sz w:val="40"/>
                <w:szCs w:val="40"/>
                <w:highlight w:val="none"/>
                <w:lang w:bidi="ar"/>
              </w:rPr>
              <w:t>宾阳县二级就业服务站规范配备标准</w:t>
            </w:r>
          </w:p>
        </w:tc>
      </w:tr>
      <w:tr w14:paraId="77EF68FF">
        <w:tblPrEx>
          <w:tblCellMar>
            <w:top w:w="0" w:type="dxa"/>
            <w:left w:w="108" w:type="dxa"/>
            <w:bottom w:w="0" w:type="dxa"/>
            <w:right w:w="108" w:type="dxa"/>
          </w:tblCellMar>
        </w:tblPrEx>
        <w:trPr>
          <w:trHeight w:val="331" w:hRule="atLeast"/>
        </w:trPr>
        <w:tc>
          <w:tcPr>
            <w:tcW w:w="562" w:type="dxa"/>
            <w:vMerge w:val="restart"/>
            <w:tcBorders>
              <w:top w:val="nil"/>
              <w:left w:val="single" w:color="auto" w:sz="4" w:space="0"/>
              <w:bottom w:val="single" w:color="auto" w:sz="4" w:space="0"/>
              <w:right w:val="single" w:color="auto" w:sz="4" w:space="0"/>
            </w:tcBorders>
            <w:shd w:val="clear" w:color="auto" w:fill="auto"/>
            <w:vAlign w:val="center"/>
          </w:tcPr>
          <w:p w14:paraId="7110F4CD">
            <w:pPr>
              <w:widowControl/>
              <w:jc w:val="center"/>
              <w:textAlignment w:val="center"/>
              <w:rPr>
                <w:rFonts w:ascii="黑体" w:hAnsi="宋体" w:eastAsia="黑体" w:cs="黑体"/>
                <w:b/>
                <w:bCs/>
                <w:color w:val="auto"/>
                <w:sz w:val="20"/>
                <w:szCs w:val="20"/>
                <w:highlight w:val="none"/>
              </w:rPr>
            </w:pPr>
            <w:r>
              <w:rPr>
                <w:rFonts w:hint="eastAsia" w:ascii="黑体" w:hAnsi="宋体" w:eastAsia="黑体" w:cs="黑体"/>
                <w:b/>
                <w:bCs/>
                <w:color w:val="auto"/>
                <w:kern w:val="0"/>
                <w:sz w:val="20"/>
                <w:szCs w:val="20"/>
                <w:highlight w:val="none"/>
                <w:lang w:bidi="ar"/>
              </w:rPr>
              <w:t>序号</w:t>
            </w:r>
          </w:p>
        </w:tc>
        <w:tc>
          <w:tcPr>
            <w:tcW w:w="868" w:type="dxa"/>
            <w:vMerge w:val="restart"/>
            <w:tcBorders>
              <w:top w:val="nil"/>
              <w:left w:val="single" w:color="auto" w:sz="4" w:space="0"/>
              <w:bottom w:val="single" w:color="auto" w:sz="4" w:space="0"/>
              <w:right w:val="single" w:color="auto" w:sz="4" w:space="0"/>
            </w:tcBorders>
            <w:shd w:val="clear" w:color="auto" w:fill="auto"/>
            <w:vAlign w:val="center"/>
          </w:tcPr>
          <w:p w14:paraId="328C582E">
            <w:pPr>
              <w:widowControl/>
              <w:jc w:val="center"/>
              <w:textAlignment w:val="center"/>
              <w:rPr>
                <w:rFonts w:ascii="黑体" w:hAnsi="宋体" w:eastAsia="黑体" w:cs="黑体"/>
                <w:b/>
                <w:bCs/>
                <w:color w:val="auto"/>
                <w:sz w:val="20"/>
                <w:szCs w:val="20"/>
                <w:highlight w:val="none"/>
              </w:rPr>
            </w:pPr>
            <w:r>
              <w:rPr>
                <w:rFonts w:hint="eastAsia" w:ascii="黑体" w:hAnsi="宋体" w:eastAsia="黑体" w:cs="黑体"/>
                <w:b/>
                <w:bCs/>
                <w:color w:val="auto"/>
                <w:kern w:val="0"/>
                <w:sz w:val="20"/>
                <w:szCs w:val="20"/>
                <w:highlight w:val="none"/>
                <w:lang w:bidi="ar"/>
              </w:rPr>
              <w:t>配备运营标准</w:t>
            </w:r>
          </w:p>
        </w:tc>
        <w:tc>
          <w:tcPr>
            <w:tcW w:w="2187" w:type="dxa"/>
            <w:vMerge w:val="restart"/>
            <w:tcBorders>
              <w:top w:val="nil"/>
              <w:left w:val="single" w:color="auto" w:sz="4" w:space="0"/>
              <w:bottom w:val="single" w:color="auto" w:sz="4" w:space="0"/>
              <w:right w:val="single" w:color="auto" w:sz="4" w:space="0"/>
            </w:tcBorders>
            <w:shd w:val="clear" w:color="auto" w:fill="auto"/>
            <w:vAlign w:val="center"/>
          </w:tcPr>
          <w:p w14:paraId="4D1FB25A">
            <w:pPr>
              <w:widowControl/>
              <w:jc w:val="center"/>
              <w:textAlignment w:val="center"/>
              <w:rPr>
                <w:rFonts w:ascii="黑体" w:hAnsi="宋体" w:eastAsia="黑体" w:cs="黑体"/>
                <w:b/>
                <w:bCs/>
                <w:color w:val="auto"/>
                <w:sz w:val="20"/>
                <w:szCs w:val="20"/>
                <w:highlight w:val="none"/>
              </w:rPr>
            </w:pPr>
            <w:r>
              <w:rPr>
                <w:rFonts w:hint="eastAsia" w:ascii="黑体" w:hAnsi="宋体" w:eastAsia="黑体" w:cs="黑体"/>
                <w:b/>
                <w:bCs/>
                <w:color w:val="auto"/>
                <w:kern w:val="0"/>
                <w:sz w:val="20"/>
                <w:szCs w:val="20"/>
                <w:highlight w:val="none"/>
                <w:lang w:bidi="ar"/>
              </w:rPr>
              <w:t>配备运营要求</w:t>
            </w:r>
          </w:p>
        </w:tc>
        <w:tc>
          <w:tcPr>
            <w:tcW w:w="4873" w:type="dxa"/>
            <w:vMerge w:val="restart"/>
            <w:tcBorders>
              <w:top w:val="nil"/>
              <w:left w:val="single" w:color="auto" w:sz="4" w:space="0"/>
              <w:bottom w:val="single" w:color="auto" w:sz="4" w:space="0"/>
              <w:right w:val="single" w:color="auto" w:sz="4" w:space="0"/>
            </w:tcBorders>
            <w:shd w:val="clear" w:color="auto" w:fill="auto"/>
            <w:vAlign w:val="center"/>
          </w:tcPr>
          <w:p w14:paraId="540A1823">
            <w:pPr>
              <w:widowControl/>
              <w:jc w:val="center"/>
              <w:textAlignment w:val="center"/>
              <w:rPr>
                <w:rFonts w:ascii="黑体" w:hAnsi="宋体" w:eastAsia="黑体" w:cs="黑体"/>
                <w:b/>
                <w:bCs/>
                <w:color w:val="auto"/>
                <w:sz w:val="20"/>
                <w:szCs w:val="20"/>
                <w:highlight w:val="none"/>
              </w:rPr>
            </w:pPr>
            <w:r>
              <w:rPr>
                <w:rFonts w:hint="eastAsia" w:ascii="黑体" w:hAnsi="宋体" w:eastAsia="黑体" w:cs="黑体"/>
                <w:b/>
                <w:bCs/>
                <w:color w:val="auto"/>
                <w:kern w:val="0"/>
                <w:sz w:val="20"/>
                <w:szCs w:val="20"/>
                <w:highlight w:val="none"/>
                <w:lang w:bidi="ar"/>
              </w:rPr>
              <w:t>基本配备</w:t>
            </w:r>
          </w:p>
        </w:tc>
        <w:tc>
          <w:tcPr>
            <w:tcW w:w="1608" w:type="dxa"/>
            <w:vMerge w:val="restart"/>
            <w:tcBorders>
              <w:top w:val="nil"/>
              <w:left w:val="single" w:color="auto" w:sz="4" w:space="0"/>
              <w:bottom w:val="single" w:color="auto" w:sz="4" w:space="0"/>
              <w:right w:val="single" w:color="auto" w:sz="4" w:space="0"/>
            </w:tcBorders>
            <w:shd w:val="clear" w:color="auto" w:fill="auto"/>
            <w:vAlign w:val="center"/>
          </w:tcPr>
          <w:p w14:paraId="224CD0B5">
            <w:pPr>
              <w:widowControl/>
              <w:jc w:val="center"/>
              <w:textAlignment w:val="center"/>
              <w:rPr>
                <w:rFonts w:ascii="黑体" w:hAnsi="宋体" w:eastAsia="黑体" w:cs="黑体"/>
                <w:b/>
                <w:bCs/>
                <w:color w:val="auto"/>
                <w:sz w:val="20"/>
                <w:szCs w:val="20"/>
                <w:highlight w:val="none"/>
              </w:rPr>
            </w:pPr>
            <w:r>
              <w:rPr>
                <w:rFonts w:hint="eastAsia" w:ascii="黑体" w:hAnsi="宋体" w:eastAsia="黑体" w:cs="黑体"/>
                <w:b/>
                <w:bCs/>
                <w:color w:val="auto"/>
                <w:kern w:val="0"/>
                <w:sz w:val="20"/>
                <w:szCs w:val="20"/>
                <w:highlight w:val="none"/>
                <w:lang w:bidi="ar"/>
              </w:rPr>
              <w:t>可选配备</w:t>
            </w:r>
          </w:p>
        </w:tc>
      </w:tr>
      <w:tr w14:paraId="00594C46">
        <w:tblPrEx>
          <w:tblCellMar>
            <w:top w:w="0" w:type="dxa"/>
            <w:left w:w="108" w:type="dxa"/>
            <w:bottom w:w="0" w:type="dxa"/>
            <w:right w:w="108" w:type="dxa"/>
          </w:tblCellMar>
        </w:tblPrEx>
        <w:trPr>
          <w:trHeight w:val="561" w:hRule="atLeast"/>
        </w:trPr>
        <w:tc>
          <w:tcPr>
            <w:tcW w:w="562" w:type="dxa"/>
            <w:vMerge w:val="continue"/>
            <w:tcBorders>
              <w:top w:val="nil"/>
              <w:left w:val="single" w:color="auto" w:sz="4" w:space="0"/>
              <w:bottom w:val="single" w:color="auto" w:sz="4" w:space="0"/>
              <w:right w:val="single" w:color="auto" w:sz="4" w:space="0"/>
            </w:tcBorders>
            <w:shd w:val="clear" w:color="auto" w:fill="auto"/>
            <w:vAlign w:val="center"/>
          </w:tcPr>
          <w:p w14:paraId="369BF626">
            <w:pPr>
              <w:jc w:val="center"/>
              <w:rPr>
                <w:rFonts w:ascii="黑体" w:hAnsi="宋体" w:eastAsia="黑体" w:cs="黑体"/>
                <w:b/>
                <w:bCs/>
                <w:color w:val="auto"/>
                <w:sz w:val="20"/>
                <w:szCs w:val="20"/>
                <w:highlight w:val="none"/>
              </w:rPr>
            </w:pPr>
          </w:p>
        </w:tc>
        <w:tc>
          <w:tcPr>
            <w:tcW w:w="868" w:type="dxa"/>
            <w:vMerge w:val="continue"/>
            <w:tcBorders>
              <w:top w:val="nil"/>
              <w:left w:val="single" w:color="auto" w:sz="4" w:space="0"/>
              <w:bottom w:val="single" w:color="auto" w:sz="4" w:space="0"/>
              <w:right w:val="single" w:color="auto" w:sz="4" w:space="0"/>
            </w:tcBorders>
            <w:shd w:val="clear" w:color="auto" w:fill="auto"/>
            <w:vAlign w:val="center"/>
          </w:tcPr>
          <w:p w14:paraId="183EDEDB">
            <w:pPr>
              <w:jc w:val="center"/>
              <w:rPr>
                <w:rFonts w:ascii="黑体" w:hAnsi="宋体" w:eastAsia="黑体" w:cs="黑体"/>
                <w:b/>
                <w:bCs/>
                <w:color w:val="auto"/>
                <w:sz w:val="20"/>
                <w:szCs w:val="20"/>
                <w:highlight w:val="none"/>
              </w:rPr>
            </w:pPr>
          </w:p>
        </w:tc>
        <w:tc>
          <w:tcPr>
            <w:tcW w:w="2187" w:type="dxa"/>
            <w:vMerge w:val="continue"/>
            <w:tcBorders>
              <w:top w:val="nil"/>
              <w:left w:val="single" w:color="auto" w:sz="4" w:space="0"/>
              <w:bottom w:val="single" w:color="auto" w:sz="4" w:space="0"/>
              <w:right w:val="single" w:color="auto" w:sz="4" w:space="0"/>
            </w:tcBorders>
            <w:shd w:val="clear" w:color="auto" w:fill="auto"/>
            <w:vAlign w:val="center"/>
          </w:tcPr>
          <w:p w14:paraId="3EF8433D">
            <w:pPr>
              <w:jc w:val="center"/>
              <w:rPr>
                <w:rFonts w:ascii="黑体" w:hAnsi="宋体" w:eastAsia="黑体" w:cs="黑体"/>
                <w:b/>
                <w:bCs/>
                <w:color w:val="auto"/>
                <w:sz w:val="20"/>
                <w:szCs w:val="20"/>
                <w:highlight w:val="none"/>
              </w:rPr>
            </w:pPr>
          </w:p>
        </w:tc>
        <w:tc>
          <w:tcPr>
            <w:tcW w:w="4873" w:type="dxa"/>
            <w:vMerge w:val="continue"/>
            <w:tcBorders>
              <w:top w:val="nil"/>
              <w:left w:val="single" w:color="auto" w:sz="4" w:space="0"/>
              <w:bottom w:val="single" w:color="auto" w:sz="4" w:space="0"/>
              <w:right w:val="single" w:color="auto" w:sz="4" w:space="0"/>
            </w:tcBorders>
            <w:shd w:val="clear" w:color="auto" w:fill="auto"/>
            <w:vAlign w:val="center"/>
          </w:tcPr>
          <w:p w14:paraId="5538402B">
            <w:pPr>
              <w:jc w:val="center"/>
              <w:rPr>
                <w:rFonts w:ascii="黑体" w:hAnsi="宋体" w:eastAsia="黑体" w:cs="黑体"/>
                <w:b/>
                <w:bCs/>
                <w:color w:val="auto"/>
                <w:sz w:val="20"/>
                <w:szCs w:val="20"/>
                <w:highlight w:val="none"/>
              </w:rPr>
            </w:pPr>
          </w:p>
        </w:tc>
        <w:tc>
          <w:tcPr>
            <w:tcW w:w="1608" w:type="dxa"/>
            <w:vMerge w:val="continue"/>
            <w:tcBorders>
              <w:top w:val="nil"/>
              <w:left w:val="single" w:color="auto" w:sz="4" w:space="0"/>
              <w:bottom w:val="single" w:color="auto" w:sz="4" w:space="0"/>
              <w:right w:val="single" w:color="auto" w:sz="4" w:space="0"/>
            </w:tcBorders>
            <w:shd w:val="clear" w:color="auto" w:fill="auto"/>
            <w:vAlign w:val="center"/>
          </w:tcPr>
          <w:p w14:paraId="6A02969F">
            <w:pPr>
              <w:jc w:val="center"/>
              <w:rPr>
                <w:rFonts w:ascii="黑体" w:hAnsi="宋体" w:eastAsia="黑体" w:cs="黑体"/>
                <w:b/>
                <w:bCs/>
                <w:color w:val="auto"/>
                <w:sz w:val="20"/>
                <w:szCs w:val="20"/>
                <w:highlight w:val="none"/>
              </w:rPr>
            </w:pPr>
          </w:p>
        </w:tc>
      </w:tr>
      <w:tr w14:paraId="22D724C4">
        <w:tblPrEx>
          <w:tblCellMar>
            <w:top w:w="0" w:type="dxa"/>
            <w:left w:w="108" w:type="dxa"/>
            <w:bottom w:w="0" w:type="dxa"/>
            <w:right w:w="108" w:type="dxa"/>
          </w:tblCellMar>
        </w:tblPrEx>
        <w:trPr>
          <w:trHeight w:val="621" w:hRule="atLeast"/>
        </w:trPr>
        <w:tc>
          <w:tcPr>
            <w:tcW w:w="562" w:type="dxa"/>
            <w:vMerge w:val="restart"/>
            <w:tcBorders>
              <w:top w:val="nil"/>
              <w:left w:val="single" w:color="auto" w:sz="4" w:space="0"/>
              <w:bottom w:val="single" w:color="auto" w:sz="4" w:space="0"/>
              <w:right w:val="single" w:color="auto" w:sz="4" w:space="0"/>
            </w:tcBorders>
            <w:shd w:val="clear" w:color="auto" w:fill="auto"/>
            <w:vAlign w:val="center"/>
          </w:tcPr>
          <w:p w14:paraId="7CCFCC3A">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w:t>
            </w:r>
          </w:p>
        </w:tc>
        <w:tc>
          <w:tcPr>
            <w:tcW w:w="868" w:type="dxa"/>
            <w:vMerge w:val="restart"/>
            <w:tcBorders>
              <w:top w:val="nil"/>
              <w:left w:val="single" w:color="auto" w:sz="4" w:space="0"/>
              <w:bottom w:val="single" w:color="auto" w:sz="4" w:space="0"/>
              <w:right w:val="single" w:color="auto" w:sz="4" w:space="0"/>
            </w:tcBorders>
            <w:shd w:val="clear" w:color="auto" w:fill="auto"/>
            <w:vAlign w:val="center"/>
          </w:tcPr>
          <w:p w14:paraId="4ADAD31E">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有服务场所</w:t>
            </w:r>
          </w:p>
        </w:tc>
        <w:tc>
          <w:tcPr>
            <w:tcW w:w="2187" w:type="dxa"/>
            <w:vMerge w:val="restart"/>
            <w:tcBorders>
              <w:top w:val="nil"/>
              <w:left w:val="single" w:color="auto" w:sz="4" w:space="0"/>
              <w:bottom w:val="single" w:color="auto" w:sz="4" w:space="0"/>
              <w:right w:val="single" w:color="auto" w:sz="4" w:space="0"/>
            </w:tcBorders>
            <w:shd w:val="clear" w:color="auto" w:fill="auto"/>
            <w:vAlign w:val="center"/>
          </w:tcPr>
          <w:p w14:paraId="47E20C7A">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有固定服务场所，面积符合服务功能需求，选址位于人员集中居住区、人流密集区等便于服务对象到达的地方</w:t>
            </w:r>
          </w:p>
        </w:tc>
        <w:tc>
          <w:tcPr>
            <w:tcW w:w="4873" w:type="dxa"/>
            <w:tcBorders>
              <w:top w:val="nil"/>
              <w:left w:val="nil"/>
              <w:bottom w:val="single" w:color="auto" w:sz="4" w:space="0"/>
              <w:right w:val="single" w:color="auto" w:sz="4" w:space="0"/>
            </w:tcBorders>
            <w:shd w:val="clear" w:color="auto" w:fill="auto"/>
            <w:vAlign w:val="center"/>
          </w:tcPr>
          <w:p w14:paraId="46057159">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1.原则上场地使用面积不少于15平方米；</w:t>
            </w:r>
          </w:p>
        </w:tc>
        <w:tc>
          <w:tcPr>
            <w:tcW w:w="1608" w:type="dxa"/>
            <w:vMerge w:val="restart"/>
            <w:tcBorders>
              <w:top w:val="nil"/>
              <w:left w:val="single" w:color="auto" w:sz="4" w:space="0"/>
              <w:bottom w:val="single" w:color="auto" w:sz="4" w:space="0"/>
              <w:right w:val="single" w:color="auto" w:sz="4" w:space="0"/>
            </w:tcBorders>
            <w:shd w:val="clear" w:color="auto" w:fill="auto"/>
            <w:vAlign w:val="center"/>
          </w:tcPr>
          <w:p w14:paraId="59DA32AE">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根据场地实际，可增设求职招聘区</w:t>
            </w:r>
            <w:r>
              <w:rPr>
                <w:rFonts w:hint="eastAsia" w:ascii="CESI仿宋-GB2312" w:hAnsi="CESI仿宋-GB2312" w:eastAsia="CESI仿宋-GB2312" w:cs="CESI仿宋-GB2312"/>
                <w:color w:val="auto"/>
                <w:kern w:val="0"/>
                <w:sz w:val="20"/>
                <w:szCs w:val="20"/>
                <w:highlight w:val="none"/>
                <w:lang w:eastAsia="zh-CN" w:bidi="ar"/>
              </w:rPr>
              <w:t>，以及</w:t>
            </w:r>
            <w:r>
              <w:rPr>
                <w:rFonts w:ascii="CESI仿宋-GB2312" w:hAnsi="CESI仿宋-GB2312" w:eastAsia="CESI仿宋-GB2312" w:cs="CESI仿宋-GB2312"/>
                <w:color w:val="auto"/>
                <w:kern w:val="0"/>
                <w:sz w:val="20"/>
                <w:szCs w:val="20"/>
                <w:highlight w:val="none"/>
                <w:lang w:bidi="ar"/>
              </w:rPr>
              <w:t>24小时人社自助服务区等功能区域。</w:t>
            </w:r>
          </w:p>
        </w:tc>
      </w:tr>
      <w:tr w14:paraId="272534DC">
        <w:tblPrEx>
          <w:tblCellMar>
            <w:top w:w="0" w:type="dxa"/>
            <w:left w:w="108" w:type="dxa"/>
            <w:bottom w:w="0" w:type="dxa"/>
            <w:right w:w="108" w:type="dxa"/>
          </w:tblCellMar>
        </w:tblPrEx>
        <w:trPr>
          <w:trHeight w:val="1080" w:hRule="atLeast"/>
        </w:trPr>
        <w:tc>
          <w:tcPr>
            <w:tcW w:w="562" w:type="dxa"/>
            <w:vMerge w:val="continue"/>
            <w:tcBorders>
              <w:top w:val="nil"/>
              <w:left w:val="single" w:color="auto" w:sz="4" w:space="0"/>
              <w:bottom w:val="single" w:color="auto" w:sz="4" w:space="0"/>
              <w:right w:val="single" w:color="auto" w:sz="4" w:space="0"/>
            </w:tcBorders>
            <w:shd w:val="clear" w:color="auto" w:fill="auto"/>
            <w:vAlign w:val="center"/>
          </w:tcPr>
          <w:p w14:paraId="32AA27BB">
            <w:pPr>
              <w:jc w:val="center"/>
              <w:rPr>
                <w:rFonts w:ascii="CESI仿宋-GB2312" w:hAnsi="CESI仿宋-GB2312" w:eastAsia="CESI仿宋-GB2312" w:cs="CESI仿宋-GB2312"/>
                <w:color w:val="auto"/>
                <w:sz w:val="20"/>
                <w:szCs w:val="20"/>
                <w:highlight w:val="none"/>
              </w:rPr>
            </w:pPr>
          </w:p>
        </w:tc>
        <w:tc>
          <w:tcPr>
            <w:tcW w:w="868" w:type="dxa"/>
            <w:vMerge w:val="continue"/>
            <w:tcBorders>
              <w:top w:val="nil"/>
              <w:left w:val="single" w:color="auto" w:sz="4" w:space="0"/>
              <w:bottom w:val="single" w:color="auto" w:sz="4" w:space="0"/>
              <w:right w:val="single" w:color="auto" w:sz="4" w:space="0"/>
            </w:tcBorders>
            <w:shd w:val="clear" w:color="auto" w:fill="auto"/>
            <w:vAlign w:val="center"/>
          </w:tcPr>
          <w:p w14:paraId="44C2F112">
            <w:pPr>
              <w:jc w:val="center"/>
              <w:rPr>
                <w:rFonts w:ascii="CESI仿宋-GB2312" w:hAnsi="CESI仿宋-GB2312" w:eastAsia="CESI仿宋-GB2312" w:cs="CESI仿宋-GB2312"/>
                <w:color w:val="auto"/>
                <w:sz w:val="20"/>
                <w:szCs w:val="20"/>
                <w:highlight w:val="none"/>
              </w:rPr>
            </w:pPr>
          </w:p>
        </w:tc>
        <w:tc>
          <w:tcPr>
            <w:tcW w:w="2187" w:type="dxa"/>
            <w:vMerge w:val="continue"/>
            <w:tcBorders>
              <w:top w:val="nil"/>
              <w:left w:val="single" w:color="auto" w:sz="4" w:space="0"/>
              <w:bottom w:val="single" w:color="auto" w:sz="4" w:space="0"/>
              <w:right w:val="single" w:color="auto" w:sz="4" w:space="0"/>
            </w:tcBorders>
            <w:shd w:val="clear" w:color="auto" w:fill="auto"/>
            <w:vAlign w:val="center"/>
          </w:tcPr>
          <w:p w14:paraId="05A72BF7">
            <w:pPr>
              <w:jc w:val="center"/>
              <w:rPr>
                <w:rFonts w:ascii="CESI仿宋-GB2312" w:hAnsi="CESI仿宋-GB2312" w:eastAsia="CESI仿宋-GB2312" w:cs="CESI仿宋-GB2312"/>
                <w:color w:val="auto"/>
                <w:sz w:val="20"/>
                <w:szCs w:val="20"/>
                <w:highlight w:val="none"/>
              </w:rPr>
            </w:pPr>
          </w:p>
        </w:tc>
        <w:tc>
          <w:tcPr>
            <w:tcW w:w="4873" w:type="dxa"/>
            <w:tcBorders>
              <w:top w:val="nil"/>
              <w:left w:val="nil"/>
              <w:bottom w:val="single" w:color="auto" w:sz="4" w:space="0"/>
              <w:right w:val="single" w:color="auto" w:sz="4" w:space="0"/>
            </w:tcBorders>
            <w:shd w:val="clear" w:color="auto" w:fill="auto"/>
            <w:vAlign w:val="center"/>
          </w:tcPr>
          <w:p w14:paraId="794E4FD6">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2.场地能满足设置柜面服务区、信息发布区、数智求职区、职业培训区、等候休息区、便民服务区等基本功能区域。</w:t>
            </w:r>
          </w:p>
        </w:tc>
        <w:tc>
          <w:tcPr>
            <w:tcW w:w="1608" w:type="dxa"/>
            <w:vMerge w:val="continue"/>
            <w:tcBorders>
              <w:top w:val="nil"/>
              <w:left w:val="single" w:color="auto" w:sz="4" w:space="0"/>
              <w:bottom w:val="single" w:color="auto" w:sz="4" w:space="0"/>
              <w:right w:val="single" w:color="auto" w:sz="4" w:space="0"/>
            </w:tcBorders>
            <w:shd w:val="clear" w:color="auto" w:fill="auto"/>
            <w:vAlign w:val="center"/>
          </w:tcPr>
          <w:p w14:paraId="4C59ABEB">
            <w:pPr>
              <w:jc w:val="center"/>
              <w:rPr>
                <w:rFonts w:ascii="CESI仿宋-GB2312" w:hAnsi="CESI仿宋-GB2312" w:eastAsia="CESI仿宋-GB2312" w:cs="CESI仿宋-GB2312"/>
                <w:color w:val="auto"/>
                <w:sz w:val="20"/>
                <w:szCs w:val="20"/>
                <w:highlight w:val="none"/>
              </w:rPr>
            </w:pPr>
          </w:p>
        </w:tc>
      </w:tr>
      <w:tr w14:paraId="18B52719">
        <w:tblPrEx>
          <w:tblCellMar>
            <w:top w:w="0" w:type="dxa"/>
            <w:left w:w="108" w:type="dxa"/>
            <w:bottom w:w="0" w:type="dxa"/>
            <w:right w:w="108" w:type="dxa"/>
          </w:tblCellMar>
        </w:tblPrEx>
        <w:trPr>
          <w:trHeight w:val="90" w:hRule="atLeast"/>
        </w:trPr>
        <w:tc>
          <w:tcPr>
            <w:tcW w:w="562" w:type="dxa"/>
            <w:tcBorders>
              <w:top w:val="nil"/>
              <w:left w:val="single" w:color="auto" w:sz="4" w:space="0"/>
              <w:bottom w:val="single" w:color="auto" w:sz="4" w:space="0"/>
              <w:right w:val="single" w:color="auto" w:sz="4" w:space="0"/>
            </w:tcBorders>
            <w:shd w:val="clear" w:color="auto" w:fill="auto"/>
            <w:vAlign w:val="center"/>
          </w:tcPr>
          <w:p w14:paraId="59699145">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2</w:t>
            </w:r>
          </w:p>
        </w:tc>
        <w:tc>
          <w:tcPr>
            <w:tcW w:w="868" w:type="dxa"/>
            <w:tcBorders>
              <w:top w:val="nil"/>
              <w:left w:val="nil"/>
              <w:bottom w:val="single" w:color="auto" w:sz="4" w:space="0"/>
              <w:right w:val="single" w:color="auto" w:sz="4" w:space="0"/>
            </w:tcBorders>
            <w:shd w:val="clear" w:color="auto" w:fill="auto"/>
            <w:vAlign w:val="center"/>
          </w:tcPr>
          <w:p w14:paraId="41F6EA7E">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有服务设施</w:t>
            </w:r>
          </w:p>
        </w:tc>
        <w:tc>
          <w:tcPr>
            <w:tcW w:w="2187" w:type="dxa"/>
            <w:tcBorders>
              <w:top w:val="nil"/>
              <w:left w:val="nil"/>
              <w:bottom w:val="single" w:color="auto" w:sz="4" w:space="0"/>
              <w:right w:val="single" w:color="auto" w:sz="4" w:space="0"/>
            </w:tcBorders>
            <w:shd w:val="clear" w:color="auto" w:fill="auto"/>
            <w:vAlign w:val="center"/>
          </w:tcPr>
          <w:p w14:paraId="388EC93A">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配备有必要的办公服务、求职服务、便民服务、安全防护等设施设备</w:t>
            </w:r>
          </w:p>
        </w:tc>
        <w:tc>
          <w:tcPr>
            <w:tcW w:w="4873" w:type="dxa"/>
            <w:tcBorders>
              <w:top w:val="nil"/>
              <w:left w:val="nil"/>
              <w:bottom w:val="single" w:color="auto" w:sz="4" w:space="0"/>
              <w:right w:val="single" w:color="auto" w:sz="4" w:space="0"/>
            </w:tcBorders>
            <w:shd w:val="clear" w:color="auto" w:fill="auto"/>
            <w:vAlign w:val="center"/>
          </w:tcPr>
          <w:p w14:paraId="58CA8DA9">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1.办公服务：</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（1）服务前台及座椅（可容纳2人）</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（2）办公电脑（不少于2台）</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（3）打印复印一体机</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（4）文件柜；</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（5）座机电话</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（6）彩色大屏（2个，根据空间大小配置合理尺寸）；</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（7）培训室桌椅（至少可容纳30人及以上）</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（8）投影仪（1套）</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（9）音响（1套）</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（10）人社专网、免费</w:t>
            </w:r>
            <w:r>
              <w:rPr>
                <w:rFonts w:hint="eastAsia" w:ascii="CESI仿宋-GB2312" w:hAnsi="CESI仿宋-GB2312" w:eastAsia="CESI仿宋-GB2312" w:cs="CESI仿宋-GB2312"/>
                <w:color w:val="auto"/>
                <w:kern w:val="0"/>
                <w:sz w:val="20"/>
                <w:szCs w:val="20"/>
                <w:highlight w:val="none"/>
                <w:lang w:eastAsia="zh-CN" w:bidi="ar"/>
              </w:rPr>
              <w:t>Wi-Fi</w:t>
            </w:r>
            <w:r>
              <w:rPr>
                <w:rFonts w:ascii="CESI仿宋-GB2312" w:hAnsi="CESI仿宋-GB2312" w:eastAsia="CESI仿宋-GB2312" w:cs="CESI仿宋-GB2312"/>
                <w:color w:val="auto"/>
                <w:kern w:val="0"/>
                <w:sz w:val="20"/>
                <w:szCs w:val="20"/>
                <w:highlight w:val="none"/>
                <w:lang w:bidi="ar"/>
              </w:rPr>
              <w:t>；</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2.求职服务：</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（11）求职招聘信息发布大屏（或可触摸查询信息大屏）</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（12）求职招聘自助服务机；</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（13）资料取阅架</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（14）开设洽谈、面试区等，配套桌椅设备等（尺寸、款式、数量根据场地情况进行配备设置）；</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3.便民服务：</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（15）等候休息桌椅（连排不锈钢椅子不少于2套，可容纳6人以上）</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t>（因场地空间设置）</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（16）室内空调</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（17）自助饮水机或茶吧机（配一次性水杯）</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4.爱心服务设备：</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（18）应急药箱、微波炉、储物柜、充电宝、手机充电、便民雨伞及老花镜等；</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5.安全防护：</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（19）监控设备（数量视场地情况配备，确保监控全覆盖）；</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（20）灭火器（不少于2支配备</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t>视场地情况配置）</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br w:type="textWrapping"/>
            </w:r>
            <w:r>
              <w:rPr>
                <w:rFonts w:ascii="CESI仿宋-GB2312" w:hAnsi="CESI仿宋-GB2312" w:eastAsia="CESI仿宋-GB2312" w:cs="CESI仿宋-GB2312"/>
                <w:color w:val="auto"/>
                <w:kern w:val="0"/>
                <w:sz w:val="20"/>
                <w:szCs w:val="20"/>
                <w:highlight w:val="none"/>
                <w:lang w:bidi="ar"/>
              </w:rPr>
              <w:t>（21）反恐防暴装备</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t>数量视场地情况配备</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t>。</w:t>
            </w:r>
          </w:p>
        </w:tc>
        <w:tc>
          <w:tcPr>
            <w:tcW w:w="1608" w:type="dxa"/>
            <w:tcBorders>
              <w:top w:val="nil"/>
              <w:left w:val="nil"/>
              <w:bottom w:val="single" w:color="auto" w:sz="4" w:space="0"/>
              <w:right w:val="single" w:color="auto" w:sz="4" w:space="0"/>
            </w:tcBorders>
            <w:shd w:val="clear" w:color="auto" w:fill="auto"/>
            <w:vAlign w:val="center"/>
          </w:tcPr>
          <w:p w14:paraId="6DA97332">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61F8D369">
        <w:tblPrEx>
          <w:tblCellMar>
            <w:top w:w="0" w:type="dxa"/>
            <w:left w:w="108" w:type="dxa"/>
            <w:bottom w:w="0" w:type="dxa"/>
            <w:right w:w="108" w:type="dxa"/>
          </w:tblCellMar>
        </w:tblPrEx>
        <w:trPr>
          <w:trHeight w:val="960" w:hRule="atLeast"/>
        </w:trPr>
        <w:tc>
          <w:tcPr>
            <w:tcW w:w="562" w:type="dxa"/>
            <w:vMerge w:val="restart"/>
            <w:tcBorders>
              <w:top w:val="nil"/>
              <w:left w:val="single" w:color="auto" w:sz="4" w:space="0"/>
              <w:bottom w:val="single" w:color="auto" w:sz="4" w:space="0"/>
              <w:right w:val="single" w:color="auto" w:sz="4" w:space="0"/>
            </w:tcBorders>
            <w:shd w:val="clear" w:color="auto" w:fill="auto"/>
            <w:vAlign w:val="center"/>
          </w:tcPr>
          <w:p w14:paraId="78A9AD24">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3</w:t>
            </w:r>
          </w:p>
        </w:tc>
        <w:tc>
          <w:tcPr>
            <w:tcW w:w="868" w:type="dxa"/>
            <w:vMerge w:val="restart"/>
            <w:tcBorders>
              <w:top w:val="nil"/>
              <w:left w:val="single" w:color="auto" w:sz="4" w:space="0"/>
              <w:bottom w:val="single" w:color="auto" w:sz="4" w:space="0"/>
              <w:right w:val="single" w:color="auto" w:sz="4" w:space="0"/>
            </w:tcBorders>
            <w:shd w:val="clear" w:color="auto" w:fill="auto"/>
            <w:vAlign w:val="center"/>
          </w:tcPr>
          <w:p w14:paraId="20642DB9">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有服务团队</w:t>
            </w:r>
          </w:p>
        </w:tc>
        <w:tc>
          <w:tcPr>
            <w:tcW w:w="2187" w:type="dxa"/>
            <w:vMerge w:val="restart"/>
            <w:tcBorders>
              <w:top w:val="nil"/>
              <w:left w:val="single" w:color="auto" w:sz="4" w:space="0"/>
              <w:bottom w:val="single" w:color="auto" w:sz="4" w:space="0"/>
              <w:right w:val="single" w:color="auto" w:sz="4" w:space="0"/>
            </w:tcBorders>
            <w:shd w:val="clear" w:color="auto" w:fill="auto"/>
            <w:vAlign w:val="center"/>
          </w:tcPr>
          <w:p w14:paraId="3E3ADE8F">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配备专业的运营队伍，熟悉就业政策和业务流程，在购买服务方和属地的监督指导下充分实现服务要求</w:t>
            </w:r>
          </w:p>
        </w:tc>
        <w:tc>
          <w:tcPr>
            <w:tcW w:w="4873" w:type="dxa"/>
            <w:tcBorders>
              <w:top w:val="nil"/>
              <w:left w:val="nil"/>
              <w:bottom w:val="single" w:color="auto" w:sz="4" w:space="0"/>
              <w:right w:val="single" w:color="auto" w:sz="4" w:space="0"/>
            </w:tcBorders>
            <w:shd w:val="clear" w:color="auto" w:fill="auto"/>
            <w:vAlign w:val="center"/>
          </w:tcPr>
          <w:p w14:paraId="7378F14F">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1.第一站长：当地党委政府或所属机构安排1名负责人负责服务站的日常联络和监督指导工作，或者由一级就业服务站第一站长兼任；</w:t>
            </w:r>
          </w:p>
        </w:tc>
        <w:tc>
          <w:tcPr>
            <w:tcW w:w="1608" w:type="dxa"/>
            <w:vMerge w:val="restart"/>
            <w:tcBorders>
              <w:top w:val="nil"/>
              <w:left w:val="single" w:color="auto" w:sz="4" w:space="0"/>
              <w:bottom w:val="single" w:color="auto" w:sz="4" w:space="0"/>
              <w:right w:val="single" w:color="auto" w:sz="4" w:space="0"/>
            </w:tcBorders>
            <w:shd w:val="clear" w:color="auto" w:fill="auto"/>
            <w:vAlign w:val="center"/>
          </w:tcPr>
          <w:p w14:paraId="01CE49FB">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运营公司在履行服务约定的基础上，可根据需要增加人员配备或管理运营力量</w:t>
            </w:r>
          </w:p>
        </w:tc>
      </w:tr>
      <w:tr w14:paraId="1DF9F766">
        <w:tblPrEx>
          <w:tblCellMar>
            <w:top w:w="0" w:type="dxa"/>
            <w:left w:w="108" w:type="dxa"/>
            <w:bottom w:w="0" w:type="dxa"/>
            <w:right w:w="108" w:type="dxa"/>
          </w:tblCellMar>
        </w:tblPrEx>
        <w:trPr>
          <w:trHeight w:val="720" w:hRule="atLeast"/>
        </w:trPr>
        <w:tc>
          <w:tcPr>
            <w:tcW w:w="562" w:type="dxa"/>
            <w:vMerge w:val="continue"/>
            <w:tcBorders>
              <w:top w:val="nil"/>
              <w:left w:val="single" w:color="auto" w:sz="4" w:space="0"/>
              <w:bottom w:val="single" w:color="auto" w:sz="4" w:space="0"/>
              <w:right w:val="single" w:color="auto" w:sz="4" w:space="0"/>
            </w:tcBorders>
            <w:shd w:val="clear" w:color="auto" w:fill="auto"/>
            <w:vAlign w:val="center"/>
          </w:tcPr>
          <w:p w14:paraId="21D349F3">
            <w:pPr>
              <w:jc w:val="center"/>
              <w:rPr>
                <w:rFonts w:ascii="CESI仿宋-GB2312" w:hAnsi="CESI仿宋-GB2312" w:eastAsia="CESI仿宋-GB2312" w:cs="CESI仿宋-GB2312"/>
                <w:color w:val="auto"/>
                <w:sz w:val="20"/>
                <w:szCs w:val="20"/>
                <w:highlight w:val="none"/>
              </w:rPr>
            </w:pPr>
          </w:p>
        </w:tc>
        <w:tc>
          <w:tcPr>
            <w:tcW w:w="868" w:type="dxa"/>
            <w:vMerge w:val="continue"/>
            <w:tcBorders>
              <w:top w:val="nil"/>
              <w:left w:val="single" w:color="auto" w:sz="4" w:space="0"/>
              <w:bottom w:val="single" w:color="auto" w:sz="4" w:space="0"/>
              <w:right w:val="single" w:color="auto" w:sz="4" w:space="0"/>
            </w:tcBorders>
            <w:shd w:val="clear" w:color="auto" w:fill="auto"/>
            <w:vAlign w:val="center"/>
          </w:tcPr>
          <w:p w14:paraId="41C8C1D9">
            <w:pPr>
              <w:jc w:val="center"/>
              <w:rPr>
                <w:rFonts w:ascii="CESI仿宋-GB2312" w:hAnsi="CESI仿宋-GB2312" w:eastAsia="CESI仿宋-GB2312" w:cs="CESI仿宋-GB2312"/>
                <w:color w:val="auto"/>
                <w:sz w:val="20"/>
                <w:szCs w:val="20"/>
                <w:highlight w:val="none"/>
              </w:rPr>
            </w:pPr>
          </w:p>
        </w:tc>
        <w:tc>
          <w:tcPr>
            <w:tcW w:w="2187" w:type="dxa"/>
            <w:vMerge w:val="continue"/>
            <w:tcBorders>
              <w:top w:val="nil"/>
              <w:left w:val="single" w:color="auto" w:sz="4" w:space="0"/>
              <w:bottom w:val="single" w:color="auto" w:sz="4" w:space="0"/>
              <w:right w:val="single" w:color="auto" w:sz="4" w:space="0"/>
            </w:tcBorders>
            <w:shd w:val="clear" w:color="auto" w:fill="auto"/>
            <w:vAlign w:val="center"/>
          </w:tcPr>
          <w:p w14:paraId="4DC1821D">
            <w:pPr>
              <w:jc w:val="center"/>
              <w:rPr>
                <w:rFonts w:ascii="CESI仿宋-GB2312" w:hAnsi="CESI仿宋-GB2312" w:eastAsia="CESI仿宋-GB2312" w:cs="CESI仿宋-GB2312"/>
                <w:color w:val="auto"/>
                <w:sz w:val="20"/>
                <w:szCs w:val="20"/>
                <w:highlight w:val="none"/>
              </w:rPr>
            </w:pPr>
          </w:p>
        </w:tc>
        <w:tc>
          <w:tcPr>
            <w:tcW w:w="4873" w:type="dxa"/>
            <w:tcBorders>
              <w:top w:val="nil"/>
              <w:left w:val="nil"/>
              <w:bottom w:val="single" w:color="auto" w:sz="4" w:space="0"/>
              <w:right w:val="single" w:color="auto" w:sz="4" w:space="0"/>
            </w:tcBorders>
            <w:shd w:val="clear" w:color="auto" w:fill="auto"/>
            <w:vAlign w:val="center"/>
          </w:tcPr>
          <w:p w14:paraId="13A97C0A">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2.站长：运营机构设置有专门的驻站负责人，对服务站日常运营负责；</w:t>
            </w:r>
          </w:p>
        </w:tc>
        <w:tc>
          <w:tcPr>
            <w:tcW w:w="1608" w:type="dxa"/>
            <w:vMerge w:val="continue"/>
            <w:tcBorders>
              <w:top w:val="nil"/>
              <w:left w:val="single" w:color="auto" w:sz="4" w:space="0"/>
              <w:bottom w:val="single" w:color="auto" w:sz="4" w:space="0"/>
              <w:right w:val="single" w:color="auto" w:sz="4" w:space="0"/>
            </w:tcBorders>
            <w:shd w:val="clear" w:color="auto" w:fill="auto"/>
            <w:vAlign w:val="center"/>
          </w:tcPr>
          <w:p w14:paraId="68083584">
            <w:pPr>
              <w:jc w:val="center"/>
              <w:rPr>
                <w:rFonts w:ascii="CESI仿宋-GB2312" w:hAnsi="CESI仿宋-GB2312" w:eastAsia="CESI仿宋-GB2312" w:cs="CESI仿宋-GB2312"/>
                <w:color w:val="auto"/>
                <w:sz w:val="20"/>
                <w:szCs w:val="20"/>
                <w:highlight w:val="none"/>
              </w:rPr>
            </w:pPr>
          </w:p>
        </w:tc>
      </w:tr>
      <w:tr w14:paraId="5E86F26F">
        <w:tblPrEx>
          <w:tblCellMar>
            <w:top w:w="0" w:type="dxa"/>
            <w:left w:w="108" w:type="dxa"/>
            <w:bottom w:w="0" w:type="dxa"/>
            <w:right w:w="108" w:type="dxa"/>
          </w:tblCellMar>
        </w:tblPrEx>
        <w:trPr>
          <w:trHeight w:val="240" w:hRule="atLeast"/>
        </w:trPr>
        <w:tc>
          <w:tcPr>
            <w:tcW w:w="562" w:type="dxa"/>
            <w:vMerge w:val="continue"/>
            <w:tcBorders>
              <w:top w:val="nil"/>
              <w:left w:val="single" w:color="auto" w:sz="4" w:space="0"/>
              <w:bottom w:val="single" w:color="auto" w:sz="4" w:space="0"/>
              <w:right w:val="single" w:color="auto" w:sz="4" w:space="0"/>
            </w:tcBorders>
            <w:shd w:val="clear" w:color="auto" w:fill="auto"/>
            <w:vAlign w:val="center"/>
          </w:tcPr>
          <w:p w14:paraId="1994D3DB">
            <w:pPr>
              <w:jc w:val="center"/>
              <w:rPr>
                <w:rFonts w:ascii="CESI仿宋-GB2312" w:hAnsi="CESI仿宋-GB2312" w:eastAsia="CESI仿宋-GB2312" w:cs="CESI仿宋-GB2312"/>
                <w:color w:val="auto"/>
                <w:sz w:val="20"/>
                <w:szCs w:val="20"/>
                <w:highlight w:val="none"/>
              </w:rPr>
            </w:pPr>
          </w:p>
        </w:tc>
        <w:tc>
          <w:tcPr>
            <w:tcW w:w="868" w:type="dxa"/>
            <w:vMerge w:val="continue"/>
            <w:tcBorders>
              <w:top w:val="nil"/>
              <w:left w:val="single" w:color="auto" w:sz="4" w:space="0"/>
              <w:bottom w:val="single" w:color="auto" w:sz="4" w:space="0"/>
              <w:right w:val="single" w:color="auto" w:sz="4" w:space="0"/>
            </w:tcBorders>
            <w:shd w:val="clear" w:color="auto" w:fill="auto"/>
            <w:vAlign w:val="center"/>
          </w:tcPr>
          <w:p w14:paraId="7D903D31">
            <w:pPr>
              <w:jc w:val="center"/>
              <w:rPr>
                <w:rFonts w:ascii="CESI仿宋-GB2312" w:hAnsi="CESI仿宋-GB2312" w:eastAsia="CESI仿宋-GB2312" w:cs="CESI仿宋-GB2312"/>
                <w:color w:val="auto"/>
                <w:sz w:val="20"/>
                <w:szCs w:val="20"/>
                <w:highlight w:val="none"/>
              </w:rPr>
            </w:pPr>
          </w:p>
        </w:tc>
        <w:tc>
          <w:tcPr>
            <w:tcW w:w="2187" w:type="dxa"/>
            <w:vMerge w:val="continue"/>
            <w:tcBorders>
              <w:top w:val="nil"/>
              <w:left w:val="single" w:color="auto" w:sz="4" w:space="0"/>
              <w:bottom w:val="single" w:color="auto" w:sz="4" w:space="0"/>
              <w:right w:val="single" w:color="auto" w:sz="4" w:space="0"/>
            </w:tcBorders>
            <w:shd w:val="clear" w:color="auto" w:fill="auto"/>
            <w:vAlign w:val="center"/>
          </w:tcPr>
          <w:p w14:paraId="21886954">
            <w:pPr>
              <w:jc w:val="center"/>
              <w:rPr>
                <w:rFonts w:ascii="CESI仿宋-GB2312" w:hAnsi="CESI仿宋-GB2312" w:eastAsia="CESI仿宋-GB2312" w:cs="CESI仿宋-GB2312"/>
                <w:color w:val="auto"/>
                <w:sz w:val="20"/>
                <w:szCs w:val="20"/>
                <w:highlight w:val="none"/>
              </w:rPr>
            </w:pPr>
          </w:p>
        </w:tc>
        <w:tc>
          <w:tcPr>
            <w:tcW w:w="4873" w:type="dxa"/>
            <w:tcBorders>
              <w:top w:val="nil"/>
              <w:left w:val="nil"/>
              <w:bottom w:val="single" w:color="auto" w:sz="4" w:space="0"/>
              <w:right w:val="single" w:color="auto" w:sz="4" w:space="0"/>
            </w:tcBorders>
            <w:shd w:val="clear" w:color="auto" w:fill="auto"/>
            <w:vAlign w:val="center"/>
          </w:tcPr>
          <w:p w14:paraId="093D7DFB">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3.服务专员：前台常态至少1人在岗服务。</w:t>
            </w:r>
          </w:p>
        </w:tc>
        <w:tc>
          <w:tcPr>
            <w:tcW w:w="1608" w:type="dxa"/>
            <w:vMerge w:val="continue"/>
            <w:tcBorders>
              <w:top w:val="nil"/>
              <w:left w:val="single" w:color="auto" w:sz="4" w:space="0"/>
              <w:bottom w:val="single" w:color="auto" w:sz="4" w:space="0"/>
              <w:right w:val="single" w:color="auto" w:sz="4" w:space="0"/>
            </w:tcBorders>
            <w:shd w:val="clear" w:color="auto" w:fill="auto"/>
            <w:vAlign w:val="center"/>
          </w:tcPr>
          <w:p w14:paraId="1716BE15">
            <w:pPr>
              <w:jc w:val="center"/>
              <w:rPr>
                <w:rFonts w:ascii="CESI仿宋-GB2312" w:hAnsi="CESI仿宋-GB2312" w:eastAsia="CESI仿宋-GB2312" w:cs="CESI仿宋-GB2312"/>
                <w:color w:val="auto"/>
                <w:sz w:val="20"/>
                <w:szCs w:val="20"/>
                <w:highlight w:val="none"/>
              </w:rPr>
            </w:pPr>
          </w:p>
        </w:tc>
      </w:tr>
      <w:tr w14:paraId="7781B9EF">
        <w:tblPrEx>
          <w:tblCellMar>
            <w:top w:w="0" w:type="dxa"/>
            <w:left w:w="108" w:type="dxa"/>
            <w:bottom w:w="0" w:type="dxa"/>
            <w:right w:w="108" w:type="dxa"/>
          </w:tblCellMar>
        </w:tblPrEx>
        <w:trPr>
          <w:trHeight w:val="720" w:hRule="atLeast"/>
        </w:trPr>
        <w:tc>
          <w:tcPr>
            <w:tcW w:w="562" w:type="dxa"/>
            <w:vMerge w:val="restart"/>
            <w:tcBorders>
              <w:top w:val="nil"/>
              <w:left w:val="single" w:color="auto" w:sz="4" w:space="0"/>
              <w:bottom w:val="single" w:color="auto" w:sz="4" w:space="0"/>
              <w:right w:val="single" w:color="auto" w:sz="4" w:space="0"/>
            </w:tcBorders>
            <w:shd w:val="clear" w:color="auto" w:fill="auto"/>
            <w:vAlign w:val="center"/>
          </w:tcPr>
          <w:p w14:paraId="7A0F7F1C">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4</w:t>
            </w:r>
          </w:p>
        </w:tc>
        <w:tc>
          <w:tcPr>
            <w:tcW w:w="868" w:type="dxa"/>
            <w:vMerge w:val="restart"/>
            <w:tcBorders>
              <w:top w:val="nil"/>
              <w:left w:val="single" w:color="auto" w:sz="4" w:space="0"/>
              <w:bottom w:val="single" w:color="auto" w:sz="4" w:space="0"/>
              <w:right w:val="single" w:color="auto" w:sz="4" w:space="0"/>
            </w:tcBorders>
            <w:shd w:val="clear" w:color="auto" w:fill="auto"/>
            <w:vAlign w:val="center"/>
          </w:tcPr>
          <w:p w14:paraId="3F8C5FDD">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有服务标识</w:t>
            </w:r>
          </w:p>
        </w:tc>
        <w:tc>
          <w:tcPr>
            <w:tcW w:w="2187" w:type="dxa"/>
            <w:vMerge w:val="restart"/>
            <w:tcBorders>
              <w:top w:val="nil"/>
              <w:left w:val="single" w:color="auto" w:sz="4" w:space="0"/>
              <w:bottom w:val="single" w:color="auto" w:sz="4" w:space="0"/>
              <w:right w:val="single" w:color="auto" w:sz="4" w:space="0"/>
            </w:tcBorders>
            <w:shd w:val="clear" w:color="auto" w:fill="auto"/>
            <w:vAlign w:val="center"/>
          </w:tcPr>
          <w:p w14:paraId="07468385">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统一命名规则、统一视觉识别，统一服务清单、统一制度规范</w:t>
            </w:r>
          </w:p>
        </w:tc>
        <w:tc>
          <w:tcPr>
            <w:tcW w:w="4873" w:type="dxa"/>
            <w:tcBorders>
              <w:top w:val="nil"/>
              <w:left w:val="nil"/>
              <w:bottom w:val="single" w:color="auto" w:sz="4" w:space="0"/>
              <w:right w:val="single" w:color="auto" w:sz="4" w:space="0"/>
            </w:tcBorders>
            <w:shd w:val="clear" w:color="auto" w:fill="auto"/>
            <w:vAlign w:val="center"/>
          </w:tcPr>
          <w:p w14:paraId="37303DD0">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1.使用统一的标识标牌字体和徽标图案，室内装修以蓝底白色为主基调，形成整洁统一的视觉识别效果</w:t>
            </w:r>
            <w:r>
              <w:rPr>
                <w:rFonts w:hint="eastAsia" w:ascii="CESI仿宋-GB2312" w:hAnsi="CESI仿宋-GB2312" w:eastAsia="CESI仿宋-GB2312" w:cs="CESI仿宋-GB2312"/>
                <w:color w:val="auto"/>
                <w:kern w:val="0"/>
                <w:sz w:val="20"/>
                <w:szCs w:val="20"/>
                <w:highlight w:val="none"/>
                <w:lang w:eastAsia="zh-CN" w:bidi="ar"/>
              </w:rPr>
              <w:t>；</w:t>
            </w:r>
          </w:p>
        </w:tc>
        <w:tc>
          <w:tcPr>
            <w:tcW w:w="1608" w:type="dxa"/>
            <w:tcBorders>
              <w:top w:val="nil"/>
              <w:left w:val="nil"/>
              <w:bottom w:val="single" w:color="auto" w:sz="4" w:space="0"/>
              <w:right w:val="single" w:color="auto" w:sz="4" w:space="0"/>
            </w:tcBorders>
            <w:shd w:val="clear" w:color="auto" w:fill="auto"/>
            <w:vAlign w:val="center"/>
          </w:tcPr>
          <w:p w14:paraId="50C02CC1">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0DD09FCA">
        <w:tblPrEx>
          <w:tblCellMar>
            <w:top w:w="0" w:type="dxa"/>
            <w:left w:w="108" w:type="dxa"/>
            <w:bottom w:w="0" w:type="dxa"/>
            <w:right w:w="108" w:type="dxa"/>
          </w:tblCellMar>
        </w:tblPrEx>
        <w:trPr>
          <w:trHeight w:val="720" w:hRule="atLeast"/>
        </w:trPr>
        <w:tc>
          <w:tcPr>
            <w:tcW w:w="562" w:type="dxa"/>
            <w:vMerge w:val="continue"/>
            <w:tcBorders>
              <w:top w:val="nil"/>
              <w:left w:val="single" w:color="auto" w:sz="4" w:space="0"/>
              <w:bottom w:val="single" w:color="auto" w:sz="4" w:space="0"/>
              <w:right w:val="single" w:color="auto" w:sz="4" w:space="0"/>
            </w:tcBorders>
            <w:shd w:val="clear" w:color="auto" w:fill="auto"/>
            <w:vAlign w:val="center"/>
          </w:tcPr>
          <w:p w14:paraId="46C6ED26">
            <w:pPr>
              <w:jc w:val="center"/>
              <w:rPr>
                <w:rFonts w:ascii="CESI仿宋-GB2312" w:hAnsi="CESI仿宋-GB2312" w:eastAsia="CESI仿宋-GB2312" w:cs="CESI仿宋-GB2312"/>
                <w:color w:val="auto"/>
                <w:sz w:val="20"/>
                <w:szCs w:val="20"/>
                <w:highlight w:val="none"/>
              </w:rPr>
            </w:pPr>
          </w:p>
        </w:tc>
        <w:tc>
          <w:tcPr>
            <w:tcW w:w="868" w:type="dxa"/>
            <w:vMerge w:val="continue"/>
            <w:tcBorders>
              <w:top w:val="nil"/>
              <w:left w:val="single" w:color="auto" w:sz="4" w:space="0"/>
              <w:bottom w:val="single" w:color="auto" w:sz="4" w:space="0"/>
              <w:right w:val="single" w:color="auto" w:sz="4" w:space="0"/>
            </w:tcBorders>
            <w:shd w:val="clear" w:color="auto" w:fill="auto"/>
            <w:vAlign w:val="center"/>
          </w:tcPr>
          <w:p w14:paraId="5884B73A">
            <w:pPr>
              <w:jc w:val="center"/>
              <w:rPr>
                <w:rFonts w:ascii="CESI仿宋-GB2312" w:hAnsi="CESI仿宋-GB2312" w:eastAsia="CESI仿宋-GB2312" w:cs="CESI仿宋-GB2312"/>
                <w:color w:val="auto"/>
                <w:sz w:val="20"/>
                <w:szCs w:val="20"/>
                <w:highlight w:val="none"/>
              </w:rPr>
            </w:pPr>
          </w:p>
        </w:tc>
        <w:tc>
          <w:tcPr>
            <w:tcW w:w="2187" w:type="dxa"/>
            <w:vMerge w:val="continue"/>
            <w:tcBorders>
              <w:top w:val="nil"/>
              <w:left w:val="single" w:color="auto" w:sz="4" w:space="0"/>
              <w:bottom w:val="single" w:color="auto" w:sz="4" w:space="0"/>
              <w:right w:val="single" w:color="auto" w:sz="4" w:space="0"/>
            </w:tcBorders>
            <w:shd w:val="clear" w:color="auto" w:fill="auto"/>
            <w:vAlign w:val="center"/>
          </w:tcPr>
          <w:p w14:paraId="7675FF8A">
            <w:pPr>
              <w:jc w:val="center"/>
              <w:rPr>
                <w:rFonts w:ascii="CESI仿宋-GB2312" w:hAnsi="CESI仿宋-GB2312" w:eastAsia="CESI仿宋-GB2312" w:cs="CESI仿宋-GB2312"/>
                <w:color w:val="auto"/>
                <w:sz w:val="20"/>
                <w:szCs w:val="20"/>
                <w:highlight w:val="none"/>
              </w:rPr>
            </w:pPr>
          </w:p>
        </w:tc>
        <w:tc>
          <w:tcPr>
            <w:tcW w:w="4873" w:type="dxa"/>
            <w:tcBorders>
              <w:top w:val="nil"/>
              <w:left w:val="nil"/>
              <w:bottom w:val="single" w:color="auto" w:sz="4" w:space="0"/>
              <w:right w:val="single" w:color="auto" w:sz="4" w:space="0"/>
            </w:tcBorders>
            <w:shd w:val="clear" w:color="auto" w:fill="auto"/>
            <w:vAlign w:val="center"/>
          </w:tcPr>
          <w:p w14:paraId="27D93850">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2.门口上方按规范悬挂“就业服务站”牌匾；服务前台后方设置背景墙，明显标识“就业服务站”和主要服务内容；</w:t>
            </w:r>
          </w:p>
        </w:tc>
        <w:tc>
          <w:tcPr>
            <w:tcW w:w="1608" w:type="dxa"/>
            <w:tcBorders>
              <w:top w:val="nil"/>
              <w:left w:val="nil"/>
              <w:bottom w:val="single" w:color="auto" w:sz="4" w:space="0"/>
              <w:right w:val="single" w:color="auto" w:sz="4" w:space="0"/>
            </w:tcBorders>
            <w:shd w:val="clear" w:color="auto" w:fill="auto"/>
            <w:vAlign w:val="center"/>
          </w:tcPr>
          <w:p w14:paraId="53520D2F">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0D1957F6">
        <w:tblPrEx>
          <w:tblCellMar>
            <w:top w:w="0" w:type="dxa"/>
            <w:left w:w="108" w:type="dxa"/>
            <w:bottom w:w="0" w:type="dxa"/>
            <w:right w:w="108" w:type="dxa"/>
          </w:tblCellMar>
        </w:tblPrEx>
        <w:trPr>
          <w:trHeight w:val="720" w:hRule="atLeast"/>
        </w:trPr>
        <w:tc>
          <w:tcPr>
            <w:tcW w:w="562" w:type="dxa"/>
            <w:vMerge w:val="continue"/>
            <w:tcBorders>
              <w:top w:val="nil"/>
              <w:left w:val="single" w:color="auto" w:sz="4" w:space="0"/>
              <w:bottom w:val="single" w:color="auto" w:sz="4" w:space="0"/>
              <w:right w:val="single" w:color="auto" w:sz="4" w:space="0"/>
            </w:tcBorders>
            <w:shd w:val="clear" w:color="auto" w:fill="auto"/>
            <w:vAlign w:val="center"/>
          </w:tcPr>
          <w:p w14:paraId="178EC873">
            <w:pPr>
              <w:jc w:val="center"/>
              <w:rPr>
                <w:rFonts w:ascii="CESI仿宋-GB2312" w:hAnsi="CESI仿宋-GB2312" w:eastAsia="CESI仿宋-GB2312" w:cs="CESI仿宋-GB2312"/>
                <w:color w:val="auto"/>
                <w:sz w:val="20"/>
                <w:szCs w:val="20"/>
                <w:highlight w:val="none"/>
              </w:rPr>
            </w:pPr>
          </w:p>
        </w:tc>
        <w:tc>
          <w:tcPr>
            <w:tcW w:w="868" w:type="dxa"/>
            <w:vMerge w:val="continue"/>
            <w:tcBorders>
              <w:top w:val="nil"/>
              <w:left w:val="single" w:color="auto" w:sz="4" w:space="0"/>
              <w:bottom w:val="single" w:color="auto" w:sz="4" w:space="0"/>
              <w:right w:val="single" w:color="auto" w:sz="4" w:space="0"/>
            </w:tcBorders>
            <w:shd w:val="clear" w:color="auto" w:fill="auto"/>
            <w:vAlign w:val="center"/>
          </w:tcPr>
          <w:p w14:paraId="5BACA2DE">
            <w:pPr>
              <w:jc w:val="center"/>
              <w:rPr>
                <w:rFonts w:ascii="CESI仿宋-GB2312" w:hAnsi="CESI仿宋-GB2312" w:eastAsia="CESI仿宋-GB2312" w:cs="CESI仿宋-GB2312"/>
                <w:color w:val="auto"/>
                <w:sz w:val="20"/>
                <w:szCs w:val="20"/>
                <w:highlight w:val="none"/>
              </w:rPr>
            </w:pPr>
          </w:p>
        </w:tc>
        <w:tc>
          <w:tcPr>
            <w:tcW w:w="2187" w:type="dxa"/>
            <w:vMerge w:val="continue"/>
            <w:tcBorders>
              <w:top w:val="nil"/>
              <w:left w:val="single" w:color="auto" w:sz="4" w:space="0"/>
              <w:bottom w:val="single" w:color="auto" w:sz="4" w:space="0"/>
              <w:right w:val="single" w:color="auto" w:sz="4" w:space="0"/>
            </w:tcBorders>
            <w:shd w:val="clear" w:color="auto" w:fill="auto"/>
            <w:vAlign w:val="center"/>
          </w:tcPr>
          <w:p w14:paraId="08F0F63E">
            <w:pPr>
              <w:jc w:val="center"/>
              <w:rPr>
                <w:rFonts w:ascii="CESI仿宋-GB2312" w:hAnsi="CESI仿宋-GB2312" w:eastAsia="CESI仿宋-GB2312" w:cs="CESI仿宋-GB2312"/>
                <w:color w:val="auto"/>
                <w:sz w:val="20"/>
                <w:szCs w:val="20"/>
                <w:highlight w:val="none"/>
              </w:rPr>
            </w:pPr>
          </w:p>
        </w:tc>
        <w:tc>
          <w:tcPr>
            <w:tcW w:w="4873" w:type="dxa"/>
            <w:tcBorders>
              <w:top w:val="nil"/>
              <w:left w:val="nil"/>
              <w:bottom w:val="single" w:color="auto" w:sz="4" w:space="0"/>
              <w:right w:val="single" w:color="auto" w:sz="4" w:space="0"/>
            </w:tcBorders>
            <w:shd w:val="clear" w:color="auto" w:fill="auto"/>
            <w:vAlign w:val="center"/>
          </w:tcPr>
          <w:p w14:paraId="1F2368F7">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3.场所内张贴服务站简介、服务网点分布图等，张贴或悬挂服务事项清单，对各功能区域规范标识、标语和服务指引；</w:t>
            </w:r>
          </w:p>
        </w:tc>
        <w:tc>
          <w:tcPr>
            <w:tcW w:w="1608" w:type="dxa"/>
            <w:tcBorders>
              <w:top w:val="nil"/>
              <w:left w:val="nil"/>
              <w:bottom w:val="single" w:color="auto" w:sz="4" w:space="0"/>
              <w:right w:val="single" w:color="auto" w:sz="4" w:space="0"/>
            </w:tcBorders>
            <w:shd w:val="clear" w:color="auto" w:fill="auto"/>
            <w:vAlign w:val="center"/>
          </w:tcPr>
          <w:p w14:paraId="2C7E874D">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4BAEEB73">
        <w:tblPrEx>
          <w:tblCellMar>
            <w:top w:w="0" w:type="dxa"/>
            <w:left w:w="108" w:type="dxa"/>
            <w:bottom w:w="0" w:type="dxa"/>
            <w:right w:w="108" w:type="dxa"/>
          </w:tblCellMar>
        </w:tblPrEx>
        <w:trPr>
          <w:trHeight w:val="480" w:hRule="atLeast"/>
        </w:trPr>
        <w:tc>
          <w:tcPr>
            <w:tcW w:w="562" w:type="dxa"/>
            <w:vMerge w:val="continue"/>
            <w:tcBorders>
              <w:top w:val="nil"/>
              <w:left w:val="single" w:color="auto" w:sz="4" w:space="0"/>
              <w:bottom w:val="single" w:color="auto" w:sz="4" w:space="0"/>
              <w:right w:val="single" w:color="auto" w:sz="4" w:space="0"/>
            </w:tcBorders>
            <w:shd w:val="clear" w:color="auto" w:fill="auto"/>
            <w:vAlign w:val="center"/>
          </w:tcPr>
          <w:p w14:paraId="20503AAE">
            <w:pPr>
              <w:jc w:val="center"/>
              <w:rPr>
                <w:rFonts w:ascii="CESI仿宋-GB2312" w:hAnsi="CESI仿宋-GB2312" w:eastAsia="CESI仿宋-GB2312" w:cs="CESI仿宋-GB2312"/>
                <w:color w:val="auto"/>
                <w:sz w:val="20"/>
                <w:szCs w:val="20"/>
                <w:highlight w:val="none"/>
              </w:rPr>
            </w:pPr>
          </w:p>
        </w:tc>
        <w:tc>
          <w:tcPr>
            <w:tcW w:w="868" w:type="dxa"/>
            <w:vMerge w:val="continue"/>
            <w:tcBorders>
              <w:top w:val="nil"/>
              <w:left w:val="single" w:color="auto" w:sz="4" w:space="0"/>
              <w:bottom w:val="single" w:color="auto" w:sz="4" w:space="0"/>
              <w:right w:val="single" w:color="auto" w:sz="4" w:space="0"/>
            </w:tcBorders>
            <w:shd w:val="clear" w:color="auto" w:fill="auto"/>
            <w:vAlign w:val="center"/>
          </w:tcPr>
          <w:p w14:paraId="40E7F589">
            <w:pPr>
              <w:jc w:val="center"/>
              <w:rPr>
                <w:rFonts w:ascii="CESI仿宋-GB2312" w:hAnsi="CESI仿宋-GB2312" w:eastAsia="CESI仿宋-GB2312" w:cs="CESI仿宋-GB2312"/>
                <w:color w:val="auto"/>
                <w:sz w:val="20"/>
                <w:szCs w:val="20"/>
                <w:highlight w:val="none"/>
              </w:rPr>
            </w:pPr>
          </w:p>
        </w:tc>
        <w:tc>
          <w:tcPr>
            <w:tcW w:w="2187" w:type="dxa"/>
            <w:vMerge w:val="continue"/>
            <w:tcBorders>
              <w:top w:val="nil"/>
              <w:left w:val="single" w:color="auto" w:sz="4" w:space="0"/>
              <w:bottom w:val="single" w:color="auto" w:sz="4" w:space="0"/>
              <w:right w:val="single" w:color="auto" w:sz="4" w:space="0"/>
            </w:tcBorders>
            <w:shd w:val="clear" w:color="auto" w:fill="auto"/>
            <w:vAlign w:val="center"/>
          </w:tcPr>
          <w:p w14:paraId="1DC357D2">
            <w:pPr>
              <w:jc w:val="center"/>
              <w:rPr>
                <w:rFonts w:ascii="CESI仿宋-GB2312" w:hAnsi="CESI仿宋-GB2312" w:eastAsia="CESI仿宋-GB2312" w:cs="CESI仿宋-GB2312"/>
                <w:color w:val="auto"/>
                <w:sz w:val="20"/>
                <w:szCs w:val="20"/>
                <w:highlight w:val="none"/>
              </w:rPr>
            </w:pPr>
          </w:p>
        </w:tc>
        <w:tc>
          <w:tcPr>
            <w:tcW w:w="4873" w:type="dxa"/>
            <w:tcBorders>
              <w:top w:val="nil"/>
              <w:left w:val="nil"/>
              <w:bottom w:val="single" w:color="auto" w:sz="4" w:space="0"/>
              <w:right w:val="single" w:color="auto" w:sz="4" w:space="0"/>
            </w:tcBorders>
            <w:shd w:val="clear" w:color="auto" w:fill="auto"/>
            <w:vAlign w:val="center"/>
          </w:tcPr>
          <w:p w14:paraId="6A0CDEF7">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4.服务场所门口张贴《服务时间》，实行服务时间告知和服务监督电话公开；</w:t>
            </w:r>
          </w:p>
        </w:tc>
        <w:tc>
          <w:tcPr>
            <w:tcW w:w="1608" w:type="dxa"/>
            <w:tcBorders>
              <w:top w:val="nil"/>
              <w:left w:val="nil"/>
              <w:bottom w:val="single" w:color="auto" w:sz="4" w:space="0"/>
              <w:right w:val="single" w:color="auto" w:sz="4" w:space="0"/>
            </w:tcBorders>
            <w:shd w:val="clear" w:color="auto" w:fill="auto"/>
            <w:vAlign w:val="center"/>
          </w:tcPr>
          <w:p w14:paraId="0AD2951B">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7B231663">
        <w:tblPrEx>
          <w:tblCellMar>
            <w:top w:w="0" w:type="dxa"/>
            <w:left w:w="108" w:type="dxa"/>
            <w:bottom w:w="0" w:type="dxa"/>
            <w:right w:w="108" w:type="dxa"/>
          </w:tblCellMar>
        </w:tblPrEx>
        <w:trPr>
          <w:trHeight w:val="921" w:hRule="atLeast"/>
        </w:trPr>
        <w:tc>
          <w:tcPr>
            <w:tcW w:w="562" w:type="dxa"/>
            <w:vMerge w:val="continue"/>
            <w:tcBorders>
              <w:top w:val="nil"/>
              <w:left w:val="single" w:color="auto" w:sz="4" w:space="0"/>
              <w:bottom w:val="single" w:color="auto" w:sz="4" w:space="0"/>
              <w:right w:val="single" w:color="auto" w:sz="4" w:space="0"/>
            </w:tcBorders>
            <w:shd w:val="clear" w:color="auto" w:fill="auto"/>
            <w:vAlign w:val="center"/>
          </w:tcPr>
          <w:p w14:paraId="108B6EED">
            <w:pPr>
              <w:jc w:val="center"/>
              <w:rPr>
                <w:rFonts w:ascii="CESI仿宋-GB2312" w:hAnsi="CESI仿宋-GB2312" w:eastAsia="CESI仿宋-GB2312" w:cs="CESI仿宋-GB2312"/>
                <w:color w:val="auto"/>
                <w:sz w:val="20"/>
                <w:szCs w:val="20"/>
                <w:highlight w:val="none"/>
              </w:rPr>
            </w:pPr>
          </w:p>
        </w:tc>
        <w:tc>
          <w:tcPr>
            <w:tcW w:w="868" w:type="dxa"/>
            <w:vMerge w:val="continue"/>
            <w:tcBorders>
              <w:top w:val="nil"/>
              <w:left w:val="single" w:color="auto" w:sz="4" w:space="0"/>
              <w:bottom w:val="single" w:color="auto" w:sz="4" w:space="0"/>
              <w:right w:val="single" w:color="auto" w:sz="4" w:space="0"/>
            </w:tcBorders>
            <w:shd w:val="clear" w:color="auto" w:fill="auto"/>
            <w:vAlign w:val="center"/>
          </w:tcPr>
          <w:p w14:paraId="502B2CE6">
            <w:pPr>
              <w:jc w:val="center"/>
              <w:rPr>
                <w:rFonts w:ascii="CESI仿宋-GB2312" w:hAnsi="CESI仿宋-GB2312" w:eastAsia="CESI仿宋-GB2312" w:cs="CESI仿宋-GB2312"/>
                <w:color w:val="auto"/>
                <w:sz w:val="20"/>
                <w:szCs w:val="20"/>
                <w:highlight w:val="none"/>
              </w:rPr>
            </w:pPr>
          </w:p>
        </w:tc>
        <w:tc>
          <w:tcPr>
            <w:tcW w:w="2187" w:type="dxa"/>
            <w:vMerge w:val="continue"/>
            <w:tcBorders>
              <w:top w:val="nil"/>
              <w:left w:val="single" w:color="auto" w:sz="4" w:space="0"/>
              <w:bottom w:val="single" w:color="auto" w:sz="4" w:space="0"/>
              <w:right w:val="single" w:color="auto" w:sz="4" w:space="0"/>
            </w:tcBorders>
            <w:shd w:val="clear" w:color="auto" w:fill="auto"/>
            <w:vAlign w:val="center"/>
          </w:tcPr>
          <w:p w14:paraId="2366533D">
            <w:pPr>
              <w:jc w:val="center"/>
              <w:rPr>
                <w:rFonts w:ascii="CESI仿宋-GB2312" w:hAnsi="CESI仿宋-GB2312" w:eastAsia="CESI仿宋-GB2312" w:cs="CESI仿宋-GB2312"/>
                <w:color w:val="auto"/>
                <w:sz w:val="20"/>
                <w:szCs w:val="20"/>
                <w:highlight w:val="none"/>
              </w:rPr>
            </w:pPr>
          </w:p>
        </w:tc>
        <w:tc>
          <w:tcPr>
            <w:tcW w:w="4873" w:type="dxa"/>
            <w:tcBorders>
              <w:top w:val="nil"/>
              <w:left w:val="nil"/>
              <w:bottom w:val="single" w:color="auto" w:sz="4" w:space="0"/>
              <w:right w:val="single" w:color="auto" w:sz="4" w:space="0"/>
            </w:tcBorders>
            <w:shd w:val="clear" w:color="auto" w:fill="auto"/>
            <w:vAlign w:val="center"/>
          </w:tcPr>
          <w:p w14:paraId="27942347">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5.服务场所张贴《服务团队》，实行服务人员身份和电话公开</w:t>
            </w:r>
            <w:r>
              <w:rPr>
                <w:rFonts w:hint="eastAsia" w:ascii="CESI仿宋-GB2312" w:hAnsi="CESI仿宋-GB2312" w:eastAsia="CESI仿宋-GB2312" w:cs="CESI仿宋-GB2312"/>
                <w:color w:val="auto"/>
                <w:kern w:val="0"/>
                <w:sz w:val="20"/>
                <w:szCs w:val="20"/>
                <w:highlight w:val="none"/>
                <w:lang w:eastAsia="zh-CN" w:bidi="ar"/>
              </w:rPr>
              <w:t>；在</w:t>
            </w:r>
            <w:r>
              <w:rPr>
                <w:rFonts w:ascii="CESI仿宋-GB2312" w:hAnsi="CESI仿宋-GB2312" w:eastAsia="CESI仿宋-GB2312" w:cs="CESI仿宋-GB2312"/>
                <w:color w:val="auto"/>
                <w:kern w:val="0"/>
                <w:sz w:val="20"/>
                <w:szCs w:val="20"/>
                <w:highlight w:val="none"/>
                <w:lang w:bidi="ar"/>
              </w:rPr>
              <w:t>服务场所内张贴《管理服务规范》</w:t>
            </w:r>
            <w:r>
              <w:rPr>
                <w:rFonts w:hint="eastAsia" w:ascii="CESI仿宋-GB2312" w:hAnsi="CESI仿宋-GB2312" w:eastAsia="CESI仿宋-GB2312" w:cs="CESI仿宋-GB2312"/>
                <w:color w:val="auto"/>
                <w:kern w:val="0"/>
                <w:sz w:val="20"/>
                <w:szCs w:val="20"/>
                <w:highlight w:val="none"/>
                <w:lang w:eastAsia="zh-CN" w:bidi="ar"/>
              </w:rPr>
              <w:t>，</w:t>
            </w:r>
            <w:r>
              <w:rPr>
                <w:rFonts w:ascii="CESI仿宋-GB2312" w:hAnsi="CESI仿宋-GB2312" w:eastAsia="CESI仿宋-GB2312" w:cs="CESI仿宋-GB2312"/>
                <w:color w:val="auto"/>
                <w:kern w:val="0"/>
                <w:sz w:val="20"/>
                <w:szCs w:val="20"/>
                <w:highlight w:val="none"/>
                <w:lang w:bidi="ar"/>
              </w:rPr>
              <w:t>公开服务要求，接受群众监督；</w:t>
            </w:r>
          </w:p>
        </w:tc>
        <w:tc>
          <w:tcPr>
            <w:tcW w:w="1608" w:type="dxa"/>
            <w:tcBorders>
              <w:top w:val="nil"/>
              <w:left w:val="nil"/>
              <w:bottom w:val="single" w:color="auto" w:sz="4" w:space="0"/>
              <w:right w:val="single" w:color="auto" w:sz="4" w:space="0"/>
            </w:tcBorders>
            <w:shd w:val="clear" w:color="auto" w:fill="auto"/>
            <w:vAlign w:val="center"/>
          </w:tcPr>
          <w:p w14:paraId="791A25A5">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1582C142">
        <w:tblPrEx>
          <w:tblCellMar>
            <w:top w:w="0" w:type="dxa"/>
            <w:left w:w="108" w:type="dxa"/>
            <w:bottom w:w="0" w:type="dxa"/>
            <w:right w:w="108" w:type="dxa"/>
          </w:tblCellMar>
        </w:tblPrEx>
        <w:trPr>
          <w:trHeight w:val="720" w:hRule="atLeast"/>
        </w:trPr>
        <w:tc>
          <w:tcPr>
            <w:tcW w:w="562" w:type="dxa"/>
            <w:vMerge w:val="continue"/>
            <w:tcBorders>
              <w:top w:val="nil"/>
              <w:left w:val="single" w:color="auto" w:sz="4" w:space="0"/>
              <w:bottom w:val="single" w:color="auto" w:sz="4" w:space="0"/>
              <w:right w:val="single" w:color="auto" w:sz="4" w:space="0"/>
            </w:tcBorders>
            <w:shd w:val="clear" w:color="auto" w:fill="auto"/>
            <w:vAlign w:val="center"/>
          </w:tcPr>
          <w:p w14:paraId="0C1EC017">
            <w:pPr>
              <w:jc w:val="center"/>
              <w:rPr>
                <w:rFonts w:ascii="CESI仿宋-GB2312" w:hAnsi="CESI仿宋-GB2312" w:eastAsia="CESI仿宋-GB2312" w:cs="CESI仿宋-GB2312"/>
                <w:color w:val="auto"/>
                <w:sz w:val="20"/>
                <w:szCs w:val="20"/>
                <w:highlight w:val="none"/>
              </w:rPr>
            </w:pPr>
          </w:p>
        </w:tc>
        <w:tc>
          <w:tcPr>
            <w:tcW w:w="868" w:type="dxa"/>
            <w:vMerge w:val="continue"/>
            <w:tcBorders>
              <w:top w:val="nil"/>
              <w:left w:val="single" w:color="auto" w:sz="4" w:space="0"/>
              <w:bottom w:val="single" w:color="auto" w:sz="4" w:space="0"/>
              <w:right w:val="single" w:color="auto" w:sz="4" w:space="0"/>
            </w:tcBorders>
            <w:shd w:val="clear" w:color="auto" w:fill="auto"/>
            <w:vAlign w:val="center"/>
          </w:tcPr>
          <w:p w14:paraId="12BBEA08">
            <w:pPr>
              <w:jc w:val="center"/>
              <w:rPr>
                <w:rFonts w:ascii="CESI仿宋-GB2312" w:hAnsi="CESI仿宋-GB2312" w:eastAsia="CESI仿宋-GB2312" w:cs="CESI仿宋-GB2312"/>
                <w:color w:val="auto"/>
                <w:sz w:val="20"/>
                <w:szCs w:val="20"/>
                <w:highlight w:val="none"/>
              </w:rPr>
            </w:pPr>
          </w:p>
        </w:tc>
        <w:tc>
          <w:tcPr>
            <w:tcW w:w="2187" w:type="dxa"/>
            <w:vMerge w:val="continue"/>
            <w:tcBorders>
              <w:top w:val="nil"/>
              <w:left w:val="single" w:color="auto" w:sz="4" w:space="0"/>
              <w:bottom w:val="single" w:color="auto" w:sz="4" w:space="0"/>
              <w:right w:val="single" w:color="auto" w:sz="4" w:space="0"/>
            </w:tcBorders>
            <w:shd w:val="clear" w:color="auto" w:fill="auto"/>
            <w:vAlign w:val="center"/>
          </w:tcPr>
          <w:p w14:paraId="4E0DE6CF">
            <w:pPr>
              <w:jc w:val="center"/>
              <w:rPr>
                <w:rFonts w:ascii="CESI仿宋-GB2312" w:hAnsi="CESI仿宋-GB2312" w:eastAsia="CESI仿宋-GB2312" w:cs="CESI仿宋-GB2312"/>
                <w:color w:val="auto"/>
                <w:sz w:val="20"/>
                <w:szCs w:val="20"/>
                <w:highlight w:val="none"/>
              </w:rPr>
            </w:pPr>
          </w:p>
        </w:tc>
        <w:tc>
          <w:tcPr>
            <w:tcW w:w="4873" w:type="dxa"/>
            <w:tcBorders>
              <w:top w:val="nil"/>
              <w:left w:val="nil"/>
              <w:bottom w:val="single" w:color="auto" w:sz="4" w:space="0"/>
              <w:right w:val="single" w:color="auto" w:sz="4" w:space="0"/>
            </w:tcBorders>
            <w:shd w:val="clear" w:color="auto" w:fill="auto"/>
            <w:vAlign w:val="center"/>
          </w:tcPr>
          <w:p w14:paraId="065C6BFE">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6.在显眼位置张贴服务二维码（包括指定或认可的就业服务平台小程序或APP的服务二维码），引导企业或群众线上业务登记或办理</w:t>
            </w:r>
            <w:r>
              <w:rPr>
                <w:rFonts w:hint="eastAsia" w:ascii="CESI仿宋-GB2312" w:hAnsi="CESI仿宋-GB2312" w:eastAsia="CESI仿宋-GB2312" w:cs="CESI仿宋-GB2312"/>
                <w:color w:val="auto"/>
                <w:kern w:val="0"/>
                <w:sz w:val="20"/>
                <w:szCs w:val="20"/>
                <w:highlight w:val="none"/>
                <w:lang w:eastAsia="zh-CN" w:bidi="ar"/>
              </w:rPr>
              <w:t>；</w:t>
            </w:r>
          </w:p>
        </w:tc>
        <w:tc>
          <w:tcPr>
            <w:tcW w:w="1608" w:type="dxa"/>
            <w:tcBorders>
              <w:top w:val="nil"/>
              <w:left w:val="nil"/>
              <w:bottom w:val="single" w:color="auto" w:sz="4" w:space="0"/>
              <w:right w:val="single" w:color="auto" w:sz="4" w:space="0"/>
            </w:tcBorders>
            <w:shd w:val="clear" w:color="auto" w:fill="auto"/>
            <w:vAlign w:val="center"/>
          </w:tcPr>
          <w:p w14:paraId="22A7AC1E">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3391368B">
        <w:tblPrEx>
          <w:tblCellMar>
            <w:top w:w="0" w:type="dxa"/>
            <w:left w:w="108" w:type="dxa"/>
            <w:bottom w:w="0" w:type="dxa"/>
            <w:right w:w="108" w:type="dxa"/>
          </w:tblCellMar>
        </w:tblPrEx>
        <w:trPr>
          <w:trHeight w:val="480" w:hRule="atLeast"/>
        </w:trPr>
        <w:tc>
          <w:tcPr>
            <w:tcW w:w="562" w:type="dxa"/>
            <w:vMerge w:val="continue"/>
            <w:tcBorders>
              <w:top w:val="nil"/>
              <w:left w:val="single" w:color="auto" w:sz="4" w:space="0"/>
              <w:bottom w:val="single" w:color="auto" w:sz="4" w:space="0"/>
              <w:right w:val="single" w:color="auto" w:sz="4" w:space="0"/>
            </w:tcBorders>
            <w:shd w:val="clear" w:color="auto" w:fill="auto"/>
            <w:vAlign w:val="center"/>
          </w:tcPr>
          <w:p w14:paraId="543CC9F5">
            <w:pPr>
              <w:jc w:val="center"/>
              <w:rPr>
                <w:rFonts w:ascii="CESI仿宋-GB2312" w:hAnsi="CESI仿宋-GB2312" w:eastAsia="CESI仿宋-GB2312" w:cs="CESI仿宋-GB2312"/>
                <w:color w:val="auto"/>
                <w:sz w:val="20"/>
                <w:szCs w:val="20"/>
                <w:highlight w:val="none"/>
              </w:rPr>
            </w:pPr>
          </w:p>
        </w:tc>
        <w:tc>
          <w:tcPr>
            <w:tcW w:w="868" w:type="dxa"/>
            <w:vMerge w:val="continue"/>
            <w:tcBorders>
              <w:top w:val="nil"/>
              <w:left w:val="single" w:color="auto" w:sz="4" w:space="0"/>
              <w:bottom w:val="single" w:color="auto" w:sz="4" w:space="0"/>
              <w:right w:val="single" w:color="auto" w:sz="4" w:space="0"/>
            </w:tcBorders>
            <w:shd w:val="clear" w:color="auto" w:fill="auto"/>
            <w:vAlign w:val="center"/>
          </w:tcPr>
          <w:p w14:paraId="3B1C92B2">
            <w:pPr>
              <w:jc w:val="center"/>
              <w:rPr>
                <w:rFonts w:ascii="CESI仿宋-GB2312" w:hAnsi="CESI仿宋-GB2312" w:eastAsia="CESI仿宋-GB2312" w:cs="CESI仿宋-GB2312"/>
                <w:color w:val="auto"/>
                <w:sz w:val="20"/>
                <w:szCs w:val="20"/>
                <w:highlight w:val="none"/>
              </w:rPr>
            </w:pPr>
          </w:p>
        </w:tc>
        <w:tc>
          <w:tcPr>
            <w:tcW w:w="2187" w:type="dxa"/>
            <w:vMerge w:val="continue"/>
            <w:tcBorders>
              <w:top w:val="nil"/>
              <w:left w:val="single" w:color="auto" w:sz="4" w:space="0"/>
              <w:bottom w:val="single" w:color="auto" w:sz="4" w:space="0"/>
              <w:right w:val="single" w:color="auto" w:sz="4" w:space="0"/>
            </w:tcBorders>
            <w:shd w:val="clear" w:color="auto" w:fill="auto"/>
            <w:vAlign w:val="center"/>
          </w:tcPr>
          <w:p w14:paraId="52349692">
            <w:pPr>
              <w:jc w:val="center"/>
              <w:rPr>
                <w:rFonts w:ascii="CESI仿宋-GB2312" w:hAnsi="CESI仿宋-GB2312" w:eastAsia="CESI仿宋-GB2312" w:cs="CESI仿宋-GB2312"/>
                <w:color w:val="auto"/>
                <w:sz w:val="20"/>
                <w:szCs w:val="20"/>
                <w:highlight w:val="none"/>
              </w:rPr>
            </w:pPr>
          </w:p>
        </w:tc>
        <w:tc>
          <w:tcPr>
            <w:tcW w:w="4873" w:type="dxa"/>
            <w:tcBorders>
              <w:top w:val="nil"/>
              <w:left w:val="nil"/>
              <w:bottom w:val="single" w:color="auto" w:sz="4" w:space="0"/>
              <w:right w:val="single" w:color="auto" w:sz="4" w:space="0"/>
            </w:tcBorders>
            <w:shd w:val="clear" w:color="auto" w:fill="auto"/>
            <w:vAlign w:val="center"/>
          </w:tcPr>
          <w:p w14:paraId="46814C0F">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7.工作人员统一着装，配置统一的服务马甲或服务服装，配挂统一服务工牌。</w:t>
            </w:r>
          </w:p>
        </w:tc>
        <w:tc>
          <w:tcPr>
            <w:tcW w:w="1608" w:type="dxa"/>
            <w:tcBorders>
              <w:top w:val="nil"/>
              <w:left w:val="nil"/>
              <w:bottom w:val="single" w:color="auto" w:sz="4" w:space="0"/>
              <w:right w:val="single" w:color="auto" w:sz="4" w:space="0"/>
            </w:tcBorders>
            <w:shd w:val="clear" w:color="auto" w:fill="auto"/>
            <w:vAlign w:val="center"/>
          </w:tcPr>
          <w:p w14:paraId="694FC04D">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0BF9021B">
        <w:tblPrEx>
          <w:tblCellMar>
            <w:top w:w="0" w:type="dxa"/>
            <w:left w:w="108" w:type="dxa"/>
            <w:bottom w:w="0" w:type="dxa"/>
            <w:right w:w="108" w:type="dxa"/>
          </w:tblCellMar>
        </w:tblPrEx>
        <w:trPr>
          <w:trHeight w:val="480" w:hRule="atLeast"/>
        </w:trPr>
        <w:tc>
          <w:tcPr>
            <w:tcW w:w="562" w:type="dxa"/>
            <w:vMerge w:val="restart"/>
            <w:tcBorders>
              <w:top w:val="nil"/>
              <w:left w:val="single" w:color="auto" w:sz="4" w:space="0"/>
              <w:bottom w:val="single" w:color="auto" w:sz="4" w:space="0"/>
              <w:right w:val="single" w:color="auto" w:sz="4" w:space="0"/>
            </w:tcBorders>
            <w:shd w:val="clear" w:color="auto" w:fill="auto"/>
            <w:vAlign w:val="center"/>
          </w:tcPr>
          <w:p w14:paraId="64E653E7">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5</w:t>
            </w:r>
          </w:p>
        </w:tc>
        <w:tc>
          <w:tcPr>
            <w:tcW w:w="868" w:type="dxa"/>
            <w:vMerge w:val="restart"/>
            <w:tcBorders>
              <w:top w:val="nil"/>
              <w:left w:val="single" w:color="auto" w:sz="4" w:space="0"/>
              <w:bottom w:val="single" w:color="auto" w:sz="4" w:space="0"/>
              <w:right w:val="single" w:color="auto" w:sz="4" w:space="0"/>
            </w:tcBorders>
            <w:shd w:val="clear" w:color="auto" w:fill="auto"/>
            <w:vAlign w:val="center"/>
          </w:tcPr>
          <w:p w14:paraId="732DA3D9">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有服务台账</w:t>
            </w:r>
          </w:p>
        </w:tc>
        <w:tc>
          <w:tcPr>
            <w:tcW w:w="2187" w:type="dxa"/>
            <w:vMerge w:val="restart"/>
            <w:tcBorders>
              <w:top w:val="nil"/>
              <w:left w:val="single" w:color="auto" w:sz="4" w:space="0"/>
              <w:bottom w:val="single" w:color="auto" w:sz="4" w:space="0"/>
              <w:right w:val="single" w:color="auto" w:sz="4" w:space="0"/>
            </w:tcBorders>
            <w:shd w:val="clear" w:color="auto" w:fill="auto"/>
            <w:vAlign w:val="center"/>
          </w:tcPr>
          <w:p w14:paraId="38F3C15B">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建立服务站日常管理运营服务台账，做好全程服务记录</w:t>
            </w:r>
          </w:p>
        </w:tc>
        <w:tc>
          <w:tcPr>
            <w:tcW w:w="4873" w:type="dxa"/>
            <w:tcBorders>
              <w:top w:val="nil"/>
              <w:left w:val="nil"/>
              <w:bottom w:val="single" w:color="auto" w:sz="4" w:space="0"/>
              <w:right w:val="single" w:color="auto" w:sz="4" w:space="0"/>
            </w:tcBorders>
            <w:shd w:val="clear" w:color="auto" w:fill="auto"/>
            <w:vAlign w:val="center"/>
          </w:tcPr>
          <w:p w14:paraId="7A4D8DE8">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1.《求职/培训登记册》（前台接待或走访服务或回访服务使用）</w:t>
            </w:r>
            <w:r>
              <w:rPr>
                <w:rFonts w:hint="eastAsia" w:ascii="CESI仿宋-GB2312" w:hAnsi="CESI仿宋-GB2312" w:eastAsia="CESI仿宋-GB2312" w:cs="CESI仿宋-GB2312"/>
                <w:color w:val="auto"/>
                <w:kern w:val="0"/>
                <w:sz w:val="20"/>
                <w:szCs w:val="20"/>
                <w:highlight w:val="none"/>
                <w:lang w:eastAsia="zh-CN" w:bidi="ar"/>
              </w:rPr>
              <w:t>；</w:t>
            </w:r>
          </w:p>
        </w:tc>
        <w:tc>
          <w:tcPr>
            <w:tcW w:w="1608" w:type="dxa"/>
            <w:tcBorders>
              <w:top w:val="nil"/>
              <w:left w:val="nil"/>
              <w:bottom w:val="single" w:color="auto" w:sz="4" w:space="0"/>
              <w:right w:val="single" w:color="auto" w:sz="4" w:space="0"/>
            </w:tcBorders>
            <w:shd w:val="clear" w:color="auto" w:fill="auto"/>
            <w:vAlign w:val="center"/>
          </w:tcPr>
          <w:p w14:paraId="0C49F2EC">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6D0ECEEE">
        <w:tblPrEx>
          <w:tblCellMar>
            <w:top w:w="0" w:type="dxa"/>
            <w:left w:w="108" w:type="dxa"/>
            <w:bottom w:w="0" w:type="dxa"/>
            <w:right w:w="108" w:type="dxa"/>
          </w:tblCellMar>
        </w:tblPrEx>
        <w:trPr>
          <w:trHeight w:val="480" w:hRule="atLeast"/>
        </w:trPr>
        <w:tc>
          <w:tcPr>
            <w:tcW w:w="562" w:type="dxa"/>
            <w:vMerge w:val="continue"/>
            <w:tcBorders>
              <w:top w:val="nil"/>
              <w:left w:val="single" w:color="auto" w:sz="4" w:space="0"/>
              <w:bottom w:val="single" w:color="auto" w:sz="4" w:space="0"/>
              <w:right w:val="single" w:color="auto" w:sz="4" w:space="0"/>
            </w:tcBorders>
            <w:shd w:val="clear" w:color="auto" w:fill="auto"/>
            <w:vAlign w:val="center"/>
          </w:tcPr>
          <w:p w14:paraId="6AD28C64">
            <w:pPr>
              <w:jc w:val="center"/>
              <w:rPr>
                <w:rFonts w:ascii="CESI仿宋-GB2312" w:hAnsi="CESI仿宋-GB2312" w:eastAsia="CESI仿宋-GB2312" w:cs="CESI仿宋-GB2312"/>
                <w:color w:val="auto"/>
                <w:sz w:val="20"/>
                <w:szCs w:val="20"/>
                <w:highlight w:val="none"/>
              </w:rPr>
            </w:pPr>
          </w:p>
        </w:tc>
        <w:tc>
          <w:tcPr>
            <w:tcW w:w="868" w:type="dxa"/>
            <w:vMerge w:val="continue"/>
            <w:tcBorders>
              <w:top w:val="nil"/>
              <w:left w:val="single" w:color="auto" w:sz="4" w:space="0"/>
              <w:bottom w:val="single" w:color="auto" w:sz="4" w:space="0"/>
              <w:right w:val="single" w:color="auto" w:sz="4" w:space="0"/>
            </w:tcBorders>
            <w:shd w:val="clear" w:color="auto" w:fill="auto"/>
            <w:vAlign w:val="center"/>
          </w:tcPr>
          <w:p w14:paraId="2A60B637">
            <w:pPr>
              <w:jc w:val="center"/>
              <w:rPr>
                <w:rFonts w:ascii="CESI仿宋-GB2312" w:hAnsi="CESI仿宋-GB2312" w:eastAsia="CESI仿宋-GB2312" w:cs="CESI仿宋-GB2312"/>
                <w:color w:val="auto"/>
                <w:sz w:val="20"/>
                <w:szCs w:val="20"/>
                <w:highlight w:val="none"/>
              </w:rPr>
            </w:pPr>
          </w:p>
        </w:tc>
        <w:tc>
          <w:tcPr>
            <w:tcW w:w="2187" w:type="dxa"/>
            <w:vMerge w:val="continue"/>
            <w:tcBorders>
              <w:top w:val="nil"/>
              <w:left w:val="single" w:color="auto" w:sz="4" w:space="0"/>
              <w:bottom w:val="single" w:color="auto" w:sz="4" w:space="0"/>
              <w:right w:val="single" w:color="auto" w:sz="4" w:space="0"/>
            </w:tcBorders>
            <w:shd w:val="clear" w:color="auto" w:fill="auto"/>
            <w:vAlign w:val="center"/>
          </w:tcPr>
          <w:p w14:paraId="5B3B2662">
            <w:pPr>
              <w:jc w:val="center"/>
              <w:rPr>
                <w:rFonts w:ascii="CESI仿宋-GB2312" w:hAnsi="CESI仿宋-GB2312" w:eastAsia="CESI仿宋-GB2312" w:cs="CESI仿宋-GB2312"/>
                <w:color w:val="auto"/>
                <w:sz w:val="20"/>
                <w:szCs w:val="20"/>
                <w:highlight w:val="none"/>
              </w:rPr>
            </w:pPr>
          </w:p>
        </w:tc>
        <w:tc>
          <w:tcPr>
            <w:tcW w:w="4873" w:type="dxa"/>
            <w:tcBorders>
              <w:top w:val="nil"/>
              <w:left w:val="nil"/>
              <w:bottom w:val="single" w:color="auto" w:sz="4" w:space="0"/>
              <w:right w:val="single" w:color="auto" w:sz="4" w:space="0"/>
            </w:tcBorders>
            <w:shd w:val="clear" w:color="auto" w:fill="auto"/>
            <w:vAlign w:val="center"/>
          </w:tcPr>
          <w:p w14:paraId="073C659B">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2.《用工招聘登记册》（前台接待或走访服务或回访服务使用）</w:t>
            </w:r>
            <w:r>
              <w:rPr>
                <w:rFonts w:hint="eastAsia" w:ascii="CESI仿宋-GB2312" w:hAnsi="CESI仿宋-GB2312" w:eastAsia="CESI仿宋-GB2312" w:cs="CESI仿宋-GB2312"/>
                <w:color w:val="auto"/>
                <w:kern w:val="0"/>
                <w:sz w:val="20"/>
                <w:szCs w:val="20"/>
                <w:highlight w:val="none"/>
                <w:lang w:eastAsia="zh-CN" w:bidi="ar"/>
              </w:rPr>
              <w:t>；</w:t>
            </w:r>
          </w:p>
        </w:tc>
        <w:tc>
          <w:tcPr>
            <w:tcW w:w="1608" w:type="dxa"/>
            <w:tcBorders>
              <w:top w:val="nil"/>
              <w:left w:val="nil"/>
              <w:bottom w:val="single" w:color="auto" w:sz="4" w:space="0"/>
              <w:right w:val="single" w:color="auto" w:sz="4" w:space="0"/>
            </w:tcBorders>
            <w:shd w:val="clear" w:color="auto" w:fill="auto"/>
            <w:vAlign w:val="center"/>
          </w:tcPr>
          <w:p w14:paraId="3312A348">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6EDA339C">
        <w:tblPrEx>
          <w:tblCellMar>
            <w:top w:w="0" w:type="dxa"/>
            <w:left w:w="108" w:type="dxa"/>
            <w:bottom w:w="0" w:type="dxa"/>
            <w:right w:w="108" w:type="dxa"/>
          </w:tblCellMar>
        </w:tblPrEx>
        <w:trPr>
          <w:trHeight w:val="480" w:hRule="atLeast"/>
        </w:trPr>
        <w:tc>
          <w:tcPr>
            <w:tcW w:w="562" w:type="dxa"/>
            <w:vMerge w:val="continue"/>
            <w:tcBorders>
              <w:top w:val="nil"/>
              <w:left w:val="single" w:color="auto" w:sz="4" w:space="0"/>
              <w:bottom w:val="single" w:color="auto" w:sz="4" w:space="0"/>
              <w:right w:val="single" w:color="auto" w:sz="4" w:space="0"/>
            </w:tcBorders>
            <w:shd w:val="clear" w:color="auto" w:fill="auto"/>
            <w:vAlign w:val="center"/>
          </w:tcPr>
          <w:p w14:paraId="6C256F21">
            <w:pPr>
              <w:jc w:val="center"/>
              <w:rPr>
                <w:rFonts w:ascii="CESI仿宋-GB2312" w:hAnsi="CESI仿宋-GB2312" w:eastAsia="CESI仿宋-GB2312" w:cs="CESI仿宋-GB2312"/>
                <w:color w:val="auto"/>
                <w:sz w:val="20"/>
                <w:szCs w:val="20"/>
                <w:highlight w:val="none"/>
              </w:rPr>
            </w:pPr>
          </w:p>
        </w:tc>
        <w:tc>
          <w:tcPr>
            <w:tcW w:w="868" w:type="dxa"/>
            <w:vMerge w:val="continue"/>
            <w:tcBorders>
              <w:top w:val="nil"/>
              <w:left w:val="single" w:color="auto" w:sz="4" w:space="0"/>
              <w:bottom w:val="single" w:color="auto" w:sz="4" w:space="0"/>
              <w:right w:val="single" w:color="auto" w:sz="4" w:space="0"/>
            </w:tcBorders>
            <w:shd w:val="clear" w:color="auto" w:fill="auto"/>
            <w:vAlign w:val="center"/>
          </w:tcPr>
          <w:p w14:paraId="732529C4">
            <w:pPr>
              <w:jc w:val="center"/>
              <w:rPr>
                <w:rFonts w:ascii="CESI仿宋-GB2312" w:hAnsi="CESI仿宋-GB2312" w:eastAsia="CESI仿宋-GB2312" w:cs="CESI仿宋-GB2312"/>
                <w:color w:val="auto"/>
                <w:sz w:val="20"/>
                <w:szCs w:val="20"/>
                <w:highlight w:val="none"/>
              </w:rPr>
            </w:pPr>
          </w:p>
        </w:tc>
        <w:tc>
          <w:tcPr>
            <w:tcW w:w="2187" w:type="dxa"/>
            <w:vMerge w:val="continue"/>
            <w:tcBorders>
              <w:top w:val="nil"/>
              <w:left w:val="single" w:color="auto" w:sz="4" w:space="0"/>
              <w:bottom w:val="single" w:color="auto" w:sz="4" w:space="0"/>
              <w:right w:val="single" w:color="auto" w:sz="4" w:space="0"/>
            </w:tcBorders>
            <w:shd w:val="clear" w:color="auto" w:fill="auto"/>
            <w:vAlign w:val="center"/>
          </w:tcPr>
          <w:p w14:paraId="73C029E1">
            <w:pPr>
              <w:jc w:val="center"/>
              <w:rPr>
                <w:rFonts w:ascii="CESI仿宋-GB2312" w:hAnsi="CESI仿宋-GB2312" w:eastAsia="CESI仿宋-GB2312" w:cs="CESI仿宋-GB2312"/>
                <w:color w:val="auto"/>
                <w:sz w:val="20"/>
                <w:szCs w:val="20"/>
                <w:highlight w:val="none"/>
              </w:rPr>
            </w:pPr>
          </w:p>
        </w:tc>
        <w:tc>
          <w:tcPr>
            <w:tcW w:w="4873" w:type="dxa"/>
            <w:tcBorders>
              <w:top w:val="nil"/>
              <w:left w:val="nil"/>
              <w:bottom w:val="single" w:color="auto" w:sz="4" w:space="0"/>
              <w:right w:val="single" w:color="auto" w:sz="4" w:space="0"/>
            </w:tcBorders>
            <w:shd w:val="clear" w:color="auto" w:fill="auto"/>
            <w:vAlign w:val="center"/>
          </w:tcPr>
          <w:p w14:paraId="2E138950">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3.《服务评价及意见建议册》（前台接待使用）</w:t>
            </w:r>
            <w:r>
              <w:rPr>
                <w:rFonts w:hint="eastAsia" w:ascii="CESI仿宋-GB2312" w:hAnsi="CESI仿宋-GB2312" w:eastAsia="CESI仿宋-GB2312" w:cs="CESI仿宋-GB2312"/>
                <w:color w:val="auto"/>
                <w:kern w:val="0"/>
                <w:sz w:val="20"/>
                <w:szCs w:val="20"/>
                <w:highlight w:val="none"/>
                <w:lang w:eastAsia="zh-CN" w:bidi="ar"/>
              </w:rPr>
              <w:t>；</w:t>
            </w:r>
          </w:p>
        </w:tc>
        <w:tc>
          <w:tcPr>
            <w:tcW w:w="1608" w:type="dxa"/>
            <w:tcBorders>
              <w:top w:val="nil"/>
              <w:left w:val="nil"/>
              <w:bottom w:val="single" w:color="auto" w:sz="4" w:space="0"/>
              <w:right w:val="single" w:color="auto" w:sz="4" w:space="0"/>
            </w:tcBorders>
            <w:shd w:val="clear" w:color="auto" w:fill="auto"/>
            <w:vAlign w:val="center"/>
          </w:tcPr>
          <w:p w14:paraId="3E877D2E">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16322541">
        <w:tblPrEx>
          <w:tblCellMar>
            <w:top w:w="0" w:type="dxa"/>
            <w:left w:w="108" w:type="dxa"/>
            <w:bottom w:w="0" w:type="dxa"/>
            <w:right w:w="108" w:type="dxa"/>
          </w:tblCellMar>
        </w:tblPrEx>
        <w:trPr>
          <w:trHeight w:val="480" w:hRule="atLeast"/>
        </w:trPr>
        <w:tc>
          <w:tcPr>
            <w:tcW w:w="562" w:type="dxa"/>
            <w:vMerge w:val="continue"/>
            <w:tcBorders>
              <w:top w:val="nil"/>
              <w:left w:val="single" w:color="auto" w:sz="4" w:space="0"/>
              <w:bottom w:val="single" w:color="auto" w:sz="4" w:space="0"/>
              <w:right w:val="single" w:color="auto" w:sz="4" w:space="0"/>
            </w:tcBorders>
            <w:shd w:val="clear" w:color="auto" w:fill="auto"/>
            <w:vAlign w:val="center"/>
          </w:tcPr>
          <w:p w14:paraId="43FAE913">
            <w:pPr>
              <w:jc w:val="center"/>
              <w:rPr>
                <w:rFonts w:ascii="CESI仿宋-GB2312" w:hAnsi="CESI仿宋-GB2312" w:eastAsia="CESI仿宋-GB2312" w:cs="CESI仿宋-GB2312"/>
                <w:color w:val="auto"/>
                <w:sz w:val="20"/>
                <w:szCs w:val="20"/>
                <w:highlight w:val="none"/>
              </w:rPr>
            </w:pPr>
          </w:p>
        </w:tc>
        <w:tc>
          <w:tcPr>
            <w:tcW w:w="868" w:type="dxa"/>
            <w:vMerge w:val="continue"/>
            <w:tcBorders>
              <w:top w:val="nil"/>
              <w:left w:val="single" w:color="auto" w:sz="4" w:space="0"/>
              <w:bottom w:val="single" w:color="auto" w:sz="4" w:space="0"/>
              <w:right w:val="single" w:color="auto" w:sz="4" w:space="0"/>
            </w:tcBorders>
            <w:shd w:val="clear" w:color="auto" w:fill="auto"/>
            <w:vAlign w:val="center"/>
          </w:tcPr>
          <w:p w14:paraId="0BCC4C0E">
            <w:pPr>
              <w:jc w:val="center"/>
              <w:rPr>
                <w:rFonts w:ascii="CESI仿宋-GB2312" w:hAnsi="CESI仿宋-GB2312" w:eastAsia="CESI仿宋-GB2312" w:cs="CESI仿宋-GB2312"/>
                <w:color w:val="auto"/>
                <w:sz w:val="20"/>
                <w:szCs w:val="20"/>
                <w:highlight w:val="none"/>
              </w:rPr>
            </w:pPr>
          </w:p>
        </w:tc>
        <w:tc>
          <w:tcPr>
            <w:tcW w:w="2187" w:type="dxa"/>
            <w:vMerge w:val="continue"/>
            <w:tcBorders>
              <w:top w:val="nil"/>
              <w:left w:val="single" w:color="auto" w:sz="4" w:space="0"/>
              <w:bottom w:val="single" w:color="auto" w:sz="4" w:space="0"/>
              <w:right w:val="single" w:color="auto" w:sz="4" w:space="0"/>
            </w:tcBorders>
            <w:shd w:val="clear" w:color="auto" w:fill="auto"/>
            <w:vAlign w:val="center"/>
          </w:tcPr>
          <w:p w14:paraId="378E79DF">
            <w:pPr>
              <w:jc w:val="center"/>
              <w:rPr>
                <w:rFonts w:ascii="CESI仿宋-GB2312" w:hAnsi="CESI仿宋-GB2312" w:eastAsia="CESI仿宋-GB2312" w:cs="CESI仿宋-GB2312"/>
                <w:color w:val="auto"/>
                <w:sz w:val="20"/>
                <w:szCs w:val="20"/>
                <w:highlight w:val="none"/>
              </w:rPr>
            </w:pPr>
          </w:p>
        </w:tc>
        <w:tc>
          <w:tcPr>
            <w:tcW w:w="4873" w:type="dxa"/>
            <w:tcBorders>
              <w:top w:val="nil"/>
              <w:left w:val="nil"/>
              <w:bottom w:val="single" w:color="auto" w:sz="4" w:space="0"/>
              <w:right w:val="single" w:color="auto" w:sz="4" w:space="0"/>
            </w:tcBorders>
            <w:shd w:val="clear" w:color="auto" w:fill="auto"/>
            <w:vAlign w:val="center"/>
          </w:tcPr>
          <w:p w14:paraId="6FE6301C">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4.《重要活动/事件登记册》（服务管理使用）；</w:t>
            </w:r>
          </w:p>
        </w:tc>
        <w:tc>
          <w:tcPr>
            <w:tcW w:w="1608" w:type="dxa"/>
            <w:tcBorders>
              <w:top w:val="nil"/>
              <w:left w:val="nil"/>
              <w:bottom w:val="single" w:color="auto" w:sz="4" w:space="0"/>
              <w:right w:val="single" w:color="auto" w:sz="4" w:space="0"/>
            </w:tcBorders>
            <w:shd w:val="clear" w:color="auto" w:fill="auto"/>
            <w:vAlign w:val="center"/>
          </w:tcPr>
          <w:p w14:paraId="6CD082AD">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7AA8A7C9">
        <w:tblPrEx>
          <w:tblCellMar>
            <w:top w:w="0" w:type="dxa"/>
            <w:left w:w="108" w:type="dxa"/>
            <w:bottom w:w="0" w:type="dxa"/>
            <w:right w:w="108" w:type="dxa"/>
          </w:tblCellMar>
        </w:tblPrEx>
        <w:trPr>
          <w:trHeight w:val="480" w:hRule="atLeast"/>
        </w:trPr>
        <w:tc>
          <w:tcPr>
            <w:tcW w:w="562" w:type="dxa"/>
            <w:vMerge w:val="continue"/>
            <w:tcBorders>
              <w:top w:val="nil"/>
              <w:left w:val="single" w:color="auto" w:sz="4" w:space="0"/>
              <w:bottom w:val="single" w:color="auto" w:sz="4" w:space="0"/>
              <w:right w:val="single" w:color="auto" w:sz="4" w:space="0"/>
            </w:tcBorders>
            <w:shd w:val="clear" w:color="auto" w:fill="auto"/>
            <w:vAlign w:val="center"/>
          </w:tcPr>
          <w:p w14:paraId="1CCBF293">
            <w:pPr>
              <w:jc w:val="center"/>
              <w:rPr>
                <w:rFonts w:ascii="CESI仿宋-GB2312" w:hAnsi="CESI仿宋-GB2312" w:eastAsia="CESI仿宋-GB2312" w:cs="CESI仿宋-GB2312"/>
                <w:color w:val="auto"/>
                <w:sz w:val="20"/>
                <w:szCs w:val="20"/>
                <w:highlight w:val="none"/>
              </w:rPr>
            </w:pPr>
          </w:p>
        </w:tc>
        <w:tc>
          <w:tcPr>
            <w:tcW w:w="868" w:type="dxa"/>
            <w:vMerge w:val="continue"/>
            <w:tcBorders>
              <w:top w:val="nil"/>
              <w:left w:val="single" w:color="auto" w:sz="4" w:space="0"/>
              <w:bottom w:val="single" w:color="auto" w:sz="4" w:space="0"/>
              <w:right w:val="single" w:color="auto" w:sz="4" w:space="0"/>
            </w:tcBorders>
            <w:shd w:val="clear" w:color="auto" w:fill="auto"/>
            <w:vAlign w:val="center"/>
          </w:tcPr>
          <w:p w14:paraId="5725C193">
            <w:pPr>
              <w:jc w:val="center"/>
              <w:rPr>
                <w:rFonts w:ascii="CESI仿宋-GB2312" w:hAnsi="CESI仿宋-GB2312" w:eastAsia="CESI仿宋-GB2312" w:cs="CESI仿宋-GB2312"/>
                <w:color w:val="auto"/>
                <w:sz w:val="20"/>
                <w:szCs w:val="20"/>
                <w:highlight w:val="none"/>
              </w:rPr>
            </w:pPr>
          </w:p>
        </w:tc>
        <w:tc>
          <w:tcPr>
            <w:tcW w:w="2187" w:type="dxa"/>
            <w:vMerge w:val="continue"/>
            <w:tcBorders>
              <w:top w:val="nil"/>
              <w:left w:val="single" w:color="auto" w:sz="4" w:space="0"/>
              <w:bottom w:val="single" w:color="auto" w:sz="4" w:space="0"/>
              <w:right w:val="single" w:color="auto" w:sz="4" w:space="0"/>
            </w:tcBorders>
            <w:shd w:val="clear" w:color="auto" w:fill="auto"/>
            <w:vAlign w:val="center"/>
          </w:tcPr>
          <w:p w14:paraId="5E800BE0">
            <w:pPr>
              <w:jc w:val="center"/>
              <w:rPr>
                <w:rFonts w:ascii="CESI仿宋-GB2312" w:hAnsi="CESI仿宋-GB2312" w:eastAsia="CESI仿宋-GB2312" w:cs="CESI仿宋-GB2312"/>
                <w:color w:val="auto"/>
                <w:sz w:val="20"/>
                <w:szCs w:val="20"/>
                <w:highlight w:val="none"/>
              </w:rPr>
            </w:pPr>
          </w:p>
        </w:tc>
        <w:tc>
          <w:tcPr>
            <w:tcW w:w="4873" w:type="dxa"/>
            <w:tcBorders>
              <w:top w:val="nil"/>
              <w:left w:val="nil"/>
              <w:bottom w:val="single" w:color="auto" w:sz="4" w:space="0"/>
              <w:right w:val="single" w:color="auto" w:sz="4" w:space="0"/>
            </w:tcBorders>
            <w:shd w:val="clear" w:color="auto" w:fill="auto"/>
            <w:vAlign w:val="center"/>
          </w:tcPr>
          <w:p w14:paraId="71548AA8">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5.服务台账及时登记或梳理入库，做好全程服务记录、服务跟踪。</w:t>
            </w:r>
          </w:p>
        </w:tc>
        <w:tc>
          <w:tcPr>
            <w:tcW w:w="1608" w:type="dxa"/>
            <w:tcBorders>
              <w:top w:val="nil"/>
              <w:left w:val="nil"/>
              <w:bottom w:val="single" w:color="auto" w:sz="4" w:space="0"/>
              <w:right w:val="single" w:color="auto" w:sz="4" w:space="0"/>
            </w:tcBorders>
            <w:shd w:val="clear" w:color="auto" w:fill="auto"/>
            <w:vAlign w:val="center"/>
          </w:tcPr>
          <w:p w14:paraId="535839A7">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4156165E">
        <w:tblPrEx>
          <w:tblCellMar>
            <w:top w:w="0" w:type="dxa"/>
            <w:left w:w="108" w:type="dxa"/>
            <w:bottom w:w="0" w:type="dxa"/>
            <w:right w:w="108" w:type="dxa"/>
          </w:tblCellMar>
        </w:tblPrEx>
        <w:trPr>
          <w:trHeight w:val="1260" w:hRule="atLeast"/>
        </w:trPr>
        <w:tc>
          <w:tcPr>
            <w:tcW w:w="562" w:type="dxa"/>
            <w:vMerge w:val="restart"/>
            <w:tcBorders>
              <w:top w:val="nil"/>
              <w:left w:val="single" w:color="auto" w:sz="4" w:space="0"/>
              <w:bottom w:val="single" w:color="auto" w:sz="4" w:space="0"/>
              <w:right w:val="single" w:color="auto" w:sz="4" w:space="0"/>
            </w:tcBorders>
            <w:shd w:val="clear" w:color="auto" w:fill="auto"/>
            <w:vAlign w:val="center"/>
          </w:tcPr>
          <w:p w14:paraId="3339CE58">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6</w:t>
            </w:r>
          </w:p>
        </w:tc>
        <w:tc>
          <w:tcPr>
            <w:tcW w:w="868" w:type="dxa"/>
            <w:vMerge w:val="restart"/>
            <w:tcBorders>
              <w:top w:val="nil"/>
              <w:left w:val="single" w:color="auto" w:sz="4" w:space="0"/>
              <w:bottom w:val="single" w:color="auto" w:sz="4" w:space="0"/>
              <w:right w:val="single" w:color="auto" w:sz="4" w:space="0"/>
            </w:tcBorders>
            <w:shd w:val="clear" w:color="auto" w:fill="auto"/>
            <w:vAlign w:val="center"/>
          </w:tcPr>
          <w:p w14:paraId="4BADD76A">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有服务系统</w:t>
            </w:r>
          </w:p>
        </w:tc>
        <w:tc>
          <w:tcPr>
            <w:tcW w:w="2187" w:type="dxa"/>
            <w:vMerge w:val="restart"/>
            <w:tcBorders>
              <w:top w:val="nil"/>
              <w:left w:val="single" w:color="auto" w:sz="4" w:space="0"/>
              <w:bottom w:val="single" w:color="auto" w:sz="4" w:space="0"/>
              <w:right w:val="single" w:color="auto" w:sz="4" w:space="0"/>
            </w:tcBorders>
            <w:shd w:val="clear" w:color="auto" w:fill="auto"/>
            <w:vAlign w:val="center"/>
          </w:tcPr>
          <w:p w14:paraId="672DE85A">
            <w:pPr>
              <w:widowControl/>
              <w:jc w:val="center"/>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统一接入南宁市人力资源和社会保障局指定或认可的线上公共就业服务平台并实现就业“一库一平台”数据互联互通</w:t>
            </w:r>
          </w:p>
        </w:tc>
        <w:tc>
          <w:tcPr>
            <w:tcW w:w="4873" w:type="dxa"/>
            <w:tcBorders>
              <w:top w:val="nil"/>
              <w:left w:val="nil"/>
              <w:bottom w:val="single" w:color="auto" w:sz="4" w:space="0"/>
              <w:right w:val="single" w:color="auto" w:sz="4" w:space="0"/>
            </w:tcBorders>
            <w:shd w:val="clear" w:color="auto" w:fill="auto"/>
            <w:vAlign w:val="center"/>
          </w:tcPr>
          <w:p w14:paraId="6737C5A5">
            <w:pPr>
              <w:widowControl/>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1.服务站统一接入南宁市人力资源和社会保障局指定或认可的线上公共就业服务平台，实时收集、更新、发布及跟踪招聘求职培训创业信息，并实现就业“一库一平台”数据互联互通。</w:t>
            </w:r>
          </w:p>
        </w:tc>
        <w:tc>
          <w:tcPr>
            <w:tcW w:w="1608" w:type="dxa"/>
            <w:tcBorders>
              <w:top w:val="nil"/>
              <w:left w:val="nil"/>
              <w:bottom w:val="single" w:color="auto" w:sz="4" w:space="0"/>
              <w:right w:val="single" w:color="auto" w:sz="4" w:space="0"/>
            </w:tcBorders>
            <w:shd w:val="clear" w:color="auto" w:fill="auto"/>
            <w:vAlign w:val="center"/>
          </w:tcPr>
          <w:p w14:paraId="61A63BEE">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27D98300">
        <w:tblPrEx>
          <w:tblCellMar>
            <w:top w:w="0" w:type="dxa"/>
            <w:left w:w="108" w:type="dxa"/>
            <w:bottom w:w="0" w:type="dxa"/>
            <w:right w:w="108" w:type="dxa"/>
          </w:tblCellMar>
        </w:tblPrEx>
        <w:trPr>
          <w:trHeight w:val="939" w:hRule="atLeast"/>
        </w:trPr>
        <w:tc>
          <w:tcPr>
            <w:tcW w:w="562" w:type="dxa"/>
            <w:vMerge w:val="continue"/>
            <w:tcBorders>
              <w:top w:val="nil"/>
              <w:left w:val="single" w:color="auto" w:sz="4" w:space="0"/>
              <w:bottom w:val="single" w:color="auto" w:sz="4" w:space="0"/>
              <w:right w:val="single" w:color="auto" w:sz="4" w:space="0"/>
            </w:tcBorders>
            <w:shd w:val="clear" w:color="auto" w:fill="auto"/>
            <w:vAlign w:val="center"/>
          </w:tcPr>
          <w:p w14:paraId="1EA4E61F">
            <w:pPr>
              <w:jc w:val="center"/>
              <w:rPr>
                <w:rFonts w:ascii="CESI仿宋-GB2312" w:hAnsi="CESI仿宋-GB2312" w:eastAsia="CESI仿宋-GB2312" w:cs="CESI仿宋-GB2312"/>
                <w:color w:val="auto"/>
                <w:sz w:val="20"/>
                <w:szCs w:val="20"/>
                <w:highlight w:val="none"/>
              </w:rPr>
            </w:pPr>
          </w:p>
        </w:tc>
        <w:tc>
          <w:tcPr>
            <w:tcW w:w="868" w:type="dxa"/>
            <w:vMerge w:val="continue"/>
            <w:tcBorders>
              <w:top w:val="nil"/>
              <w:left w:val="single" w:color="auto" w:sz="4" w:space="0"/>
              <w:bottom w:val="single" w:color="auto" w:sz="4" w:space="0"/>
              <w:right w:val="single" w:color="auto" w:sz="4" w:space="0"/>
            </w:tcBorders>
            <w:shd w:val="clear" w:color="auto" w:fill="auto"/>
            <w:vAlign w:val="center"/>
          </w:tcPr>
          <w:p w14:paraId="371D0229">
            <w:pPr>
              <w:jc w:val="center"/>
              <w:rPr>
                <w:rFonts w:ascii="CESI仿宋-GB2312" w:hAnsi="CESI仿宋-GB2312" w:eastAsia="CESI仿宋-GB2312" w:cs="CESI仿宋-GB2312"/>
                <w:color w:val="auto"/>
                <w:sz w:val="20"/>
                <w:szCs w:val="20"/>
                <w:highlight w:val="none"/>
              </w:rPr>
            </w:pPr>
          </w:p>
        </w:tc>
        <w:tc>
          <w:tcPr>
            <w:tcW w:w="2187" w:type="dxa"/>
            <w:vMerge w:val="continue"/>
            <w:tcBorders>
              <w:top w:val="nil"/>
              <w:left w:val="single" w:color="auto" w:sz="4" w:space="0"/>
              <w:bottom w:val="single" w:color="auto" w:sz="4" w:space="0"/>
              <w:right w:val="single" w:color="auto" w:sz="4" w:space="0"/>
            </w:tcBorders>
            <w:shd w:val="clear" w:color="auto" w:fill="auto"/>
            <w:vAlign w:val="center"/>
          </w:tcPr>
          <w:p w14:paraId="6EE8C2FF">
            <w:pPr>
              <w:jc w:val="center"/>
              <w:rPr>
                <w:rFonts w:ascii="CESI仿宋-GB2312" w:hAnsi="CESI仿宋-GB2312" w:eastAsia="CESI仿宋-GB2312" w:cs="CESI仿宋-GB2312"/>
                <w:color w:val="auto"/>
                <w:sz w:val="20"/>
                <w:szCs w:val="20"/>
                <w:highlight w:val="none"/>
              </w:rPr>
            </w:pPr>
          </w:p>
        </w:tc>
        <w:tc>
          <w:tcPr>
            <w:tcW w:w="4873" w:type="dxa"/>
            <w:tcBorders>
              <w:top w:val="nil"/>
              <w:left w:val="nil"/>
              <w:bottom w:val="single" w:color="auto" w:sz="4" w:space="0"/>
              <w:right w:val="single" w:color="auto" w:sz="4" w:space="0"/>
            </w:tcBorders>
            <w:shd w:val="clear" w:color="auto" w:fill="auto"/>
            <w:vAlign w:val="center"/>
          </w:tcPr>
          <w:p w14:paraId="728DA440">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2.建立多级调度监测机制，能科学直观了解本站点运营数据，实现分时段、分类型等服务数据监测、分析、统计、调度、展示。</w:t>
            </w:r>
          </w:p>
        </w:tc>
        <w:tc>
          <w:tcPr>
            <w:tcW w:w="1608" w:type="dxa"/>
            <w:tcBorders>
              <w:top w:val="nil"/>
              <w:left w:val="nil"/>
              <w:bottom w:val="single" w:color="auto" w:sz="4" w:space="0"/>
              <w:right w:val="single" w:color="auto" w:sz="4" w:space="0"/>
            </w:tcBorders>
            <w:shd w:val="clear" w:color="auto" w:fill="auto"/>
            <w:vAlign w:val="center"/>
          </w:tcPr>
          <w:p w14:paraId="3EE30F94">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r w14:paraId="534902AE">
        <w:tblPrEx>
          <w:tblCellMar>
            <w:top w:w="0" w:type="dxa"/>
            <w:left w:w="108" w:type="dxa"/>
            <w:bottom w:w="0" w:type="dxa"/>
            <w:right w:w="108" w:type="dxa"/>
          </w:tblCellMar>
        </w:tblPrEx>
        <w:trPr>
          <w:trHeight w:val="999" w:hRule="atLeast"/>
        </w:trPr>
        <w:tc>
          <w:tcPr>
            <w:tcW w:w="562" w:type="dxa"/>
            <w:vMerge w:val="continue"/>
            <w:tcBorders>
              <w:top w:val="nil"/>
              <w:left w:val="single" w:color="auto" w:sz="4" w:space="0"/>
              <w:bottom w:val="single" w:color="auto" w:sz="4" w:space="0"/>
              <w:right w:val="single" w:color="auto" w:sz="4" w:space="0"/>
            </w:tcBorders>
            <w:shd w:val="clear" w:color="auto" w:fill="auto"/>
            <w:vAlign w:val="center"/>
          </w:tcPr>
          <w:p w14:paraId="5E834F7F">
            <w:pPr>
              <w:jc w:val="center"/>
              <w:rPr>
                <w:rFonts w:ascii="CESI仿宋-GB2312" w:hAnsi="CESI仿宋-GB2312" w:eastAsia="CESI仿宋-GB2312" w:cs="CESI仿宋-GB2312"/>
                <w:color w:val="auto"/>
                <w:sz w:val="20"/>
                <w:szCs w:val="20"/>
                <w:highlight w:val="none"/>
              </w:rPr>
            </w:pPr>
          </w:p>
        </w:tc>
        <w:tc>
          <w:tcPr>
            <w:tcW w:w="868" w:type="dxa"/>
            <w:vMerge w:val="continue"/>
            <w:tcBorders>
              <w:top w:val="nil"/>
              <w:left w:val="single" w:color="auto" w:sz="4" w:space="0"/>
              <w:bottom w:val="single" w:color="auto" w:sz="4" w:space="0"/>
              <w:right w:val="single" w:color="auto" w:sz="4" w:space="0"/>
            </w:tcBorders>
            <w:shd w:val="clear" w:color="auto" w:fill="auto"/>
            <w:vAlign w:val="center"/>
          </w:tcPr>
          <w:p w14:paraId="6E8D9353">
            <w:pPr>
              <w:jc w:val="center"/>
              <w:rPr>
                <w:rFonts w:ascii="CESI仿宋-GB2312" w:hAnsi="CESI仿宋-GB2312" w:eastAsia="CESI仿宋-GB2312" w:cs="CESI仿宋-GB2312"/>
                <w:color w:val="auto"/>
                <w:sz w:val="20"/>
                <w:szCs w:val="20"/>
                <w:highlight w:val="none"/>
              </w:rPr>
            </w:pPr>
          </w:p>
        </w:tc>
        <w:tc>
          <w:tcPr>
            <w:tcW w:w="2187" w:type="dxa"/>
            <w:vMerge w:val="continue"/>
            <w:tcBorders>
              <w:top w:val="nil"/>
              <w:left w:val="single" w:color="auto" w:sz="4" w:space="0"/>
              <w:bottom w:val="single" w:color="auto" w:sz="4" w:space="0"/>
              <w:right w:val="single" w:color="auto" w:sz="4" w:space="0"/>
            </w:tcBorders>
            <w:shd w:val="clear" w:color="auto" w:fill="auto"/>
            <w:vAlign w:val="center"/>
          </w:tcPr>
          <w:p w14:paraId="4859CF56">
            <w:pPr>
              <w:jc w:val="center"/>
              <w:rPr>
                <w:rFonts w:ascii="CESI仿宋-GB2312" w:hAnsi="CESI仿宋-GB2312" w:eastAsia="CESI仿宋-GB2312" w:cs="CESI仿宋-GB2312"/>
                <w:color w:val="auto"/>
                <w:sz w:val="20"/>
                <w:szCs w:val="20"/>
                <w:highlight w:val="none"/>
              </w:rPr>
            </w:pPr>
          </w:p>
        </w:tc>
        <w:tc>
          <w:tcPr>
            <w:tcW w:w="4873" w:type="dxa"/>
            <w:tcBorders>
              <w:top w:val="nil"/>
              <w:left w:val="nil"/>
              <w:bottom w:val="single" w:color="auto" w:sz="4" w:space="0"/>
              <w:right w:val="single" w:color="auto" w:sz="4" w:space="0"/>
            </w:tcBorders>
            <w:shd w:val="clear" w:color="auto" w:fill="auto"/>
            <w:vAlign w:val="center"/>
          </w:tcPr>
          <w:p w14:paraId="3873FD92">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3.能远程实时监测和调度本站点运营方工作人员的服务状况和站点运行情况，并能接受上级（或中枢性）网点监控和调度。</w:t>
            </w:r>
          </w:p>
        </w:tc>
        <w:tc>
          <w:tcPr>
            <w:tcW w:w="1608" w:type="dxa"/>
            <w:tcBorders>
              <w:top w:val="nil"/>
              <w:left w:val="nil"/>
              <w:bottom w:val="single" w:color="auto" w:sz="4" w:space="0"/>
              <w:right w:val="single" w:color="auto" w:sz="4" w:space="0"/>
            </w:tcBorders>
            <w:shd w:val="clear" w:color="auto" w:fill="auto"/>
            <w:vAlign w:val="center"/>
          </w:tcPr>
          <w:p w14:paraId="54D39005">
            <w:pPr>
              <w:widowControl/>
              <w:jc w:val="left"/>
              <w:textAlignment w:val="center"/>
              <w:rPr>
                <w:rFonts w:ascii="CESI仿宋-GB2312" w:hAnsi="CESI仿宋-GB2312" w:eastAsia="CESI仿宋-GB2312" w:cs="CESI仿宋-GB2312"/>
                <w:color w:val="auto"/>
                <w:sz w:val="20"/>
                <w:szCs w:val="20"/>
                <w:highlight w:val="none"/>
              </w:rPr>
            </w:pPr>
            <w:r>
              <w:rPr>
                <w:rFonts w:ascii="CESI仿宋-GB2312" w:hAnsi="CESI仿宋-GB2312" w:eastAsia="CESI仿宋-GB2312" w:cs="CESI仿宋-GB2312"/>
                <w:color w:val="auto"/>
                <w:kern w:val="0"/>
                <w:sz w:val="20"/>
                <w:szCs w:val="20"/>
                <w:highlight w:val="none"/>
                <w:lang w:bidi="ar"/>
              </w:rPr>
              <w:t>　</w:t>
            </w:r>
          </w:p>
        </w:tc>
      </w:tr>
    </w:tbl>
    <w:p w14:paraId="32F8B882">
      <w:pPr>
        <w:rPr>
          <w:rFonts w:ascii="Arial" w:hAnsi="Arial" w:cs="Arial"/>
          <w:color w:val="auto"/>
          <w:sz w:val="32"/>
          <w:szCs w:val="32"/>
          <w:highlight w:val="none"/>
        </w:rPr>
      </w:pPr>
      <w:r>
        <w:rPr>
          <w:rFonts w:ascii="Arial" w:hAnsi="Arial" w:cs="Arial"/>
          <w:color w:val="auto"/>
          <w:sz w:val="32"/>
          <w:szCs w:val="32"/>
          <w:highlight w:val="none"/>
        </w:rPr>
        <w:t>附件5</w:t>
      </w:r>
    </w:p>
    <w:tbl>
      <w:tblPr>
        <w:tblStyle w:val="35"/>
        <w:tblW w:w="10284" w:type="dxa"/>
        <w:tblInd w:w="-702" w:type="dxa"/>
        <w:tblLayout w:type="autofit"/>
        <w:tblCellMar>
          <w:top w:w="0" w:type="dxa"/>
          <w:left w:w="108" w:type="dxa"/>
          <w:bottom w:w="0" w:type="dxa"/>
          <w:right w:w="108" w:type="dxa"/>
        </w:tblCellMar>
      </w:tblPr>
      <w:tblGrid>
        <w:gridCol w:w="638"/>
        <w:gridCol w:w="823"/>
        <w:gridCol w:w="1301"/>
        <w:gridCol w:w="7522"/>
      </w:tblGrid>
      <w:tr w14:paraId="302DAF9B">
        <w:tblPrEx>
          <w:tblCellMar>
            <w:top w:w="0" w:type="dxa"/>
            <w:left w:w="108" w:type="dxa"/>
            <w:bottom w:w="0" w:type="dxa"/>
            <w:right w:w="108" w:type="dxa"/>
          </w:tblCellMar>
        </w:tblPrEx>
        <w:tc>
          <w:tcPr>
            <w:tcW w:w="1028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ACB3144">
            <w:pPr>
              <w:widowControl/>
              <w:jc w:val="center"/>
              <w:textAlignment w:val="center"/>
              <w:rPr>
                <w:rFonts w:ascii="Arial" w:hAnsi="Arial" w:cs="Arial"/>
                <w:color w:val="auto"/>
                <w:szCs w:val="21"/>
                <w:highlight w:val="none"/>
              </w:rPr>
            </w:pPr>
            <w:r>
              <w:rPr>
                <w:rFonts w:ascii="Arial" w:hAnsi="Arial" w:cs="Arial"/>
                <w:color w:val="auto"/>
                <w:kern w:val="0"/>
                <w:sz w:val="32"/>
                <w:szCs w:val="32"/>
                <w:highlight w:val="none"/>
                <w:lang w:bidi="ar"/>
              </w:rPr>
              <w:t>宾阳县人力资源市场</w:t>
            </w:r>
            <w:r>
              <w:rPr>
                <w:rFonts w:hint="eastAsia" w:ascii="Arial" w:hAnsi="Arial" w:cs="Arial"/>
                <w:color w:val="auto"/>
                <w:kern w:val="0"/>
                <w:sz w:val="32"/>
                <w:szCs w:val="32"/>
                <w:highlight w:val="none"/>
                <w:lang w:val="en-US" w:eastAsia="zh-CN" w:bidi="ar"/>
              </w:rPr>
              <w:t>/零工市场</w:t>
            </w:r>
            <w:r>
              <w:rPr>
                <w:rFonts w:ascii="Arial" w:hAnsi="Arial" w:cs="Arial"/>
                <w:color w:val="auto"/>
                <w:kern w:val="0"/>
                <w:sz w:val="32"/>
                <w:szCs w:val="32"/>
                <w:highlight w:val="none"/>
                <w:lang w:bidi="ar"/>
              </w:rPr>
              <w:t>服务事项清单</w:t>
            </w:r>
          </w:p>
        </w:tc>
      </w:tr>
      <w:tr w14:paraId="30AA276D">
        <w:tblPrEx>
          <w:tblCellMar>
            <w:top w:w="0" w:type="dxa"/>
            <w:left w:w="108" w:type="dxa"/>
            <w:bottom w:w="0" w:type="dxa"/>
            <w:right w:w="108" w:type="dxa"/>
          </w:tblCellMar>
        </w:tblPrEx>
        <w:trPr>
          <w:trHeight w:val="494"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B6A619">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服务类别</w:t>
            </w:r>
          </w:p>
        </w:tc>
        <w:tc>
          <w:tcPr>
            <w:tcW w:w="823" w:type="dxa"/>
            <w:tcBorders>
              <w:top w:val="single" w:color="auto" w:sz="4" w:space="0"/>
              <w:left w:val="nil"/>
              <w:bottom w:val="single" w:color="auto" w:sz="4" w:space="0"/>
              <w:right w:val="single" w:color="auto" w:sz="4" w:space="0"/>
            </w:tcBorders>
            <w:shd w:val="clear" w:color="auto" w:fill="auto"/>
            <w:vAlign w:val="center"/>
          </w:tcPr>
          <w:p w14:paraId="710EF049">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序号</w:t>
            </w:r>
          </w:p>
        </w:tc>
        <w:tc>
          <w:tcPr>
            <w:tcW w:w="1301" w:type="dxa"/>
            <w:tcBorders>
              <w:top w:val="single" w:color="auto" w:sz="4" w:space="0"/>
              <w:left w:val="nil"/>
              <w:bottom w:val="single" w:color="auto" w:sz="4" w:space="0"/>
              <w:right w:val="single" w:color="auto" w:sz="4" w:space="0"/>
            </w:tcBorders>
            <w:shd w:val="clear" w:color="auto" w:fill="auto"/>
            <w:vAlign w:val="center"/>
          </w:tcPr>
          <w:p w14:paraId="65250D3D">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服务事项</w:t>
            </w:r>
          </w:p>
        </w:tc>
        <w:tc>
          <w:tcPr>
            <w:tcW w:w="7522" w:type="dxa"/>
            <w:tcBorders>
              <w:top w:val="single" w:color="auto" w:sz="4" w:space="0"/>
              <w:left w:val="nil"/>
              <w:bottom w:val="single" w:color="auto" w:sz="4" w:space="0"/>
              <w:right w:val="single" w:color="auto" w:sz="4" w:space="0"/>
            </w:tcBorders>
            <w:shd w:val="clear" w:color="auto" w:fill="auto"/>
            <w:vAlign w:val="center"/>
          </w:tcPr>
          <w:p w14:paraId="5979CC94">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服务内容</w:t>
            </w:r>
          </w:p>
        </w:tc>
      </w:tr>
      <w:tr w14:paraId="57BE13E1">
        <w:tblPrEx>
          <w:tblCellMar>
            <w:top w:w="0" w:type="dxa"/>
            <w:left w:w="108" w:type="dxa"/>
            <w:bottom w:w="0" w:type="dxa"/>
            <w:right w:w="108" w:type="dxa"/>
          </w:tblCellMar>
        </w:tblPrEx>
        <w:trPr>
          <w:trHeight w:val="90" w:hRule="atLeast"/>
        </w:trPr>
        <w:tc>
          <w:tcPr>
            <w:tcW w:w="0" w:type="auto"/>
            <w:vMerge w:val="restart"/>
            <w:tcBorders>
              <w:top w:val="nil"/>
              <w:left w:val="single" w:color="auto" w:sz="4" w:space="0"/>
              <w:bottom w:val="single" w:color="000000" w:sz="4" w:space="0"/>
              <w:right w:val="single" w:color="auto" w:sz="4" w:space="0"/>
            </w:tcBorders>
            <w:shd w:val="clear" w:color="auto" w:fill="auto"/>
            <w:vAlign w:val="center"/>
          </w:tcPr>
          <w:p w14:paraId="0AB75C63">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劳动者    （对外公开）</w:t>
            </w:r>
          </w:p>
        </w:tc>
        <w:tc>
          <w:tcPr>
            <w:tcW w:w="823" w:type="dxa"/>
            <w:vMerge w:val="restart"/>
            <w:tcBorders>
              <w:top w:val="nil"/>
              <w:left w:val="single" w:color="auto" w:sz="4" w:space="0"/>
              <w:bottom w:val="single" w:color="auto" w:sz="4" w:space="0"/>
              <w:right w:val="single" w:color="auto" w:sz="4" w:space="0"/>
            </w:tcBorders>
            <w:shd w:val="clear" w:color="auto" w:fill="auto"/>
            <w:vAlign w:val="center"/>
          </w:tcPr>
          <w:p w14:paraId="376008FF">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w:t>
            </w:r>
          </w:p>
        </w:tc>
        <w:tc>
          <w:tcPr>
            <w:tcW w:w="1301" w:type="dxa"/>
            <w:vMerge w:val="restart"/>
            <w:tcBorders>
              <w:top w:val="nil"/>
              <w:left w:val="single" w:color="auto" w:sz="4" w:space="0"/>
              <w:bottom w:val="single" w:color="auto" w:sz="4" w:space="0"/>
              <w:right w:val="single" w:color="auto" w:sz="4" w:space="0"/>
            </w:tcBorders>
            <w:shd w:val="clear" w:color="auto" w:fill="auto"/>
            <w:vAlign w:val="center"/>
          </w:tcPr>
          <w:p w14:paraId="7A45FFF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咨询服务</w:t>
            </w:r>
          </w:p>
        </w:tc>
        <w:tc>
          <w:tcPr>
            <w:tcW w:w="7522" w:type="dxa"/>
            <w:tcBorders>
              <w:top w:val="nil"/>
              <w:left w:val="nil"/>
              <w:bottom w:val="single" w:color="auto" w:sz="4" w:space="0"/>
              <w:right w:val="single" w:color="auto" w:sz="4" w:space="0"/>
            </w:tcBorders>
            <w:shd w:val="clear" w:color="auto" w:fill="auto"/>
            <w:vAlign w:val="center"/>
          </w:tcPr>
          <w:p w14:paraId="6A79A50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政策宣传、服务咨询、信息查询；</w:t>
            </w:r>
          </w:p>
        </w:tc>
      </w:tr>
      <w:tr w14:paraId="2347478A">
        <w:tblPrEx>
          <w:tblCellMar>
            <w:top w:w="0" w:type="dxa"/>
            <w:left w:w="108" w:type="dxa"/>
            <w:bottom w:w="0" w:type="dxa"/>
            <w:right w:w="108" w:type="dxa"/>
          </w:tblCellMar>
        </w:tblPrEx>
        <w:trPr>
          <w:trHeight w:val="483"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320D7A01">
            <w:pPr>
              <w:jc w:val="center"/>
              <w:rPr>
                <w:rFonts w:ascii="Arial" w:hAnsi="Arial" w:cs="Arial"/>
                <w:b/>
                <w:bCs/>
                <w:color w:val="auto"/>
                <w:szCs w:val="21"/>
                <w:highlight w:val="none"/>
              </w:rPr>
            </w:pPr>
          </w:p>
        </w:tc>
        <w:tc>
          <w:tcPr>
            <w:tcW w:w="823" w:type="dxa"/>
            <w:vMerge w:val="continue"/>
            <w:tcBorders>
              <w:top w:val="nil"/>
              <w:left w:val="single" w:color="auto" w:sz="4" w:space="0"/>
              <w:bottom w:val="single" w:color="auto" w:sz="4" w:space="0"/>
              <w:right w:val="single" w:color="auto" w:sz="4" w:space="0"/>
            </w:tcBorders>
            <w:shd w:val="clear" w:color="auto" w:fill="auto"/>
            <w:vAlign w:val="center"/>
          </w:tcPr>
          <w:p w14:paraId="4A0E34FB">
            <w:pPr>
              <w:jc w:val="center"/>
              <w:rPr>
                <w:rFonts w:ascii="Arial" w:hAnsi="Arial" w:cs="Arial"/>
                <w:color w:val="auto"/>
                <w:szCs w:val="21"/>
                <w:highlight w:val="none"/>
              </w:rPr>
            </w:pPr>
          </w:p>
        </w:tc>
        <w:tc>
          <w:tcPr>
            <w:tcW w:w="1301" w:type="dxa"/>
            <w:vMerge w:val="continue"/>
            <w:tcBorders>
              <w:top w:val="nil"/>
              <w:left w:val="single" w:color="auto" w:sz="4" w:space="0"/>
              <w:bottom w:val="single" w:color="auto" w:sz="4" w:space="0"/>
              <w:right w:val="single" w:color="auto" w:sz="4" w:space="0"/>
            </w:tcBorders>
            <w:shd w:val="clear" w:color="auto" w:fill="auto"/>
            <w:vAlign w:val="center"/>
          </w:tcPr>
          <w:p w14:paraId="1E135900">
            <w:pPr>
              <w:jc w:val="center"/>
              <w:rPr>
                <w:rFonts w:ascii="Arial" w:hAnsi="Arial" w:cs="Arial"/>
                <w:color w:val="auto"/>
                <w:szCs w:val="21"/>
                <w:highlight w:val="none"/>
              </w:rPr>
            </w:pPr>
          </w:p>
        </w:tc>
        <w:tc>
          <w:tcPr>
            <w:tcW w:w="7522" w:type="dxa"/>
            <w:tcBorders>
              <w:top w:val="nil"/>
              <w:left w:val="nil"/>
              <w:bottom w:val="single" w:color="auto" w:sz="4" w:space="0"/>
              <w:right w:val="single" w:color="auto" w:sz="4" w:space="0"/>
            </w:tcBorders>
            <w:shd w:val="clear" w:color="auto" w:fill="auto"/>
            <w:vAlign w:val="center"/>
          </w:tcPr>
          <w:p w14:paraId="674A2A57">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就业失业登记、就业困难人员认定、就业创业补贴申领等业务办理指引</w:t>
            </w:r>
          </w:p>
        </w:tc>
      </w:tr>
      <w:tr w14:paraId="5AAE0E30">
        <w:tblPrEx>
          <w:tblCellMar>
            <w:top w:w="0" w:type="dxa"/>
            <w:left w:w="108" w:type="dxa"/>
            <w:bottom w:w="0" w:type="dxa"/>
            <w:right w:w="108" w:type="dxa"/>
          </w:tblCellMar>
        </w:tblPrEx>
        <w:trPr>
          <w:trHeight w:val="591"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00903D3F">
            <w:pPr>
              <w:jc w:val="center"/>
              <w:rPr>
                <w:rFonts w:ascii="Arial" w:hAnsi="Arial" w:cs="Arial"/>
                <w:b/>
                <w:bCs/>
                <w:color w:val="auto"/>
                <w:szCs w:val="21"/>
                <w:highlight w:val="none"/>
              </w:rPr>
            </w:pPr>
          </w:p>
        </w:tc>
        <w:tc>
          <w:tcPr>
            <w:tcW w:w="823" w:type="dxa"/>
            <w:tcBorders>
              <w:top w:val="nil"/>
              <w:left w:val="nil"/>
              <w:bottom w:val="single" w:color="auto" w:sz="4" w:space="0"/>
              <w:right w:val="single" w:color="auto" w:sz="4" w:space="0"/>
            </w:tcBorders>
            <w:shd w:val="clear" w:color="auto" w:fill="auto"/>
            <w:vAlign w:val="center"/>
          </w:tcPr>
          <w:p w14:paraId="388A51A2">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2</w:t>
            </w:r>
          </w:p>
        </w:tc>
        <w:tc>
          <w:tcPr>
            <w:tcW w:w="1301" w:type="dxa"/>
            <w:tcBorders>
              <w:top w:val="nil"/>
              <w:left w:val="nil"/>
              <w:bottom w:val="single" w:color="auto" w:sz="4" w:space="0"/>
              <w:right w:val="single" w:color="auto" w:sz="4" w:space="0"/>
            </w:tcBorders>
            <w:shd w:val="clear" w:color="auto" w:fill="auto"/>
            <w:vAlign w:val="center"/>
          </w:tcPr>
          <w:p w14:paraId="2D6A931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市场服务</w:t>
            </w:r>
          </w:p>
        </w:tc>
        <w:tc>
          <w:tcPr>
            <w:tcW w:w="7522" w:type="dxa"/>
            <w:tcBorders>
              <w:top w:val="nil"/>
              <w:left w:val="nil"/>
              <w:bottom w:val="single" w:color="auto" w:sz="4" w:space="0"/>
              <w:right w:val="single" w:color="auto" w:sz="4" w:space="0"/>
            </w:tcBorders>
            <w:shd w:val="clear" w:color="auto" w:fill="auto"/>
            <w:vAlign w:val="center"/>
          </w:tcPr>
          <w:p w14:paraId="6C99931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招聘会举办、职业指导讲座举办、公益性技能培训组织、直播带岗组织、政策宣传活动组织</w:t>
            </w:r>
          </w:p>
        </w:tc>
      </w:tr>
      <w:tr w14:paraId="5FF894C2">
        <w:tblPrEx>
          <w:tblCellMar>
            <w:top w:w="0" w:type="dxa"/>
            <w:left w:w="108" w:type="dxa"/>
            <w:bottom w:w="0" w:type="dxa"/>
            <w:right w:w="108" w:type="dxa"/>
          </w:tblCellMar>
        </w:tblPrEx>
        <w:trPr>
          <w:trHeight w:val="375"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62632013">
            <w:pPr>
              <w:jc w:val="center"/>
              <w:rPr>
                <w:rFonts w:ascii="Arial" w:hAnsi="Arial" w:cs="Arial"/>
                <w:b/>
                <w:bCs/>
                <w:color w:val="auto"/>
                <w:szCs w:val="21"/>
                <w:highlight w:val="none"/>
              </w:rPr>
            </w:pPr>
          </w:p>
        </w:tc>
        <w:tc>
          <w:tcPr>
            <w:tcW w:w="823" w:type="dxa"/>
            <w:tcBorders>
              <w:top w:val="nil"/>
              <w:left w:val="nil"/>
              <w:bottom w:val="single" w:color="auto" w:sz="4" w:space="0"/>
              <w:right w:val="single" w:color="auto" w:sz="4" w:space="0"/>
            </w:tcBorders>
            <w:shd w:val="clear" w:color="auto" w:fill="auto"/>
            <w:vAlign w:val="center"/>
          </w:tcPr>
          <w:p w14:paraId="0FD2748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3</w:t>
            </w:r>
          </w:p>
        </w:tc>
        <w:tc>
          <w:tcPr>
            <w:tcW w:w="1301" w:type="dxa"/>
            <w:tcBorders>
              <w:top w:val="nil"/>
              <w:left w:val="nil"/>
              <w:bottom w:val="single" w:color="auto" w:sz="4" w:space="0"/>
              <w:right w:val="single" w:color="auto" w:sz="4" w:space="0"/>
            </w:tcBorders>
            <w:shd w:val="clear" w:color="auto" w:fill="auto"/>
            <w:vAlign w:val="center"/>
          </w:tcPr>
          <w:p w14:paraId="17CD7A5F">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求职服务</w:t>
            </w:r>
          </w:p>
        </w:tc>
        <w:tc>
          <w:tcPr>
            <w:tcW w:w="7522" w:type="dxa"/>
            <w:tcBorders>
              <w:top w:val="nil"/>
              <w:left w:val="nil"/>
              <w:bottom w:val="single" w:color="auto" w:sz="4" w:space="0"/>
              <w:right w:val="single" w:color="auto" w:sz="4" w:space="0"/>
            </w:tcBorders>
            <w:shd w:val="clear" w:color="auto" w:fill="auto"/>
            <w:vAlign w:val="center"/>
          </w:tcPr>
          <w:p w14:paraId="40DC56BE">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求职登记、职业指导、岗位推荐、招聘会信息推送</w:t>
            </w:r>
          </w:p>
        </w:tc>
      </w:tr>
      <w:tr w14:paraId="08D7F4BE">
        <w:tblPrEx>
          <w:tblCellMar>
            <w:top w:w="0" w:type="dxa"/>
            <w:left w:w="108" w:type="dxa"/>
            <w:bottom w:w="0" w:type="dxa"/>
            <w:right w:w="108" w:type="dxa"/>
          </w:tblCellMar>
        </w:tblPrEx>
        <w:trPr>
          <w:trHeight w:val="243"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5E6FB93B">
            <w:pPr>
              <w:jc w:val="center"/>
              <w:rPr>
                <w:rFonts w:ascii="Arial" w:hAnsi="Arial" w:cs="Arial"/>
                <w:b/>
                <w:bCs/>
                <w:color w:val="auto"/>
                <w:szCs w:val="21"/>
                <w:highlight w:val="none"/>
              </w:rPr>
            </w:pPr>
          </w:p>
        </w:tc>
        <w:tc>
          <w:tcPr>
            <w:tcW w:w="823" w:type="dxa"/>
            <w:tcBorders>
              <w:top w:val="nil"/>
              <w:left w:val="nil"/>
              <w:bottom w:val="single" w:color="auto" w:sz="4" w:space="0"/>
              <w:right w:val="single" w:color="auto" w:sz="4" w:space="0"/>
            </w:tcBorders>
            <w:shd w:val="clear" w:color="auto" w:fill="auto"/>
            <w:vAlign w:val="center"/>
          </w:tcPr>
          <w:p w14:paraId="7F21F5B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4</w:t>
            </w:r>
          </w:p>
        </w:tc>
        <w:tc>
          <w:tcPr>
            <w:tcW w:w="1301" w:type="dxa"/>
            <w:tcBorders>
              <w:top w:val="nil"/>
              <w:left w:val="nil"/>
              <w:bottom w:val="single" w:color="auto" w:sz="4" w:space="0"/>
              <w:right w:val="single" w:color="auto" w:sz="4" w:space="0"/>
            </w:tcBorders>
            <w:shd w:val="clear" w:color="auto" w:fill="auto"/>
            <w:vAlign w:val="center"/>
          </w:tcPr>
          <w:p w14:paraId="54DC027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零工服务</w:t>
            </w:r>
          </w:p>
        </w:tc>
        <w:tc>
          <w:tcPr>
            <w:tcW w:w="7522" w:type="dxa"/>
            <w:tcBorders>
              <w:top w:val="nil"/>
              <w:left w:val="nil"/>
              <w:bottom w:val="single" w:color="auto" w:sz="4" w:space="0"/>
              <w:right w:val="single" w:color="auto" w:sz="4" w:space="0"/>
            </w:tcBorders>
            <w:shd w:val="clear" w:color="auto" w:fill="auto"/>
            <w:vAlign w:val="center"/>
          </w:tcPr>
          <w:p w14:paraId="17573D5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“找零工”登记、零工岗位推荐</w:t>
            </w:r>
          </w:p>
        </w:tc>
      </w:tr>
      <w:tr w14:paraId="1FBE9C4E">
        <w:tblPrEx>
          <w:tblCellMar>
            <w:top w:w="0" w:type="dxa"/>
            <w:left w:w="108" w:type="dxa"/>
            <w:bottom w:w="0" w:type="dxa"/>
            <w:right w:w="108" w:type="dxa"/>
          </w:tblCellMar>
        </w:tblPrEx>
        <w:trPr>
          <w:trHeight w:val="935"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5FD4C5DC">
            <w:pPr>
              <w:jc w:val="center"/>
              <w:rPr>
                <w:rFonts w:ascii="Arial" w:hAnsi="Arial" w:cs="Arial"/>
                <w:b/>
                <w:bCs/>
                <w:color w:val="auto"/>
                <w:szCs w:val="21"/>
                <w:highlight w:val="none"/>
              </w:rPr>
            </w:pPr>
          </w:p>
        </w:tc>
        <w:tc>
          <w:tcPr>
            <w:tcW w:w="823" w:type="dxa"/>
            <w:tcBorders>
              <w:top w:val="nil"/>
              <w:left w:val="nil"/>
              <w:bottom w:val="single" w:color="auto" w:sz="4" w:space="0"/>
              <w:right w:val="single" w:color="auto" w:sz="4" w:space="0"/>
            </w:tcBorders>
            <w:shd w:val="clear" w:color="auto" w:fill="auto"/>
            <w:vAlign w:val="center"/>
          </w:tcPr>
          <w:p w14:paraId="00B7628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5</w:t>
            </w:r>
          </w:p>
        </w:tc>
        <w:tc>
          <w:tcPr>
            <w:tcW w:w="1301" w:type="dxa"/>
            <w:tcBorders>
              <w:top w:val="nil"/>
              <w:left w:val="nil"/>
              <w:bottom w:val="single" w:color="auto" w:sz="4" w:space="0"/>
              <w:right w:val="single" w:color="auto" w:sz="4" w:space="0"/>
            </w:tcBorders>
            <w:shd w:val="clear" w:color="auto" w:fill="auto"/>
            <w:vAlign w:val="center"/>
          </w:tcPr>
          <w:p w14:paraId="164C04E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技能培训</w:t>
            </w:r>
          </w:p>
        </w:tc>
        <w:tc>
          <w:tcPr>
            <w:tcW w:w="7522" w:type="dxa"/>
            <w:tcBorders>
              <w:top w:val="nil"/>
              <w:left w:val="nil"/>
              <w:bottom w:val="single" w:color="auto" w:sz="4" w:space="0"/>
              <w:right w:val="single" w:color="auto" w:sz="4" w:space="0"/>
            </w:tcBorders>
            <w:shd w:val="clear" w:color="auto" w:fill="auto"/>
            <w:vAlign w:val="center"/>
          </w:tcPr>
          <w:p w14:paraId="7D64D14E">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培训需求登记、培训机构信息查询、培训项目推荐、培训开班计划查询、组织参加补贴性技能培训、培训补贴申领指引</w:t>
            </w:r>
          </w:p>
        </w:tc>
      </w:tr>
      <w:tr w14:paraId="39AB18DC">
        <w:tblPrEx>
          <w:tblCellMar>
            <w:top w:w="0" w:type="dxa"/>
            <w:left w:w="108" w:type="dxa"/>
            <w:bottom w:w="0" w:type="dxa"/>
            <w:right w:w="108" w:type="dxa"/>
          </w:tblCellMar>
        </w:tblPrEx>
        <w:trPr>
          <w:trHeight w:val="399"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6E7F1B0C">
            <w:pPr>
              <w:jc w:val="center"/>
              <w:rPr>
                <w:rFonts w:ascii="Arial" w:hAnsi="Arial" w:cs="Arial"/>
                <w:b/>
                <w:bCs/>
                <w:color w:val="auto"/>
                <w:szCs w:val="21"/>
                <w:highlight w:val="none"/>
              </w:rPr>
            </w:pPr>
          </w:p>
        </w:tc>
        <w:tc>
          <w:tcPr>
            <w:tcW w:w="823" w:type="dxa"/>
            <w:tcBorders>
              <w:top w:val="nil"/>
              <w:left w:val="nil"/>
              <w:bottom w:val="single" w:color="auto" w:sz="4" w:space="0"/>
              <w:right w:val="single" w:color="auto" w:sz="4" w:space="0"/>
            </w:tcBorders>
            <w:shd w:val="clear" w:color="auto" w:fill="auto"/>
            <w:vAlign w:val="center"/>
          </w:tcPr>
          <w:p w14:paraId="1D3D9CD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6</w:t>
            </w:r>
          </w:p>
        </w:tc>
        <w:tc>
          <w:tcPr>
            <w:tcW w:w="1301" w:type="dxa"/>
            <w:tcBorders>
              <w:top w:val="nil"/>
              <w:left w:val="nil"/>
              <w:bottom w:val="single" w:color="auto" w:sz="4" w:space="0"/>
              <w:right w:val="single" w:color="auto" w:sz="4" w:space="0"/>
            </w:tcBorders>
            <w:shd w:val="clear" w:color="auto" w:fill="auto"/>
            <w:vAlign w:val="center"/>
          </w:tcPr>
          <w:p w14:paraId="5FB692C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创业指导</w:t>
            </w:r>
          </w:p>
        </w:tc>
        <w:tc>
          <w:tcPr>
            <w:tcW w:w="7522" w:type="dxa"/>
            <w:tcBorders>
              <w:top w:val="nil"/>
              <w:left w:val="nil"/>
              <w:bottom w:val="single" w:color="auto" w:sz="4" w:space="0"/>
              <w:right w:val="single" w:color="auto" w:sz="4" w:space="0"/>
            </w:tcBorders>
            <w:shd w:val="clear" w:color="auto" w:fill="auto"/>
            <w:vAlign w:val="center"/>
          </w:tcPr>
          <w:p w14:paraId="7A2A0913">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创业担保贷款申请指导、创业项目推介、创业扶持补贴申领指引</w:t>
            </w:r>
          </w:p>
        </w:tc>
      </w:tr>
      <w:tr w14:paraId="76E733EA">
        <w:tblPrEx>
          <w:tblCellMar>
            <w:top w:w="0" w:type="dxa"/>
            <w:left w:w="108" w:type="dxa"/>
            <w:bottom w:w="0" w:type="dxa"/>
            <w:right w:w="108" w:type="dxa"/>
          </w:tblCellMar>
        </w:tblPrEx>
        <w:trPr>
          <w:trHeight w:val="291"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73E58C9B">
            <w:pPr>
              <w:jc w:val="center"/>
              <w:rPr>
                <w:rFonts w:ascii="Arial" w:hAnsi="Arial" w:cs="Arial"/>
                <w:b/>
                <w:bCs/>
                <w:color w:val="auto"/>
                <w:szCs w:val="21"/>
                <w:highlight w:val="none"/>
              </w:rPr>
            </w:pPr>
          </w:p>
        </w:tc>
        <w:tc>
          <w:tcPr>
            <w:tcW w:w="823" w:type="dxa"/>
            <w:tcBorders>
              <w:top w:val="nil"/>
              <w:left w:val="nil"/>
              <w:bottom w:val="single" w:color="auto" w:sz="4" w:space="0"/>
              <w:right w:val="single" w:color="auto" w:sz="4" w:space="0"/>
            </w:tcBorders>
            <w:shd w:val="clear" w:color="auto" w:fill="auto"/>
            <w:vAlign w:val="center"/>
          </w:tcPr>
          <w:p w14:paraId="48500A9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7</w:t>
            </w:r>
          </w:p>
        </w:tc>
        <w:tc>
          <w:tcPr>
            <w:tcW w:w="1301" w:type="dxa"/>
            <w:tcBorders>
              <w:top w:val="nil"/>
              <w:left w:val="nil"/>
              <w:bottom w:val="single" w:color="auto" w:sz="4" w:space="0"/>
              <w:right w:val="single" w:color="auto" w:sz="4" w:space="0"/>
            </w:tcBorders>
            <w:shd w:val="clear" w:color="auto" w:fill="auto"/>
            <w:vAlign w:val="center"/>
          </w:tcPr>
          <w:p w14:paraId="41B365D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就业援助</w:t>
            </w:r>
          </w:p>
        </w:tc>
        <w:tc>
          <w:tcPr>
            <w:tcW w:w="7522" w:type="dxa"/>
            <w:tcBorders>
              <w:top w:val="nil"/>
              <w:left w:val="nil"/>
              <w:bottom w:val="single" w:color="auto" w:sz="4" w:space="0"/>
              <w:right w:val="single" w:color="auto" w:sz="4" w:space="0"/>
            </w:tcBorders>
            <w:shd w:val="clear" w:color="auto" w:fill="auto"/>
            <w:vAlign w:val="center"/>
          </w:tcPr>
          <w:p w14:paraId="1A562C1E">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对城镇零就业家庭劳动者、防止返贫监测对象家庭劳动者等特殊困难人群提供就业跟踪帮扶</w:t>
            </w:r>
          </w:p>
        </w:tc>
      </w:tr>
      <w:tr w14:paraId="0A3FBB09">
        <w:tblPrEx>
          <w:tblCellMar>
            <w:top w:w="0" w:type="dxa"/>
            <w:left w:w="108" w:type="dxa"/>
            <w:bottom w:w="0" w:type="dxa"/>
            <w:right w:w="108" w:type="dxa"/>
          </w:tblCellMar>
        </w:tblPrEx>
        <w:trPr>
          <w:trHeight w:val="243"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1EBFA0FB">
            <w:pPr>
              <w:jc w:val="center"/>
              <w:rPr>
                <w:rFonts w:ascii="Arial" w:hAnsi="Arial" w:cs="Arial"/>
                <w:b/>
                <w:bCs/>
                <w:color w:val="auto"/>
                <w:szCs w:val="21"/>
                <w:highlight w:val="none"/>
              </w:rPr>
            </w:pPr>
          </w:p>
        </w:tc>
        <w:tc>
          <w:tcPr>
            <w:tcW w:w="823" w:type="dxa"/>
            <w:tcBorders>
              <w:top w:val="nil"/>
              <w:left w:val="nil"/>
              <w:bottom w:val="single" w:color="auto" w:sz="4" w:space="0"/>
              <w:right w:val="single" w:color="auto" w:sz="4" w:space="0"/>
            </w:tcBorders>
            <w:shd w:val="clear" w:color="auto" w:fill="auto"/>
            <w:vAlign w:val="center"/>
          </w:tcPr>
          <w:p w14:paraId="388F722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8</w:t>
            </w:r>
          </w:p>
        </w:tc>
        <w:tc>
          <w:tcPr>
            <w:tcW w:w="1301" w:type="dxa"/>
            <w:tcBorders>
              <w:top w:val="nil"/>
              <w:left w:val="nil"/>
              <w:bottom w:val="single" w:color="auto" w:sz="4" w:space="0"/>
              <w:right w:val="single" w:color="auto" w:sz="4" w:space="0"/>
            </w:tcBorders>
            <w:shd w:val="clear" w:color="auto" w:fill="auto"/>
            <w:vAlign w:val="center"/>
          </w:tcPr>
          <w:p w14:paraId="721B527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劳动维权</w:t>
            </w:r>
          </w:p>
        </w:tc>
        <w:tc>
          <w:tcPr>
            <w:tcW w:w="7522" w:type="dxa"/>
            <w:tcBorders>
              <w:top w:val="nil"/>
              <w:left w:val="nil"/>
              <w:bottom w:val="single" w:color="auto" w:sz="4" w:space="0"/>
              <w:right w:val="single" w:color="auto" w:sz="4" w:space="0"/>
            </w:tcBorders>
            <w:shd w:val="clear" w:color="auto" w:fill="auto"/>
            <w:vAlign w:val="center"/>
          </w:tcPr>
          <w:p w14:paraId="1D380C62">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劳动者工资、社保等合法权益侵害维权指引</w:t>
            </w:r>
          </w:p>
        </w:tc>
      </w:tr>
      <w:tr w14:paraId="58B86D92">
        <w:tblPrEx>
          <w:tblCellMar>
            <w:top w:w="0" w:type="dxa"/>
            <w:left w:w="108" w:type="dxa"/>
            <w:bottom w:w="0" w:type="dxa"/>
            <w:right w:w="108" w:type="dxa"/>
          </w:tblCellMar>
        </w:tblPrEx>
        <w:trPr>
          <w:trHeight w:val="139" w:hRule="atLeast"/>
        </w:trPr>
        <w:tc>
          <w:tcPr>
            <w:tcW w:w="0" w:type="auto"/>
            <w:vMerge w:val="restart"/>
            <w:tcBorders>
              <w:top w:val="nil"/>
              <w:left w:val="single" w:color="auto" w:sz="4" w:space="0"/>
              <w:bottom w:val="single" w:color="000000" w:sz="4" w:space="0"/>
              <w:right w:val="single" w:color="auto" w:sz="4" w:space="0"/>
            </w:tcBorders>
            <w:shd w:val="clear" w:color="auto" w:fill="auto"/>
            <w:vAlign w:val="center"/>
          </w:tcPr>
          <w:p w14:paraId="49F6FAEC">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用人单位   （对外公开）</w:t>
            </w:r>
          </w:p>
        </w:tc>
        <w:tc>
          <w:tcPr>
            <w:tcW w:w="823" w:type="dxa"/>
            <w:vMerge w:val="restart"/>
            <w:tcBorders>
              <w:top w:val="nil"/>
              <w:left w:val="single" w:color="auto" w:sz="4" w:space="0"/>
              <w:bottom w:val="single" w:color="auto" w:sz="4" w:space="0"/>
              <w:right w:val="single" w:color="auto" w:sz="4" w:space="0"/>
            </w:tcBorders>
            <w:shd w:val="clear" w:color="auto" w:fill="auto"/>
            <w:vAlign w:val="center"/>
          </w:tcPr>
          <w:p w14:paraId="2305017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9</w:t>
            </w:r>
          </w:p>
        </w:tc>
        <w:tc>
          <w:tcPr>
            <w:tcW w:w="1301" w:type="dxa"/>
            <w:vMerge w:val="restart"/>
            <w:tcBorders>
              <w:top w:val="nil"/>
              <w:left w:val="single" w:color="auto" w:sz="4" w:space="0"/>
              <w:bottom w:val="single" w:color="auto" w:sz="4" w:space="0"/>
              <w:right w:val="single" w:color="auto" w:sz="4" w:space="0"/>
            </w:tcBorders>
            <w:shd w:val="clear" w:color="auto" w:fill="auto"/>
            <w:vAlign w:val="center"/>
          </w:tcPr>
          <w:p w14:paraId="1216AC0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咨询服务</w:t>
            </w:r>
          </w:p>
        </w:tc>
        <w:tc>
          <w:tcPr>
            <w:tcW w:w="7522" w:type="dxa"/>
            <w:tcBorders>
              <w:top w:val="nil"/>
              <w:left w:val="nil"/>
              <w:bottom w:val="single" w:color="auto" w:sz="4" w:space="0"/>
              <w:right w:val="single" w:color="auto" w:sz="4" w:space="0"/>
            </w:tcBorders>
            <w:shd w:val="clear" w:color="auto" w:fill="auto"/>
            <w:vAlign w:val="center"/>
          </w:tcPr>
          <w:p w14:paraId="0AD2EC1B">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政策宣传、服务咨询、信息查询；</w:t>
            </w:r>
          </w:p>
        </w:tc>
      </w:tr>
      <w:tr w14:paraId="0E33DFB6">
        <w:tblPrEx>
          <w:tblCellMar>
            <w:top w:w="0" w:type="dxa"/>
            <w:left w:w="108" w:type="dxa"/>
            <w:bottom w:w="0" w:type="dxa"/>
            <w:right w:w="108" w:type="dxa"/>
          </w:tblCellMar>
        </w:tblPrEx>
        <w:trPr>
          <w:trHeight w:val="267"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365068DC">
            <w:pPr>
              <w:jc w:val="center"/>
              <w:rPr>
                <w:rFonts w:ascii="Arial" w:hAnsi="Arial" w:cs="Arial"/>
                <w:b/>
                <w:bCs/>
                <w:color w:val="auto"/>
                <w:szCs w:val="21"/>
                <w:highlight w:val="none"/>
              </w:rPr>
            </w:pPr>
          </w:p>
        </w:tc>
        <w:tc>
          <w:tcPr>
            <w:tcW w:w="823" w:type="dxa"/>
            <w:vMerge w:val="continue"/>
            <w:tcBorders>
              <w:top w:val="nil"/>
              <w:left w:val="single" w:color="auto" w:sz="4" w:space="0"/>
              <w:bottom w:val="single" w:color="auto" w:sz="4" w:space="0"/>
              <w:right w:val="single" w:color="auto" w:sz="4" w:space="0"/>
            </w:tcBorders>
            <w:shd w:val="clear" w:color="auto" w:fill="auto"/>
            <w:vAlign w:val="center"/>
          </w:tcPr>
          <w:p w14:paraId="45D38C33">
            <w:pPr>
              <w:jc w:val="center"/>
              <w:rPr>
                <w:rFonts w:ascii="Arial" w:hAnsi="Arial" w:cs="Arial"/>
                <w:color w:val="auto"/>
                <w:szCs w:val="21"/>
                <w:highlight w:val="none"/>
              </w:rPr>
            </w:pPr>
          </w:p>
        </w:tc>
        <w:tc>
          <w:tcPr>
            <w:tcW w:w="1301" w:type="dxa"/>
            <w:vMerge w:val="continue"/>
            <w:tcBorders>
              <w:top w:val="nil"/>
              <w:left w:val="single" w:color="auto" w:sz="4" w:space="0"/>
              <w:bottom w:val="single" w:color="auto" w:sz="4" w:space="0"/>
              <w:right w:val="single" w:color="auto" w:sz="4" w:space="0"/>
            </w:tcBorders>
            <w:shd w:val="clear" w:color="auto" w:fill="auto"/>
            <w:vAlign w:val="center"/>
          </w:tcPr>
          <w:p w14:paraId="5FB656EB">
            <w:pPr>
              <w:jc w:val="center"/>
              <w:rPr>
                <w:rFonts w:ascii="Arial" w:hAnsi="Arial" w:cs="Arial"/>
                <w:color w:val="auto"/>
                <w:szCs w:val="21"/>
                <w:highlight w:val="none"/>
              </w:rPr>
            </w:pPr>
          </w:p>
        </w:tc>
        <w:tc>
          <w:tcPr>
            <w:tcW w:w="7522" w:type="dxa"/>
            <w:tcBorders>
              <w:top w:val="nil"/>
              <w:left w:val="nil"/>
              <w:bottom w:val="single" w:color="auto" w:sz="4" w:space="0"/>
              <w:right w:val="single" w:color="auto" w:sz="4" w:space="0"/>
            </w:tcBorders>
            <w:shd w:val="clear" w:color="auto" w:fill="auto"/>
            <w:vAlign w:val="center"/>
          </w:tcPr>
          <w:p w14:paraId="71315FC4">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吸纳重点人群就业有关稳岗、培训、社保等补贴申领指引</w:t>
            </w:r>
          </w:p>
        </w:tc>
      </w:tr>
      <w:tr w14:paraId="1D2531CF">
        <w:tblPrEx>
          <w:tblCellMar>
            <w:top w:w="0" w:type="dxa"/>
            <w:left w:w="108" w:type="dxa"/>
            <w:bottom w:w="0" w:type="dxa"/>
            <w:right w:w="108" w:type="dxa"/>
          </w:tblCellMar>
        </w:tblPrEx>
        <w:trPr>
          <w:trHeight w:val="351"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771A062E">
            <w:pPr>
              <w:jc w:val="center"/>
              <w:rPr>
                <w:rFonts w:ascii="Arial" w:hAnsi="Arial" w:cs="Arial"/>
                <w:b/>
                <w:bCs/>
                <w:color w:val="auto"/>
                <w:szCs w:val="21"/>
                <w:highlight w:val="none"/>
              </w:rPr>
            </w:pPr>
          </w:p>
        </w:tc>
        <w:tc>
          <w:tcPr>
            <w:tcW w:w="823" w:type="dxa"/>
            <w:tcBorders>
              <w:top w:val="nil"/>
              <w:left w:val="nil"/>
              <w:bottom w:val="single" w:color="auto" w:sz="4" w:space="0"/>
              <w:right w:val="single" w:color="auto" w:sz="4" w:space="0"/>
            </w:tcBorders>
            <w:shd w:val="clear" w:color="auto" w:fill="auto"/>
            <w:vAlign w:val="center"/>
          </w:tcPr>
          <w:p w14:paraId="3C6C145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10</w:t>
            </w:r>
          </w:p>
        </w:tc>
        <w:tc>
          <w:tcPr>
            <w:tcW w:w="1301" w:type="dxa"/>
            <w:tcBorders>
              <w:top w:val="nil"/>
              <w:left w:val="nil"/>
              <w:bottom w:val="single" w:color="auto" w:sz="4" w:space="0"/>
              <w:right w:val="single" w:color="auto" w:sz="4" w:space="0"/>
            </w:tcBorders>
            <w:shd w:val="clear" w:color="auto" w:fill="auto"/>
            <w:vAlign w:val="center"/>
          </w:tcPr>
          <w:p w14:paraId="19550A6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市场服务</w:t>
            </w:r>
          </w:p>
        </w:tc>
        <w:tc>
          <w:tcPr>
            <w:tcW w:w="7522" w:type="dxa"/>
            <w:tcBorders>
              <w:top w:val="nil"/>
              <w:left w:val="nil"/>
              <w:bottom w:val="single" w:color="auto" w:sz="4" w:space="0"/>
              <w:right w:val="single" w:color="auto" w:sz="4" w:space="0"/>
            </w:tcBorders>
            <w:shd w:val="clear" w:color="auto" w:fill="auto"/>
            <w:vAlign w:val="center"/>
          </w:tcPr>
          <w:p w14:paraId="6E7BC443">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招聘会举办、直播带岗组织</w:t>
            </w:r>
          </w:p>
        </w:tc>
      </w:tr>
      <w:tr w14:paraId="72F758F6">
        <w:tblPrEx>
          <w:tblCellMar>
            <w:top w:w="0" w:type="dxa"/>
            <w:left w:w="108" w:type="dxa"/>
            <w:bottom w:w="0" w:type="dxa"/>
            <w:right w:w="108" w:type="dxa"/>
          </w:tblCellMar>
        </w:tblPrEx>
        <w:trPr>
          <w:trHeight w:val="191"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36F4823B">
            <w:pPr>
              <w:jc w:val="center"/>
              <w:rPr>
                <w:rFonts w:ascii="Arial" w:hAnsi="Arial" w:cs="Arial"/>
                <w:b/>
                <w:bCs/>
                <w:color w:val="auto"/>
                <w:szCs w:val="21"/>
                <w:highlight w:val="none"/>
              </w:rPr>
            </w:pPr>
          </w:p>
        </w:tc>
        <w:tc>
          <w:tcPr>
            <w:tcW w:w="823" w:type="dxa"/>
            <w:tcBorders>
              <w:top w:val="nil"/>
              <w:left w:val="nil"/>
              <w:bottom w:val="single" w:color="auto" w:sz="4" w:space="0"/>
              <w:right w:val="single" w:color="auto" w:sz="4" w:space="0"/>
            </w:tcBorders>
            <w:shd w:val="clear" w:color="auto" w:fill="auto"/>
            <w:vAlign w:val="center"/>
          </w:tcPr>
          <w:p w14:paraId="5D34D57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11</w:t>
            </w:r>
          </w:p>
        </w:tc>
        <w:tc>
          <w:tcPr>
            <w:tcW w:w="1301" w:type="dxa"/>
            <w:tcBorders>
              <w:top w:val="nil"/>
              <w:left w:val="nil"/>
              <w:bottom w:val="single" w:color="auto" w:sz="4" w:space="0"/>
              <w:right w:val="single" w:color="auto" w:sz="4" w:space="0"/>
            </w:tcBorders>
            <w:shd w:val="clear" w:color="auto" w:fill="auto"/>
            <w:vAlign w:val="center"/>
          </w:tcPr>
          <w:p w14:paraId="4EEE33B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招工服务</w:t>
            </w:r>
          </w:p>
        </w:tc>
        <w:tc>
          <w:tcPr>
            <w:tcW w:w="7522" w:type="dxa"/>
            <w:tcBorders>
              <w:top w:val="nil"/>
              <w:left w:val="nil"/>
              <w:bottom w:val="single" w:color="auto" w:sz="4" w:space="0"/>
              <w:right w:val="single" w:color="auto" w:sz="4" w:space="0"/>
            </w:tcBorders>
            <w:shd w:val="clear" w:color="auto" w:fill="auto"/>
            <w:vAlign w:val="center"/>
          </w:tcPr>
          <w:p w14:paraId="234396A7">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用工信息登记、用工信息发布、求职人员推荐、求职简历代收、面试洽谈辅助、招聘会等公共就业服务活动推荐</w:t>
            </w:r>
          </w:p>
        </w:tc>
      </w:tr>
      <w:tr w14:paraId="46929448">
        <w:tblPrEx>
          <w:tblCellMar>
            <w:top w:w="0" w:type="dxa"/>
            <w:left w:w="108" w:type="dxa"/>
            <w:bottom w:w="0" w:type="dxa"/>
            <w:right w:w="108" w:type="dxa"/>
          </w:tblCellMar>
        </w:tblPrEx>
        <w:trPr>
          <w:trHeight w:val="90"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161CBC79">
            <w:pPr>
              <w:jc w:val="center"/>
              <w:rPr>
                <w:rFonts w:ascii="Arial" w:hAnsi="Arial" w:cs="Arial"/>
                <w:b/>
                <w:bCs/>
                <w:color w:val="auto"/>
                <w:szCs w:val="21"/>
                <w:highlight w:val="none"/>
              </w:rPr>
            </w:pPr>
          </w:p>
        </w:tc>
        <w:tc>
          <w:tcPr>
            <w:tcW w:w="823" w:type="dxa"/>
            <w:tcBorders>
              <w:top w:val="nil"/>
              <w:left w:val="nil"/>
              <w:bottom w:val="single" w:color="auto" w:sz="4" w:space="0"/>
              <w:right w:val="single" w:color="auto" w:sz="4" w:space="0"/>
            </w:tcBorders>
            <w:shd w:val="clear" w:color="auto" w:fill="auto"/>
            <w:vAlign w:val="center"/>
          </w:tcPr>
          <w:p w14:paraId="67771F0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12</w:t>
            </w:r>
          </w:p>
        </w:tc>
        <w:tc>
          <w:tcPr>
            <w:tcW w:w="1301" w:type="dxa"/>
            <w:tcBorders>
              <w:top w:val="nil"/>
              <w:left w:val="nil"/>
              <w:bottom w:val="single" w:color="auto" w:sz="4" w:space="0"/>
              <w:right w:val="single" w:color="auto" w:sz="4" w:space="0"/>
            </w:tcBorders>
            <w:shd w:val="clear" w:color="auto" w:fill="auto"/>
            <w:vAlign w:val="center"/>
          </w:tcPr>
          <w:p w14:paraId="5FEE7522">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零工服务</w:t>
            </w:r>
          </w:p>
        </w:tc>
        <w:tc>
          <w:tcPr>
            <w:tcW w:w="7522" w:type="dxa"/>
            <w:tcBorders>
              <w:top w:val="nil"/>
              <w:left w:val="nil"/>
              <w:bottom w:val="single" w:color="auto" w:sz="4" w:space="0"/>
              <w:right w:val="single" w:color="auto" w:sz="4" w:space="0"/>
            </w:tcBorders>
            <w:shd w:val="clear" w:color="auto" w:fill="auto"/>
            <w:vAlign w:val="center"/>
          </w:tcPr>
          <w:p w14:paraId="5A108386">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“招零工”登记、零工信息发布、零工人员推荐</w:t>
            </w:r>
          </w:p>
        </w:tc>
      </w:tr>
      <w:tr w14:paraId="0B5180C0">
        <w:tblPrEx>
          <w:tblCellMar>
            <w:top w:w="0" w:type="dxa"/>
            <w:left w:w="108" w:type="dxa"/>
            <w:bottom w:w="0" w:type="dxa"/>
            <w:right w:w="108" w:type="dxa"/>
          </w:tblCellMar>
        </w:tblPrEx>
        <w:trPr>
          <w:trHeight w:val="90"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004F5784">
            <w:pPr>
              <w:jc w:val="center"/>
              <w:rPr>
                <w:rFonts w:ascii="Arial" w:hAnsi="Arial" w:cs="Arial"/>
                <w:b/>
                <w:bCs/>
                <w:color w:val="auto"/>
                <w:szCs w:val="21"/>
                <w:highlight w:val="none"/>
              </w:rPr>
            </w:pPr>
          </w:p>
        </w:tc>
        <w:tc>
          <w:tcPr>
            <w:tcW w:w="823" w:type="dxa"/>
            <w:tcBorders>
              <w:top w:val="nil"/>
              <w:left w:val="nil"/>
              <w:bottom w:val="single" w:color="auto" w:sz="4" w:space="0"/>
              <w:right w:val="single" w:color="auto" w:sz="4" w:space="0"/>
            </w:tcBorders>
            <w:shd w:val="clear" w:color="auto" w:fill="auto"/>
            <w:vAlign w:val="center"/>
          </w:tcPr>
          <w:p w14:paraId="7EDD0FC2">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13</w:t>
            </w:r>
          </w:p>
        </w:tc>
        <w:tc>
          <w:tcPr>
            <w:tcW w:w="1301" w:type="dxa"/>
            <w:tcBorders>
              <w:top w:val="nil"/>
              <w:left w:val="nil"/>
              <w:bottom w:val="single" w:color="auto" w:sz="4" w:space="0"/>
              <w:right w:val="single" w:color="auto" w:sz="4" w:space="0"/>
            </w:tcBorders>
            <w:shd w:val="clear" w:color="auto" w:fill="auto"/>
            <w:vAlign w:val="center"/>
          </w:tcPr>
          <w:p w14:paraId="01B2772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创业服务</w:t>
            </w:r>
          </w:p>
        </w:tc>
        <w:tc>
          <w:tcPr>
            <w:tcW w:w="7522" w:type="dxa"/>
            <w:tcBorders>
              <w:top w:val="nil"/>
              <w:left w:val="nil"/>
              <w:bottom w:val="single" w:color="auto" w:sz="4" w:space="0"/>
              <w:right w:val="single" w:color="auto" w:sz="4" w:space="0"/>
            </w:tcBorders>
            <w:shd w:val="clear" w:color="auto" w:fill="auto"/>
            <w:vAlign w:val="center"/>
          </w:tcPr>
          <w:p w14:paraId="36919D6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创业担保贷款办理指引、创业扶持补贴申领指引</w:t>
            </w:r>
          </w:p>
        </w:tc>
      </w:tr>
      <w:tr w14:paraId="257BEFC4">
        <w:tblPrEx>
          <w:tblCellMar>
            <w:top w:w="0" w:type="dxa"/>
            <w:left w:w="108" w:type="dxa"/>
            <w:bottom w:w="0" w:type="dxa"/>
            <w:right w:w="108" w:type="dxa"/>
          </w:tblCellMar>
        </w:tblPrEx>
        <w:trPr>
          <w:trHeight w:val="90"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50C4EC90">
            <w:pPr>
              <w:jc w:val="center"/>
              <w:rPr>
                <w:rFonts w:ascii="Arial" w:hAnsi="Arial" w:cs="Arial"/>
                <w:b/>
                <w:bCs/>
                <w:color w:val="auto"/>
                <w:szCs w:val="21"/>
                <w:highlight w:val="none"/>
              </w:rPr>
            </w:pPr>
          </w:p>
        </w:tc>
        <w:tc>
          <w:tcPr>
            <w:tcW w:w="823" w:type="dxa"/>
            <w:tcBorders>
              <w:top w:val="nil"/>
              <w:left w:val="nil"/>
              <w:bottom w:val="single" w:color="auto" w:sz="4" w:space="0"/>
              <w:right w:val="single" w:color="auto" w:sz="4" w:space="0"/>
            </w:tcBorders>
            <w:shd w:val="clear" w:color="auto" w:fill="auto"/>
            <w:vAlign w:val="center"/>
          </w:tcPr>
          <w:p w14:paraId="2DB42D9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14</w:t>
            </w:r>
          </w:p>
        </w:tc>
        <w:tc>
          <w:tcPr>
            <w:tcW w:w="1301" w:type="dxa"/>
            <w:tcBorders>
              <w:top w:val="nil"/>
              <w:left w:val="nil"/>
              <w:bottom w:val="single" w:color="auto" w:sz="4" w:space="0"/>
              <w:right w:val="single" w:color="auto" w:sz="4" w:space="0"/>
            </w:tcBorders>
            <w:shd w:val="clear" w:color="auto" w:fill="auto"/>
            <w:vAlign w:val="center"/>
          </w:tcPr>
          <w:p w14:paraId="744625E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技能培训</w:t>
            </w:r>
          </w:p>
        </w:tc>
        <w:tc>
          <w:tcPr>
            <w:tcW w:w="7522" w:type="dxa"/>
            <w:tcBorders>
              <w:top w:val="nil"/>
              <w:left w:val="nil"/>
              <w:bottom w:val="single" w:color="auto" w:sz="4" w:space="0"/>
              <w:right w:val="single" w:color="auto" w:sz="4" w:space="0"/>
            </w:tcBorders>
            <w:shd w:val="clear" w:color="auto" w:fill="auto"/>
            <w:vAlign w:val="center"/>
          </w:tcPr>
          <w:p w14:paraId="42287777">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培训需求登记、培训机构信息查询、培训项目推荐、培训开班计划查询、组织参加补贴性技能培训、培训补贴申领指引</w:t>
            </w:r>
          </w:p>
        </w:tc>
      </w:tr>
      <w:tr w14:paraId="3990BC8F">
        <w:tblPrEx>
          <w:tblCellMar>
            <w:top w:w="0" w:type="dxa"/>
            <w:left w:w="108" w:type="dxa"/>
            <w:bottom w:w="0" w:type="dxa"/>
            <w:right w:w="108" w:type="dxa"/>
          </w:tblCellMar>
        </w:tblPrEx>
        <w:trPr>
          <w:trHeight w:val="90" w:hRule="atLeast"/>
        </w:trPr>
        <w:tc>
          <w:tcPr>
            <w:tcW w:w="0" w:type="auto"/>
            <w:vMerge w:val="restart"/>
            <w:tcBorders>
              <w:top w:val="nil"/>
              <w:left w:val="single" w:color="auto" w:sz="4" w:space="0"/>
              <w:bottom w:val="single" w:color="000000" w:sz="4" w:space="0"/>
              <w:right w:val="single" w:color="auto" w:sz="4" w:space="0"/>
            </w:tcBorders>
            <w:shd w:val="clear" w:color="auto" w:fill="auto"/>
            <w:vAlign w:val="center"/>
          </w:tcPr>
          <w:p w14:paraId="1EA9FC62">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管理者    （不对外公开）</w:t>
            </w:r>
          </w:p>
        </w:tc>
        <w:tc>
          <w:tcPr>
            <w:tcW w:w="823" w:type="dxa"/>
            <w:tcBorders>
              <w:top w:val="nil"/>
              <w:left w:val="nil"/>
              <w:bottom w:val="single" w:color="auto" w:sz="4" w:space="0"/>
              <w:right w:val="single" w:color="auto" w:sz="4" w:space="0"/>
            </w:tcBorders>
            <w:shd w:val="clear" w:color="auto" w:fill="auto"/>
            <w:vAlign w:val="center"/>
          </w:tcPr>
          <w:p w14:paraId="7A440EB2">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15</w:t>
            </w:r>
          </w:p>
        </w:tc>
        <w:tc>
          <w:tcPr>
            <w:tcW w:w="1301" w:type="dxa"/>
            <w:tcBorders>
              <w:top w:val="nil"/>
              <w:left w:val="nil"/>
              <w:bottom w:val="single" w:color="auto" w:sz="4" w:space="0"/>
              <w:right w:val="single" w:color="auto" w:sz="4" w:space="0"/>
            </w:tcBorders>
            <w:shd w:val="clear" w:color="auto" w:fill="auto"/>
            <w:vAlign w:val="center"/>
          </w:tcPr>
          <w:p w14:paraId="1FF4AD5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用工登记</w:t>
            </w:r>
          </w:p>
        </w:tc>
        <w:tc>
          <w:tcPr>
            <w:tcW w:w="7522" w:type="dxa"/>
            <w:tcBorders>
              <w:top w:val="nil"/>
              <w:left w:val="nil"/>
              <w:bottom w:val="single" w:color="auto" w:sz="4" w:space="0"/>
              <w:right w:val="single" w:color="auto" w:sz="4" w:space="0"/>
            </w:tcBorders>
            <w:shd w:val="clear" w:color="auto" w:fill="auto"/>
            <w:vAlign w:val="center"/>
          </w:tcPr>
          <w:p w14:paraId="08AB9571">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对辖区用人单位、用工需求进行登记</w:t>
            </w:r>
          </w:p>
        </w:tc>
      </w:tr>
      <w:tr w14:paraId="594B9AE6">
        <w:tblPrEx>
          <w:tblCellMar>
            <w:top w:w="0" w:type="dxa"/>
            <w:left w:w="108" w:type="dxa"/>
            <w:bottom w:w="0" w:type="dxa"/>
            <w:right w:w="108" w:type="dxa"/>
          </w:tblCellMar>
        </w:tblPrEx>
        <w:trPr>
          <w:trHeight w:val="105"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009E8FBF">
            <w:pPr>
              <w:jc w:val="center"/>
              <w:rPr>
                <w:rFonts w:ascii="Arial" w:hAnsi="Arial" w:cs="Arial"/>
                <w:b/>
                <w:bCs/>
                <w:color w:val="auto"/>
                <w:szCs w:val="21"/>
                <w:highlight w:val="none"/>
              </w:rPr>
            </w:pPr>
          </w:p>
        </w:tc>
        <w:tc>
          <w:tcPr>
            <w:tcW w:w="823" w:type="dxa"/>
            <w:vMerge w:val="restart"/>
            <w:tcBorders>
              <w:top w:val="nil"/>
              <w:left w:val="single" w:color="auto" w:sz="4" w:space="0"/>
              <w:bottom w:val="single" w:color="auto" w:sz="4" w:space="0"/>
              <w:right w:val="single" w:color="auto" w:sz="4" w:space="0"/>
            </w:tcBorders>
            <w:shd w:val="clear" w:color="auto" w:fill="auto"/>
            <w:vAlign w:val="center"/>
          </w:tcPr>
          <w:p w14:paraId="5DFD450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16</w:t>
            </w:r>
          </w:p>
        </w:tc>
        <w:tc>
          <w:tcPr>
            <w:tcW w:w="1301" w:type="dxa"/>
            <w:vMerge w:val="restart"/>
            <w:tcBorders>
              <w:top w:val="nil"/>
              <w:left w:val="single" w:color="auto" w:sz="4" w:space="0"/>
              <w:bottom w:val="single" w:color="auto" w:sz="4" w:space="0"/>
              <w:right w:val="single" w:color="auto" w:sz="4" w:space="0"/>
            </w:tcBorders>
            <w:shd w:val="clear" w:color="auto" w:fill="auto"/>
            <w:vAlign w:val="center"/>
          </w:tcPr>
          <w:p w14:paraId="584E626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用工服务</w:t>
            </w:r>
          </w:p>
        </w:tc>
        <w:tc>
          <w:tcPr>
            <w:tcW w:w="7522" w:type="dxa"/>
            <w:tcBorders>
              <w:top w:val="nil"/>
              <w:left w:val="nil"/>
              <w:bottom w:val="single" w:color="auto" w:sz="4" w:space="0"/>
              <w:right w:val="single" w:color="auto" w:sz="4" w:space="0"/>
            </w:tcBorders>
            <w:shd w:val="clear" w:color="auto" w:fill="auto"/>
            <w:vAlign w:val="center"/>
          </w:tcPr>
          <w:p w14:paraId="52210F0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对本县承接的市级重点企业送工任务提供送工服务；</w:t>
            </w:r>
          </w:p>
        </w:tc>
      </w:tr>
      <w:tr w14:paraId="4D842445">
        <w:tblPrEx>
          <w:tblCellMar>
            <w:top w:w="0" w:type="dxa"/>
            <w:left w:w="108" w:type="dxa"/>
            <w:bottom w:w="0" w:type="dxa"/>
            <w:right w:w="108" w:type="dxa"/>
          </w:tblCellMar>
        </w:tblPrEx>
        <w:trPr>
          <w:trHeight w:val="375"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44824B56">
            <w:pPr>
              <w:jc w:val="center"/>
              <w:rPr>
                <w:rFonts w:ascii="Arial" w:hAnsi="Arial" w:cs="Arial"/>
                <w:b/>
                <w:bCs/>
                <w:color w:val="auto"/>
                <w:szCs w:val="21"/>
                <w:highlight w:val="none"/>
              </w:rPr>
            </w:pPr>
          </w:p>
        </w:tc>
        <w:tc>
          <w:tcPr>
            <w:tcW w:w="823" w:type="dxa"/>
            <w:vMerge w:val="continue"/>
            <w:tcBorders>
              <w:top w:val="nil"/>
              <w:left w:val="single" w:color="auto" w:sz="4" w:space="0"/>
              <w:bottom w:val="single" w:color="auto" w:sz="4" w:space="0"/>
              <w:right w:val="single" w:color="auto" w:sz="4" w:space="0"/>
            </w:tcBorders>
            <w:shd w:val="clear" w:color="auto" w:fill="auto"/>
            <w:vAlign w:val="center"/>
          </w:tcPr>
          <w:p w14:paraId="5590FDA7">
            <w:pPr>
              <w:jc w:val="center"/>
              <w:rPr>
                <w:rFonts w:ascii="Arial" w:hAnsi="Arial" w:cs="Arial"/>
                <w:color w:val="auto"/>
                <w:szCs w:val="21"/>
                <w:highlight w:val="none"/>
              </w:rPr>
            </w:pPr>
          </w:p>
        </w:tc>
        <w:tc>
          <w:tcPr>
            <w:tcW w:w="1301" w:type="dxa"/>
            <w:vMerge w:val="continue"/>
            <w:tcBorders>
              <w:top w:val="nil"/>
              <w:left w:val="single" w:color="auto" w:sz="4" w:space="0"/>
              <w:bottom w:val="single" w:color="auto" w:sz="4" w:space="0"/>
              <w:right w:val="single" w:color="auto" w:sz="4" w:space="0"/>
            </w:tcBorders>
            <w:shd w:val="clear" w:color="auto" w:fill="auto"/>
            <w:vAlign w:val="center"/>
          </w:tcPr>
          <w:p w14:paraId="365FE096">
            <w:pPr>
              <w:jc w:val="center"/>
              <w:rPr>
                <w:rFonts w:ascii="Arial" w:hAnsi="Arial" w:cs="Arial"/>
                <w:color w:val="auto"/>
                <w:szCs w:val="21"/>
                <w:highlight w:val="none"/>
              </w:rPr>
            </w:pPr>
          </w:p>
        </w:tc>
        <w:tc>
          <w:tcPr>
            <w:tcW w:w="7522" w:type="dxa"/>
            <w:tcBorders>
              <w:top w:val="nil"/>
              <w:left w:val="nil"/>
              <w:bottom w:val="single" w:color="auto" w:sz="4" w:space="0"/>
              <w:right w:val="single" w:color="auto" w:sz="4" w:space="0"/>
            </w:tcBorders>
            <w:shd w:val="clear" w:color="auto" w:fill="auto"/>
            <w:vAlign w:val="center"/>
          </w:tcPr>
          <w:p w14:paraId="1737AA12">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对本县重点企业送工任务提供送工服务</w:t>
            </w:r>
          </w:p>
        </w:tc>
      </w:tr>
      <w:tr w14:paraId="40D6DF63">
        <w:tblPrEx>
          <w:tblCellMar>
            <w:top w:w="0" w:type="dxa"/>
            <w:left w:w="108" w:type="dxa"/>
            <w:bottom w:w="0" w:type="dxa"/>
            <w:right w:w="108" w:type="dxa"/>
          </w:tblCellMar>
        </w:tblPrEx>
        <w:trPr>
          <w:trHeight w:val="252"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61703997">
            <w:pPr>
              <w:jc w:val="center"/>
              <w:rPr>
                <w:rFonts w:ascii="Arial" w:hAnsi="Arial" w:cs="Arial"/>
                <w:b/>
                <w:bCs/>
                <w:color w:val="auto"/>
                <w:szCs w:val="21"/>
                <w:highlight w:val="none"/>
              </w:rPr>
            </w:pPr>
          </w:p>
        </w:tc>
        <w:tc>
          <w:tcPr>
            <w:tcW w:w="823" w:type="dxa"/>
            <w:tcBorders>
              <w:top w:val="nil"/>
              <w:left w:val="nil"/>
              <w:bottom w:val="single" w:color="auto" w:sz="4" w:space="0"/>
              <w:right w:val="single" w:color="auto" w:sz="4" w:space="0"/>
            </w:tcBorders>
            <w:shd w:val="clear" w:color="auto" w:fill="auto"/>
            <w:vAlign w:val="center"/>
          </w:tcPr>
          <w:p w14:paraId="295E3D7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17</w:t>
            </w:r>
          </w:p>
        </w:tc>
        <w:tc>
          <w:tcPr>
            <w:tcW w:w="1301" w:type="dxa"/>
            <w:tcBorders>
              <w:top w:val="nil"/>
              <w:left w:val="nil"/>
              <w:bottom w:val="single" w:color="auto" w:sz="4" w:space="0"/>
              <w:right w:val="single" w:color="auto" w:sz="4" w:space="0"/>
            </w:tcBorders>
            <w:shd w:val="clear" w:color="auto" w:fill="auto"/>
            <w:vAlign w:val="center"/>
          </w:tcPr>
          <w:p w14:paraId="1F69798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培训跟踪</w:t>
            </w:r>
          </w:p>
        </w:tc>
        <w:tc>
          <w:tcPr>
            <w:tcW w:w="7522" w:type="dxa"/>
            <w:tcBorders>
              <w:top w:val="nil"/>
              <w:left w:val="nil"/>
              <w:bottom w:val="single" w:color="auto" w:sz="4" w:space="0"/>
              <w:right w:val="single" w:color="auto" w:sz="4" w:space="0"/>
            </w:tcBorders>
            <w:shd w:val="clear" w:color="auto" w:fill="auto"/>
            <w:vAlign w:val="center"/>
          </w:tcPr>
          <w:p w14:paraId="2C688584">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对前来登记培训需求及推荐培训项目的服务对象进行培训、就业情况跟踪登记</w:t>
            </w:r>
          </w:p>
        </w:tc>
      </w:tr>
      <w:tr w14:paraId="102EFE0B">
        <w:tblPrEx>
          <w:tblCellMar>
            <w:top w:w="0" w:type="dxa"/>
            <w:left w:w="108" w:type="dxa"/>
            <w:bottom w:w="0" w:type="dxa"/>
            <w:right w:w="108" w:type="dxa"/>
          </w:tblCellMar>
        </w:tblPrEx>
        <w:trPr>
          <w:trHeight w:val="243"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0E44A8EB">
            <w:pPr>
              <w:jc w:val="center"/>
              <w:rPr>
                <w:rFonts w:ascii="Arial" w:hAnsi="Arial" w:cs="Arial"/>
                <w:b/>
                <w:bCs/>
                <w:color w:val="auto"/>
                <w:szCs w:val="21"/>
                <w:highlight w:val="none"/>
              </w:rPr>
            </w:pPr>
          </w:p>
        </w:tc>
        <w:tc>
          <w:tcPr>
            <w:tcW w:w="823" w:type="dxa"/>
            <w:tcBorders>
              <w:top w:val="nil"/>
              <w:left w:val="nil"/>
              <w:bottom w:val="single" w:color="auto" w:sz="4" w:space="0"/>
              <w:right w:val="single" w:color="auto" w:sz="4" w:space="0"/>
            </w:tcBorders>
            <w:shd w:val="clear" w:color="auto" w:fill="auto"/>
            <w:vAlign w:val="center"/>
          </w:tcPr>
          <w:p w14:paraId="7B10EB9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18</w:t>
            </w:r>
          </w:p>
        </w:tc>
        <w:tc>
          <w:tcPr>
            <w:tcW w:w="1301" w:type="dxa"/>
            <w:tcBorders>
              <w:top w:val="nil"/>
              <w:left w:val="nil"/>
              <w:bottom w:val="single" w:color="auto" w:sz="4" w:space="0"/>
              <w:right w:val="single" w:color="auto" w:sz="4" w:space="0"/>
            </w:tcBorders>
            <w:shd w:val="clear" w:color="auto" w:fill="auto"/>
            <w:vAlign w:val="center"/>
          </w:tcPr>
          <w:p w14:paraId="532A6D0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活动组织</w:t>
            </w:r>
          </w:p>
        </w:tc>
        <w:tc>
          <w:tcPr>
            <w:tcW w:w="7522" w:type="dxa"/>
            <w:tcBorders>
              <w:top w:val="nil"/>
              <w:left w:val="nil"/>
              <w:bottom w:val="single" w:color="auto" w:sz="4" w:space="0"/>
              <w:right w:val="single" w:color="auto" w:sz="4" w:space="0"/>
            </w:tcBorders>
            <w:shd w:val="clear" w:color="auto" w:fill="auto"/>
            <w:vAlign w:val="center"/>
          </w:tcPr>
          <w:p w14:paraId="1DA64EF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定期组织招聘会、职业指导讲座、直播带岗、公益性技能培训、补贴性技能培训、政策宣讲等活动</w:t>
            </w:r>
          </w:p>
        </w:tc>
      </w:tr>
      <w:tr w14:paraId="717CF863">
        <w:tblPrEx>
          <w:tblCellMar>
            <w:top w:w="0" w:type="dxa"/>
            <w:left w:w="108" w:type="dxa"/>
            <w:bottom w:w="0" w:type="dxa"/>
            <w:right w:w="108" w:type="dxa"/>
          </w:tblCellMar>
        </w:tblPrEx>
        <w:trPr>
          <w:trHeight w:val="135"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75D4AFF4">
            <w:pPr>
              <w:jc w:val="center"/>
              <w:rPr>
                <w:rFonts w:ascii="Arial" w:hAnsi="Arial" w:cs="Arial"/>
                <w:b/>
                <w:bCs/>
                <w:color w:val="auto"/>
                <w:szCs w:val="21"/>
                <w:highlight w:val="none"/>
              </w:rPr>
            </w:pPr>
          </w:p>
        </w:tc>
        <w:tc>
          <w:tcPr>
            <w:tcW w:w="823" w:type="dxa"/>
            <w:tcBorders>
              <w:top w:val="nil"/>
              <w:left w:val="nil"/>
              <w:bottom w:val="single" w:color="auto" w:sz="4" w:space="0"/>
              <w:right w:val="single" w:color="auto" w:sz="4" w:space="0"/>
            </w:tcBorders>
            <w:shd w:val="clear" w:color="auto" w:fill="auto"/>
            <w:vAlign w:val="center"/>
          </w:tcPr>
          <w:p w14:paraId="7B6F1A2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19</w:t>
            </w:r>
          </w:p>
        </w:tc>
        <w:tc>
          <w:tcPr>
            <w:tcW w:w="1301" w:type="dxa"/>
            <w:tcBorders>
              <w:top w:val="nil"/>
              <w:left w:val="nil"/>
              <w:bottom w:val="single" w:color="auto" w:sz="4" w:space="0"/>
              <w:right w:val="single" w:color="auto" w:sz="4" w:space="0"/>
            </w:tcBorders>
            <w:shd w:val="clear" w:color="auto" w:fill="auto"/>
            <w:vAlign w:val="center"/>
          </w:tcPr>
          <w:p w14:paraId="704C17F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社会宣传</w:t>
            </w:r>
          </w:p>
        </w:tc>
        <w:tc>
          <w:tcPr>
            <w:tcW w:w="7522" w:type="dxa"/>
            <w:tcBorders>
              <w:top w:val="nil"/>
              <w:left w:val="nil"/>
              <w:bottom w:val="single" w:color="auto" w:sz="4" w:space="0"/>
              <w:right w:val="single" w:color="auto" w:sz="4" w:space="0"/>
            </w:tcBorders>
            <w:shd w:val="clear" w:color="auto" w:fill="auto"/>
            <w:vAlign w:val="center"/>
          </w:tcPr>
          <w:p w14:paraId="32408D64">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资料配备、宣传推广</w:t>
            </w:r>
          </w:p>
        </w:tc>
      </w:tr>
      <w:tr w14:paraId="0CAF8068">
        <w:tblPrEx>
          <w:tblCellMar>
            <w:top w:w="0" w:type="dxa"/>
            <w:left w:w="108" w:type="dxa"/>
            <w:bottom w:w="0" w:type="dxa"/>
            <w:right w:w="108" w:type="dxa"/>
          </w:tblCellMar>
        </w:tblPrEx>
        <w:trPr>
          <w:trHeight w:val="125"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6251DD9B">
            <w:pPr>
              <w:jc w:val="center"/>
              <w:rPr>
                <w:rFonts w:ascii="Arial" w:hAnsi="Arial" w:cs="Arial"/>
                <w:b/>
                <w:bCs/>
                <w:color w:val="auto"/>
                <w:szCs w:val="21"/>
                <w:highlight w:val="none"/>
              </w:rPr>
            </w:pPr>
          </w:p>
        </w:tc>
        <w:tc>
          <w:tcPr>
            <w:tcW w:w="823" w:type="dxa"/>
            <w:tcBorders>
              <w:top w:val="nil"/>
              <w:left w:val="nil"/>
              <w:bottom w:val="single" w:color="auto" w:sz="4" w:space="0"/>
              <w:right w:val="single" w:color="auto" w:sz="4" w:space="0"/>
            </w:tcBorders>
            <w:shd w:val="clear" w:color="auto" w:fill="auto"/>
            <w:vAlign w:val="center"/>
          </w:tcPr>
          <w:p w14:paraId="79AF760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20</w:t>
            </w:r>
          </w:p>
        </w:tc>
        <w:tc>
          <w:tcPr>
            <w:tcW w:w="1301" w:type="dxa"/>
            <w:tcBorders>
              <w:top w:val="nil"/>
              <w:left w:val="nil"/>
              <w:bottom w:val="single" w:color="auto" w:sz="4" w:space="0"/>
              <w:right w:val="single" w:color="auto" w:sz="4" w:space="0"/>
            </w:tcBorders>
            <w:shd w:val="clear" w:color="auto" w:fill="auto"/>
            <w:vAlign w:val="center"/>
          </w:tcPr>
          <w:p w14:paraId="5B4FA18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规范配备</w:t>
            </w:r>
          </w:p>
        </w:tc>
        <w:tc>
          <w:tcPr>
            <w:tcW w:w="7522" w:type="dxa"/>
            <w:tcBorders>
              <w:top w:val="nil"/>
              <w:left w:val="nil"/>
              <w:bottom w:val="single" w:color="auto" w:sz="4" w:space="0"/>
              <w:right w:val="single" w:color="auto" w:sz="4" w:space="0"/>
            </w:tcBorders>
            <w:shd w:val="clear" w:color="auto" w:fill="auto"/>
            <w:vAlign w:val="center"/>
          </w:tcPr>
          <w:p w14:paraId="18F5119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按照《规范配备标准》做好服务场所、服务设施、服务团队、服务标识、服务台账、服务系统等服务配备</w:t>
            </w:r>
          </w:p>
        </w:tc>
      </w:tr>
      <w:tr w14:paraId="76C5EE82">
        <w:tblPrEx>
          <w:tblCellMar>
            <w:top w:w="0" w:type="dxa"/>
            <w:left w:w="108" w:type="dxa"/>
            <w:bottom w:w="0" w:type="dxa"/>
            <w:right w:w="108" w:type="dxa"/>
          </w:tblCellMar>
        </w:tblPrEx>
        <w:trPr>
          <w:trHeight w:val="90"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43DDC702">
            <w:pPr>
              <w:jc w:val="center"/>
              <w:rPr>
                <w:rFonts w:ascii="Arial" w:hAnsi="Arial" w:cs="Arial"/>
                <w:b/>
                <w:bCs/>
                <w:color w:val="auto"/>
                <w:szCs w:val="21"/>
                <w:highlight w:val="none"/>
              </w:rPr>
            </w:pPr>
          </w:p>
        </w:tc>
        <w:tc>
          <w:tcPr>
            <w:tcW w:w="823" w:type="dxa"/>
            <w:tcBorders>
              <w:top w:val="nil"/>
              <w:left w:val="nil"/>
              <w:bottom w:val="single" w:color="auto" w:sz="4" w:space="0"/>
              <w:right w:val="single" w:color="auto" w:sz="4" w:space="0"/>
            </w:tcBorders>
            <w:shd w:val="clear" w:color="auto" w:fill="auto"/>
            <w:vAlign w:val="center"/>
          </w:tcPr>
          <w:p w14:paraId="2E287E8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21</w:t>
            </w:r>
          </w:p>
        </w:tc>
        <w:tc>
          <w:tcPr>
            <w:tcW w:w="1301" w:type="dxa"/>
            <w:tcBorders>
              <w:top w:val="nil"/>
              <w:left w:val="nil"/>
              <w:bottom w:val="single" w:color="auto" w:sz="4" w:space="0"/>
              <w:right w:val="single" w:color="auto" w:sz="4" w:space="0"/>
            </w:tcBorders>
            <w:shd w:val="clear" w:color="auto" w:fill="auto"/>
            <w:vAlign w:val="center"/>
          </w:tcPr>
          <w:p w14:paraId="628AE2F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品牌建设</w:t>
            </w:r>
          </w:p>
        </w:tc>
        <w:tc>
          <w:tcPr>
            <w:tcW w:w="7522" w:type="dxa"/>
            <w:tcBorders>
              <w:top w:val="nil"/>
              <w:left w:val="nil"/>
              <w:bottom w:val="single" w:color="auto" w:sz="4" w:space="0"/>
              <w:right w:val="single" w:color="auto" w:sz="4" w:space="0"/>
            </w:tcBorders>
            <w:shd w:val="clear" w:color="auto" w:fill="auto"/>
            <w:vAlign w:val="center"/>
          </w:tcPr>
          <w:p w14:paraId="053253C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经验推广、正面报道、肯定表扬、现场观摩</w:t>
            </w:r>
          </w:p>
        </w:tc>
      </w:tr>
      <w:tr w14:paraId="167CD3A5">
        <w:tblPrEx>
          <w:tblCellMar>
            <w:top w:w="0" w:type="dxa"/>
            <w:left w:w="108" w:type="dxa"/>
            <w:bottom w:w="0" w:type="dxa"/>
            <w:right w:w="108" w:type="dxa"/>
          </w:tblCellMar>
        </w:tblPrEx>
        <w:trPr>
          <w:trHeight w:val="90" w:hRule="atLeast"/>
        </w:trPr>
        <w:tc>
          <w:tcPr>
            <w:tcW w:w="0" w:type="auto"/>
            <w:vMerge w:val="continue"/>
            <w:tcBorders>
              <w:top w:val="nil"/>
              <w:left w:val="single" w:color="auto" w:sz="4" w:space="0"/>
              <w:bottom w:val="single" w:color="000000" w:sz="4" w:space="0"/>
              <w:right w:val="single" w:color="auto" w:sz="4" w:space="0"/>
            </w:tcBorders>
            <w:shd w:val="clear" w:color="auto" w:fill="auto"/>
            <w:vAlign w:val="center"/>
          </w:tcPr>
          <w:p w14:paraId="225BE7EA">
            <w:pPr>
              <w:jc w:val="center"/>
              <w:rPr>
                <w:rFonts w:ascii="Arial" w:hAnsi="Arial" w:cs="Arial"/>
                <w:b/>
                <w:bCs/>
                <w:color w:val="auto"/>
                <w:szCs w:val="21"/>
                <w:highlight w:val="none"/>
              </w:rPr>
            </w:pPr>
          </w:p>
        </w:tc>
        <w:tc>
          <w:tcPr>
            <w:tcW w:w="823" w:type="dxa"/>
            <w:tcBorders>
              <w:top w:val="nil"/>
              <w:left w:val="nil"/>
              <w:bottom w:val="single" w:color="auto" w:sz="4" w:space="0"/>
              <w:right w:val="single" w:color="auto" w:sz="4" w:space="0"/>
            </w:tcBorders>
            <w:shd w:val="clear" w:color="auto" w:fill="auto"/>
            <w:vAlign w:val="center"/>
          </w:tcPr>
          <w:p w14:paraId="3ADCCB0F">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22</w:t>
            </w:r>
          </w:p>
        </w:tc>
        <w:tc>
          <w:tcPr>
            <w:tcW w:w="1301" w:type="dxa"/>
            <w:tcBorders>
              <w:top w:val="nil"/>
              <w:left w:val="nil"/>
              <w:bottom w:val="single" w:color="auto" w:sz="4" w:space="0"/>
              <w:right w:val="single" w:color="auto" w:sz="4" w:space="0"/>
            </w:tcBorders>
            <w:shd w:val="clear" w:color="auto" w:fill="auto"/>
            <w:vAlign w:val="center"/>
          </w:tcPr>
          <w:p w14:paraId="4366CA2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风险管控</w:t>
            </w:r>
          </w:p>
        </w:tc>
        <w:tc>
          <w:tcPr>
            <w:tcW w:w="7522" w:type="dxa"/>
            <w:tcBorders>
              <w:top w:val="nil"/>
              <w:left w:val="nil"/>
              <w:bottom w:val="single" w:color="auto" w:sz="4" w:space="0"/>
              <w:right w:val="single" w:color="auto" w:sz="4" w:space="0"/>
            </w:tcBorders>
            <w:shd w:val="clear" w:color="auto" w:fill="auto"/>
            <w:vAlign w:val="center"/>
          </w:tcPr>
          <w:p w14:paraId="596518F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安全生产、违法乱纪、数据安全、负面舆情、违规收费</w:t>
            </w:r>
          </w:p>
        </w:tc>
      </w:tr>
    </w:tbl>
    <w:p w14:paraId="4DD00EB9">
      <w:pPr>
        <w:spacing w:line="560" w:lineRule="exact"/>
        <w:rPr>
          <w:rFonts w:ascii="Arial" w:hAnsi="Arial" w:cs="Arial"/>
          <w:color w:val="auto"/>
          <w:sz w:val="32"/>
          <w:szCs w:val="32"/>
          <w:highlight w:val="none"/>
        </w:rPr>
      </w:pPr>
      <w:r>
        <w:rPr>
          <w:rFonts w:ascii="Arial" w:hAnsi="Arial" w:cs="Arial"/>
          <w:color w:val="auto"/>
          <w:szCs w:val="21"/>
          <w:highlight w:val="none"/>
          <w:lang w:bidi="ar"/>
        </w:rPr>
        <w:br w:type="page"/>
      </w:r>
      <w:r>
        <w:rPr>
          <w:rFonts w:ascii="Arial" w:hAnsi="Arial" w:cs="Arial"/>
          <w:color w:val="auto"/>
          <w:sz w:val="32"/>
          <w:szCs w:val="32"/>
          <w:highlight w:val="none"/>
          <w:lang w:bidi="ar"/>
        </w:rPr>
        <w:t>附件6</w:t>
      </w:r>
    </w:p>
    <w:tbl>
      <w:tblPr>
        <w:tblStyle w:val="35"/>
        <w:tblW w:w="10560" w:type="dxa"/>
        <w:tblInd w:w="-654" w:type="dxa"/>
        <w:tblLayout w:type="autofit"/>
        <w:tblCellMar>
          <w:top w:w="0" w:type="dxa"/>
          <w:left w:w="108" w:type="dxa"/>
          <w:bottom w:w="0" w:type="dxa"/>
          <w:right w:w="108" w:type="dxa"/>
        </w:tblCellMar>
      </w:tblPr>
      <w:tblGrid>
        <w:gridCol w:w="1200"/>
        <w:gridCol w:w="756"/>
        <w:gridCol w:w="1272"/>
        <w:gridCol w:w="7332"/>
      </w:tblGrid>
      <w:tr w14:paraId="23352432">
        <w:tblPrEx>
          <w:tblCellMar>
            <w:top w:w="0" w:type="dxa"/>
            <w:left w:w="108" w:type="dxa"/>
            <w:bottom w:w="0" w:type="dxa"/>
            <w:right w:w="108" w:type="dxa"/>
          </w:tblCellMar>
        </w:tblPrEx>
        <w:trPr>
          <w:trHeight w:val="444" w:hRule="atLeast"/>
        </w:trPr>
        <w:tc>
          <w:tcPr>
            <w:tcW w:w="1056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1D1A85F">
            <w:pPr>
              <w:widowControl/>
              <w:jc w:val="center"/>
              <w:textAlignment w:val="center"/>
              <w:rPr>
                <w:rFonts w:ascii="Arial" w:hAnsi="Arial" w:cs="Arial"/>
                <w:color w:val="auto"/>
                <w:sz w:val="32"/>
                <w:szCs w:val="32"/>
                <w:highlight w:val="none"/>
              </w:rPr>
            </w:pPr>
            <w:r>
              <w:rPr>
                <w:rFonts w:ascii="Arial" w:hAnsi="Arial" w:cs="Arial"/>
                <w:color w:val="auto"/>
                <w:kern w:val="0"/>
                <w:sz w:val="32"/>
                <w:szCs w:val="32"/>
                <w:highlight w:val="none"/>
                <w:lang w:bidi="ar"/>
              </w:rPr>
              <w:t>宾阳县一级就业服务站服务事项清单</w:t>
            </w:r>
          </w:p>
        </w:tc>
      </w:tr>
      <w:tr w14:paraId="02278908">
        <w:tblPrEx>
          <w:tblCellMar>
            <w:top w:w="0" w:type="dxa"/>
            <w:left w:w="108" w:type="dxa"/>
            <w:bottom w:w="0" w:type="dxa"/>
            <w:right w:w="108" w:type="dxa"/>
          </w:tblCellMar>
        </w:tblPrEx>
        <w:trPr>
          <w:trHeight w:val="90" w:hRule="atLeast"/>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48BA6A48">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服务类别</w:t>
            </w:r>
          </w:p>
        </w:tc>
        <w:tc>
          <w:tcPr>
            <w:tcW w:w="756" w:type="dxa"/>
            <w:tcBorders>
              <w:top w:val="single" w:color="auto" w:sz="4" w:space="0"/>
              <w:left w:val="nil"/>
              <w:bottom w:val="single" w:color="auto" w:sz="4" w:space="0"/>
              <w:right w:val="single" w:color="auto" w:sz="4" w:space="0"/>
            </w:tcBorders>
            <w:shd w:val="clear" w:color="auto" w:fill="auto"/>
            <w:vAlign w:val="center"/>
          </w:tcPr>
          <w:p w14:paraId="328C1703">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序号</w:t>
            </w:r>
          </w:p>
        </w:tc>
        <w:tc>
          <w:tcPr>
            <w:tcW w:w="1272" w:type="dxa"/>
            <w:tcBorders>
              <w:top w:val="single" w:color="auto" w:sz="4" w:space="0"/>
              <w:left w:val="nil"/>
              <w:bottom w:val="single" w:color="auto" w:sz="4" w:space="0"/>
              <w:right w:val="single" w:color="auto" w:sz="4" w:space="0"/>
            </w:tcBorders>
            <w:shd w:val="clear" w:color="auto" w:fill="auto"/>
            <w:vAlign w:val="center"/>
          </w:tcPr>
          <w:p w14:paraId="435B932D">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服务事项</w:t>
            </w:r>
          </w:p>
        </w:tc>
        <w:tc>
          <w:tcPr>
            <w:tcW w:w="7332" w:type="dxa"/>
            <w:tcBorders>
              <w:top w:val="single" w:color="auto" w:sz="4" w:space="0"/>
              <w:left w:val="nil"/>
              <w:bottom w:val="single" w:color="auto" w:sz="4" w:space="0"/>
              <w:right w:val="single" w:color="auto" w:sz="4" w:space="0"/>
            </w:tcBorders>
            <w:shd w:val="clear" w:color="auto" w:fill="auto"/>
            <w:vAlign w:val="center"/>
          </w:tcPr>
          <w:p w14:paraId="2B29EAF5">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服务内容</w:t>
            </w:r>
          </w:p>
        </w:tc>
      </w:tr>
      <w:tr w14:paraId="44C246AA">
        <w:tblPrEx>
          <w:tblCellMar>
            <w:top w:w="0" w:type="dxa"/>
            <w:left w:w="108" w:type="dxa"/>
            <w:bottom w:w="0" w:type="dxa"/>
            <w:right w:w="108" w:type="dxa"/>
          </w:tblCellMar>
        </w:tblPrEx>
        <w:trPr>
          <w:trHeight w:val="93" w:hRule="atLeast"/>
        </w:trPr>
        <w:tc>
          <w:tcPr>
            <w:tcW w:w="1200" w:type="dxa"/>
            <w:vMerge w:val="restart"/>
            <w:tcBorders>
              <w:top w:val="nil"/>
              <w:left w:val="single" w:color="auto" w:sz="4" w:space="0"/>
              <w:bottom w:val="nil"/>
              <w:right w:val="single" w:color="auto" w:sz="4" w:space="0"/>
            </w:tcBorders>
            <w:shd w:val="clear" w:color="auto" w:fill="auto"/>
            <w:vAlign w:val="center"/>
          </w:tcPr>
          <w:p w14:paraId="41C0AB15">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劳动者</w:t>
            </w:r>
            <w:r>
              <w:rPr>
                <w:rFonts w:ascii="Arial" w:hAnsi="Arial" w:cs="Arial"/>
                <w:b/>
                <w:bCs/>
                <w:color w:val="auto"/>
                <w:kern w:val="0"/>
                <w:szCs w:val="21"/>
                <w:highlight w:val="none"/>
                <w:lang w:bidi="ar"/>
              </w:rPr>
              <w:br w:type="textWrapping"/>
            </w:r>
            <w:r>
              <w:rPr>
                <w:rFonts w:ascii="Arial" w:hAnsi="Arial" w:cs="Arial"/>
                <w:b/>
                <w:bCs/>
                <w:color w:val="auto"/>
                <w:kern w:val="0"/>
                <w:szCs w:val="21"/>
                <w:highlight w:val="none"/>
                <w:lang w:bidi="ar"/>
              </w:rPr>
              <w:t>（对外公开）</w:t>
            </w:r>
          </w:p>
        </w:tc>
        <w:tc>
          <w:tcPr>
            <w:tcW w:w="756" w:type="dxa"/>
            <w:vMerge w:val="restart"/>
            <w:tcBorders>
              <w:top w:val="nil"/>
              <w:left w:val="single" w:color="auto" w:sz="4" w:space="0"/>
              <w:bottom w:val="single" w:color="000000" w:sz="4" w:space="0"/>
              <w:right w:val="single" w:color="auto" w:sz="4" w:space="0"/>
            </w:tcBorders>
            <w:shd w:val="clear" w:color="auto" w:fill="auto"/>
            <w:vAlign w:val="center"/>
          </w:tcPr>
          <w:p w14:paraId="177020C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w:t>
            </w:r>
          </w:p>
        </w:tc>
        <w:tc>
          <w:tcPr>
            <w:tcW w:w="1272" w:type="dxa"/>
            <w:vMerge w:val="restart"/>
            <w:tcBorders>
              <w:top w:val="nil"/>
              <w:left w:val="single" w:color="auto" w:sz="4" w:space="0"/>
              <w:bottom w:val="single" w:color="000000" w:sz="4" w:space="0"/>
              <w:right w:val="single" w:color="auto" w:sz="4" w:space="0"/>
            </w:tcBorders>
            <w:shd w:val="clear" w:color="auto" w:fill="auto"/>
            <w:vAlign w:val="center"/>
          </w:tcPr>
          <w:p w14:paraId="43A6E642">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咨询服务</w:t>
            </w:r>
          </w:p>
        </w:tc>
        <w:tc>
          <w:tcPr>
            <w:tcW w:w="7332" w:type="dxa"/>
            <w:tcBorders>
              <w:top w:val="nil"/>
              <w:left w:val="nil"/>
              <w:bottom w:val="single" w:color="auto" w:sz="4" w:space="0"/>
              <w:right w:val="single" w:color="auto" w:sz="4" w:space="0"/>
            </w:tcBorders>
            <w:shd w:val="clear" w:color="auto" w:fill="auto"/>
            <w:vAlign w:val="center"/>
          </w:tcPr>
          <w:p w14:paraId="74DC5BF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就业创业政策宣传、服务咨询、信息查询；</w:t>
            </w:r>
          </w:p>
        </w:tc>
      </w:tr>
      <w:tr w14:paraId="45D5E38A">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nil"/>
              <w:right w:val="single" w:color="auto" w:sz="4" w:space="0"/>
            </w:tcBorders>
            <w:shd w:val="clear" w:color="auto" w:fill="auto"/>
            <w:vAlign w:val="center"/>
          </w:tcPr>
          <w:p w14:paraId="6C1DB981">
            <w:pPr>
              <w:jc w:val="center"/>
              <w:rPr>
                <w:rFonts w:ascii="Arial" w:hAnsi="Arial" w:cs="Arial"/>
                <w:b/>
                <w:bCs/>
                <w:color w:val="auto"/>
                <w:szCs w:val="21"/>
                <w:highlight w:val="none"/>
              </w:rPr>
            </w:pPr>
          </w:p>
        </w:tc>
        <w:tc>
          <w:tcPr>
            <w:tcW w:w="756" w:type="dxa"/>
            <w:vMerge w:val="continue"/>
            <w:tcBorders>
              <w:top w:val="nil"/>
              <w:left w:val="single" w:color="auto" w:sz="4" w:space="0"/>
              <w:bottom w:val="single" w:color="000000" w:sz="4" w:space="0"/>
              <w:right w:val="single" w:color="auto" w:sz="4" w:space="0"/>
            </w:tcBorders>
            <w:shd w:val="clear" w:color="auto" w:fill="auto"/>
            <w:vAlign w:val="center"/>
          </w:tcPr>
          <w:p w14:paraId="4B626A39">
            <w:pPr>
              <w:jc w:val="center"/>
              <w:rPr>
                <w:rFonts w:ascii="Arial" w:hAnsi="Arial" w:cs="Arial"/>
                <w:color w:val="auto"/>
                <w:szCs w:val="21"/>
                <w:highlight w:val="none"/>
              </w:rPr>
            </w:pPr>
          </w:p>
        </w:tc>
        <w:tc>
          <w:tcPr>
            <w:tcW w:w="1272" w:type="dxa"/>
            <w:vMerge w:val="continue"/>
            <w:tcBorders>
              <w:top w:val="nil"/>
              <w:left w:val="single" w:color="auto" w:sz="4" w:space="0"/>
              <w:bottom w:val="single" w:color="000000" w:sz="4" w:space="0"/>
              <w:right w:val="single" w:color="auto" w:sz="4" w:space="0"/>
            </w:tcBorders>
            <w:shd w:val="clear" w:color="auto" w:fill="auto"/>
            <w:vAlign w:val="center"/>
          </w:tcPr>
          <w:p w14:paraId="1991D6F7">
            <w:pPr>
              <w:jc w:val="center"/>
              <w:rPr>
                <w:rFonts w:ascii="Arial" w:hAnsi="Arial" w:cs="Arial"/>
                <w:color w:val="auto"/>
                <w:szCs w:val="21"/>
                <w:highlight w:val="none"/>
              </w:rPr>
            </w:pPr>
          </w:p>
        </w:tc>
        <w:tc>
          <w:tcPr>
            <w:tcW w:w="7332" w:type="dxa"/>
            <w:tcBorders>
              <w:top w:val="nil"/>
              <w:left w:val="nil"/>
              <w:bottom w:val="single" w:color="auto" w:sz="4" w:space="0"/>
              <w:right w:val="single" w:color="auto" w:sz="4" w:space="0"/>
            </w:tcBorders>
            <w:shd w:val="clear" w:color="auto" w:fill="auto"/>
            <w:vAlign w:val="center"/>
          </w:tcPr>
          <w:p w14:paraId="0AF0756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就业失业登记、就业困难人员认定、就业创业补贴申领等业务办理指引</w:t>
            </w:r>
          </w:p>
        </w:tc>
      </w:tr>
      <w:tr w14:paraId="2E50CAE3">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nil"/>
              <w:right w:val="single" w:color="auto" w:sz="4" w:space="0"/>
            </w:tcBorders>
            <w:shd w:val="clear" w:color="auto" w:fill="auto"/>
            <w:vAlign w:val="center"/>
          </w:tcPr>
          <w:p w14:paraId="3986F229">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0904DE3F">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2</w:t>
            </w:r>
          </w:p>
        </w:tc>
        <w:tc>
          <w:tcPr>
            <w:tcW w:w="1272" w:type="dxa"/>
            <w:tcBorders>
              <w:top w:val="nil"/>
              <w:left w:val="nil"/>
              <w:bottom w:val="single" w:color="auto" w:sz="4" w:space="0"/>
              <w:right w:val="single" w:color="auto" w:sz="4" w:space="0"/>
            </w:tcBorders>
            <w:shd w:val="clear" w:color="auto" w:fill="auto"/>
            <w:vAlign w:val="center"/>
          </w:tcPr>
          <w:p w14:paraId="1ACED81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求职服务</w:t>
            </w:r>
          </w:p>
        </w:tc>
        <w:tc>
          <w:tcPr>
            <w:tcW w:w="7332" w:type="dxa"/>
            <w:tcBorders>
              <w:top w:val="nil"/>
              <w:left w:val="nil"/>
              <w:bottom w:val="single" w:color="auto" w:sz="4" w:space="0"/>
              <w:right w:val="single" w:color="auto" w:sz="4" w:space="0"/>
            </w:tcBorders>
            <w:shd w:val="clear" w:color="auto" w:fill="auto"/>
            <w:vAlign w:val="center"/>
          </w:tcPr>
          <w:p w14:paraId="0C442BCB">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求职登记（含“找零工”登记）、职业指导、岗位推荐、招聘会信息推送</w:t>
            </w:r>
          </w:p>
        </w:tc>
      </w:tr>
      <w:tr w14:paraId="759AEAE4">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nil"/>
              <w:right w:val="single" w:color="auto" w:sz="4" w:space="0"/>
            </w:tcBorders>
            <w:shd w:val="clear" w:color="auto" w:fill="auto"/>
            <w:vAlign w:val="center"/>
          </w:tcPr>
          <w:p w14:paraId="6C842C85">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25ACE42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3</w:t>
            </w:r>
          </w:p>
        </w:tc>
        <w:tc>
          <w:tcPr>
            <w:tcW w:w="1272" w:type="dxa"/>
            <w:tcBorders>
              <w:top w:val="nil"/>
              <w:left w:val="nil"/>
              <w:bottom w:val="single" w:color="auto" w:sz="4" w:space="0"/>
              <w:right w:val="single" w:color="auto" w:sz="4" w:space="0"/>
            </w:tcBorders>
            <w:shd w:val="clear" w:color="auto" w:fill="auto"/>
            <w:vAlign w:val="center"/>
          </w:tcPr>
          <w:p w14:paraId="74B96D2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技能培训</w:t>
            </w:r>
          </w:p>
        </w:tc>
        <w:tc>
          <w:tcPr>
            <w:tcW w:w="7332" w:type="dxa"/>
            <w:tcBorders>
              <w:top w:val="nil"/>
              <w:left w:val="nil"/>
              <w:bottom w:val="single" w:color="auto" w:sz="4" w:space="0"/>
              <w:right w:val="single" w:color="auto" w:sz="4" w:space="0"/>
            </w:tcBorders>
            <w:shd w:val="clear" w:color="auto" w:fill="auto"/>
            <w:vAlign w:val="center"/>
          </w:tcPr>
          <w:p w14:paraId="089C7757">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培训需求登记、培训机构信息查询、培训项目推荐、培训开班计划查询、组织参加补贴性技能培训、培训补贴申领指引</w:t>
            </w:r>
          </w:p>
        </w:tc>
      </w:tr>
      <w:tr w14:paraId="3F93AD51">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nil"/>
              <w:right w:val="single" w:color="auto" w:sz="4" w:space="0"/>
            </w:tcBorders>
            <w:shd w:val="clear" w:color="auto" w:fill="auto"/>
            <w:vAlign w:val="center"/>
          </w:tcPr>
          <w:p w14:paraId="53322610">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45EB09C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4</w:t>
            </w:r>
          </w:p>
        </w:tc>
        <w:tc>
          <w:tcPr>
            <w:tcW w:w="1272" w:type="dxa"/>
            <w:tcBorders>
              <w:top w:val="nil"/>
              <w:left w:val="nil"/>
              <w:bottom w:val="single" w:color="auto" w:sz="4" w:space="0"/>
              <w:right w:val="single" w:color="auto" w:sz="4" w:space="0"/>
            </w:tcBorders>
            <w:shd w:val="clear" w:color="auto" w:fill="auto"/>
            <w:vAlign w:val="center"/>
          </w:tcPr>
          <w:p w14:paraId="64E2181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创业指导</w:t>
            </w:r>
          </w:p>
        </w:tc>
        <w:tc>
          <w:tcPr>
            <w:tcW w:w="7332" w:type="dxa"/>
            <w:tcBorders>
              <w:top w:val="nil"/>
              <w:left w:val="nil"/>
              <w:bottom w:val="single" w:color="auto" w:sz="4" w:space="0"/>
              <w:right w:val="single" w:color="auto" w:sz="4" w:space="0"/>
            </w:tcBorders>
            <w:shd w:val="clear" w:color="auto" w:fill="auto"/>
            <w:vAlign w:val="center"/>
          </w:tcPr>
          <w:p w14:paraId="50C20DAE">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创业担保贷款申请指导、创业项目推介、创业扶持补贴申领指引</w:t>
            </w:r>
          </w:p>
        </w:tc>
      </w:tr>
      <w:tr w14:paraId="3F9394F7">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nil"/>
              <w:right w:val="single" w:color="auto" w:sz="4" w:space="0"/>
            </w:tcBorders>
            <w:shd w:val="clear" w:color="auto" w:fill="auto"/>
            <w:vAlign w:val="center"/>
          </w:tcPr>
          <w:p w14:paraId="1F6CE5DA">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2FBAA57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5</w:t>
            </w:r>
          </w:p>
        </w:tc>
        <w:tc>
          <w:tcPr>
            <w:tcW w:w="1272" w:type="dxa"/>
            <w:tcBorders>
              <w:top w:val="nil"/>
              <w:left w:val="nil"/>
              <w:bottom w:val="single" w:color="auto" w:sz="4" w:space="0"/>
              <w:right w:val="single" w:color="auto" w:sz="4" w:space="0"/>
            </w:tcBorders>
            <w:shd w:val="clear" w:color="auto" w:fill="auto"/>
            <w:vAlign w:val="center"/>
          </w:tcPr>
          <w:p w14:paraId="266B058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就业援助</w:t>
            </w:r>
          </w:p>
        </w:tc>
        <w:tc>
          <w:tcPr>
            <w:tcW w:w="7332" w:type="dxa"/>
            <w:tcBorders>
              <w:top w:val="nil"/>
              <w:left w:val="nil"/>
              <w:bottom w:val="single" w:color="auto" w:sz="4" w:space="0"/>
              <w:right w:val="single" w:color="auto" w:sz="4" w:space="0"/>
            </w:tcBorders>
            <w:shd w:val="clear" w:color="auto" w:fill="auto"/>
            <w:vAlign w:val="center"/>
          </w:tcPr>
          <w:p w14:paraId="72BFB51A">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对城镇零就业家庭劳动者、防止返贫监测对象家庭劳动者等特殊困难人群开展就业跟踪帮扶</w:t>
            </w:r>
          </w:p>
        </w:tc>
      </w:tr>
      <w:tr w14:paraId="5A9E4E22">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nil"/>
              <w:right w:val="single" w:color="auto" w:sz="4" w:space="0"/>
            </w:tcBorders>
            <w:shd w:val="clear" w:color="auto" w:fill="auto"/>
            <w:vAlign w:val="center"/>
          </w:tcPr>
          <w:p w14:paraId="1BC69E93">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2DBE34E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6</w:t>
            </w:r>
          </w:p>
        </w:tc>
        <w:tc>
          <w:tcPr>
            <w:tcW w:w="1272" w:type="dxa"/>
            <w:tcBorders>
              <w:top w:val="nil"/>
              <w:left w:val="nil"/>
              <w:bottom w:val="single" w:color="auto" w:sz="4" w:space="0"/>
              <w:right w:val="single" w:color="auto" w:sz="4" w:space="0"/>
            </w:tcBorders>
            <w:shd w:val="clear" w:color="auto" w:fill="auto"/>
            <w:vAlign w:val="center"/>
          </w:tcPr>
          <w:p w14:paraId="74FFA6E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劳动维权</w:t>
            </w:r>
          </w:p>
        </w:tc>
        <w:tc>
          <w:tcPr>
            <w:tcW w:w="7332" w:type="dxa"/>
            <w:tcBorders>
              <w:top w:val="nil"/>
              <w:left w:val="nil"/>
              <w:bottom w:val="single" w:color="auto" w:sz="4" w:space="0"/>
              <w:right w:val="single" w:color="auto" w:sz="4" w:space="0"/>
            </w:tcBorders>
            <w:shd w:val="clear" w:color="auto" w:fill="auto"/>
            <w:vAlign w:val="center"/>
          </w:tcPr>
          <w:p w14:paraId="0EB1EB58">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劳动者工资、社保等合法权益维权指引</w:t>
            </w:r>
          </w:p>
        </w:tc>
      </w:tr>
      <w:tr w14:paraId="3477F5F3">
        <w:tblPrEx>
          <w:tblCellMar>
            <w:top w:w="0" w:type="dxa"/>
            <w:left w:w="108" w:type="dxa"/>
            <w:bottom w:w="0" w:type="dxa"/>
            <w:right w:w="108" w:type="dxa"/>
          </w:tblCellMar>
        </w:tblPrEx>
        <w:trPr>
          <w:trHeight w:val="90" w:hRule="atLeast"/>
        </w:trPr>
        <w:tc>
          <w:tcPr>
            <w:tcW w:w="120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6284CEA">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用人单位</w:t>
            </w:r>
            <w:r>
              <w:rPr>
                <w:rFonts w:ascii="Arial" w:hAnsi="Arial" w:cs="Arial"/>
                <w:b/>
                <w:bCs/>
                <w:color w:val="auto"/>
                <w:kern w:val="0"/>
                <w:szCs w:val="21"/>
                <w:highlight w:val="none"/>
                <w:lang w:bidi="ar"/>
              </w:rPr>
              <w:br w:type="textWrapping"/>
            </w:r>
            <w:r>
              <w:rPr>
                <w:rFonts w:ascii="Arial" w:hAnsi="Arial" w:cs="Arial"/>
                <w:b/>
                <w:bCs/>
                <w:color w:val="auto"/>
                <w:kern w:val="0"/>
                <w:szCs w:val="21"/>
                <w:highlight w:val="none"/>
                <w:lang w:bidi="ar"/>
              </w:rPr>
              <w:t>（对外公开）</w:t>
            </w:r>
          </w:p>
        </w:tc>
        <w:tc>
          <w:tcPr>
            <w:tcW w:w="756" w:type="dxa"/>
            <w:vMerge w:val="restart"/>
            <w:tcBorders>
              <w:top w:val="nil"/>
              <w:left w:val="single" w:color="auto" w:sz="4" w:space="0"/>
              <w:bottom w:val="single" w:color="000000" w:sz="4" w:space="0"/>
              <w:right w:val="single" w:color="auto" w:sz="4" w:space="0"/>
            </w:tcBorders>
            <w:shd w:val="clear" w:color="auto" w:fill="auto"/>
            <w:vAlign w:val="center"/>
          </w:tcPr>
          <w:p w14:paraId="531B695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7</w:t>
            </w:r>
          </w:p>
        </w:tc>
        <w:tc>
          <w:tcPr>
            <w:tcW w:w="1272" w:type="dxa"/>
            <w:vMerge w:val="restart"/>
            <w:tcBorders>
              <w:top w:val="nil"/>
              <w:left w:val="single" w:color="auto" w:sz="4" w:space="0"/>
              <w:bottom w:val="single" w:color="000000" w:sz="4" w:space="0"/>
              <w:right w:val="single" w:color="auto" w:sz="4" w:space="0"/>
            </w:tcBorders>
            <w:shd w:val="clear" w:color="auto" w:fill="auto"/>
            <w:vAlign w:val="center"/>
          </w:tcPr>
          <w:p w14:paraId="5DA4777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咨询服务</w:t>
            </w:r>
          </w:p>
        </w:tc>
        <w:tc>
          <w:tcPr>
            <w:tcW w:w="7332" w:type="dxa"/>
            <w:tcBorders>
              <w:top w:val="nil"/>
              <w:left w:val="nil"/>
              <w:bottom w:val="single" w:color="auto" w:sz="4" w:space="0"/>
              <w:right w:val="single" w:color="auto" w:sz="4" w:space="0"/>
            </w:tcBorders>
            <w:shd w:val="clear" w:color="auto" w:fill="auto"/>
            <w:vAlign w:val="center"/>
          </w:tcPr>
          <w:p w14:paraId="0987A956">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就业创业政策宣传、服务咨询、信息查询；</w:t>
            </w:r>
          </w:p>
        </w:tc>
      </w:tr>
      <w:tr w14:paraId="1598FE8E">
        <w:tblPrEx>
          <w:tblCellMar>
            <w:top w:w="0" w:type="dxa"/>
            <w:left w:w="108" w:type="dxa"/>
            <w:bottom w:w="0" w:type="dxa"/>
            <w:right w:w="108" w:type="dxa"/>
          </w:tblCellMar>
        </w:tblPrEx>
        <w:trPr>
          <w:trHeight w:val="90" w:hRule="atLeast"/>
        </w:trPr>
        <w:tc>
          <w:tcPr>
            <w:tcW w:w="120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79233D78">
            <w:pPr>
              <w:jc w:val="center"/>
              <w:rPr>
                <w:rFonts w:ascii="Arial" w:hAnsi="Arial" w:cs="Arial"/>
                <w:b/>
                <w:bCs/>
                <w:color w:val="auto"/>
                <w:szCs w:val="21"/>
                <w:highlight w:val="none"/>
              </w:rPr>
            </w:pPr>
          </w:p>
        </w:tc>
        <w:tc>
          <w:tcPr>
            <w:tcW w:w="756" w:type="dxa"/>
            <w:vMerge w:val="continue"/>
            <w:tcBorders>
              <w:top w:val="nil"/>
              <w:left w:val="single" w:color="auto" w:sz="4" w:space="0"/>
              <w:bottom w:val="single" w:color="000000" w:sz="4" w:space="0"/>
              <w:right w:val="single" w:color="auto" w:sz="4" w:space="0"/>
            </w:tcBorders>
            <w:shd w:val="clear" w:color="auto" w:fill="auto"/>
            <w:vAlign w:val="center"/>
          </w:tcPr>
          <w:p w14:paraId="57FA2EC3">
            <w:pPr>
              <w:jc w:val="center"/>
              <w:rPr>
                <w:rFonts w:ascii="Arial" w:hAnsi="Arial" w:cs="Arial"/>
                <w:color w:val="auto"/>
                <w:szCs w:val="21"/>
                <w:highlight w:val="none"/>
              </w:rPr>
            </w:pPr>
          </w:p>
        </w:tc>
        <w:tc>
          <w:tcPr>
            <w:tcW w:w="1272" w:type="dxa"/>
            <w:vMerge w:val="continue"/>
            <w:tcBorders>
              <w:top w:val="nil"/>
              <w:left w:val="single" w:color="auto" w:sz="4" w:space="0"/>
              <w:bottom w:val="single" w:color="000000" w:sz="4" w:space="0"/>
              <w:right w:val="single" w:color="auto" w:sz="4" w:space="0"/>
            </w:tcBorders>
            <w:shd w:val="clear" w:color="auto" w:fill="auto"/>
            <w:vAlign w:val="center"/>
          </w:tcPr>
          <w:p w14:paraId="33E0C695">
            <w:pPr>
              <w:jc w:val="center"/>
              <w:rPr>
                <w:rFonts w:ascii="Arial" w:hAnsi="Arial" w:cs="Arial"/>
                <w:color w:val="auto"/>
                <w:szCs w:val="21"/>
                <w:highlight w:val="none"/>
              </w:rPr>
            </w:pPr>
          </w:p>
        </w:tc>
        <w:tc>
          <w:tcPr>
            <w:tcW w:w="7332" w:type="dxa"/>
            <w:tcBorders>
              <w:top w:val="nil"/>
              <w:left w:val="nil"/>
              <w:bottom w:val="single" w:color="auto" w:sz="4" w:space="0"/>
              <w:right w:val="single" w:color="auto" w:sz="4" w:space="0"/>
            </w:tcBorders>
            <w:shd w:val="clear" w:color="auto" w:fill="auto"/>
            <w:vAlign w:val="center"/>
          </w:tcPr>
          <w:p w14:paraId="512F1081">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吸纳重点人群就业有关稳岗、培训、社保等补贴申领指引</w:t>
            </w:r>
          </w:p>
        </w:tc>
      </w:tr>
      <w:tr w14:paraId="789D2B92">
        <w:tblPrEx>
          <w:tblCellMar>
            <w:top w:w="0" w:type="dxa"/>
            <w:left w:w="108" w:type="dxa"/>
            <w:bottom w:w="0" w:type="dxa"/>
            <w:right w:w="108" w:type="dxa"/>
          </w:tblCellMar>
        </w:tblPrEx>
        <w:trPr>
          <w:trHeight w:val="90" w:hRule="atLeast"/>
        </w:trPr>
        <w:tc>
          <w:tcPr>
            <w:tcW w:w="120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296A5153">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6EBE986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8</w:t>
            </w:r>
          </w:p>
        </w:tc>
        <w:tc>
          <w:tcPr>
            <w:tcW w:w="1272" w:type="dxa"/>
            <w:tcBorders>
              <w:top w:val="nil"/>
              <w:left w:val="nil"/>
              <w:bottom w:val="single" w:color="auto" w:sz="4" w:space="0"/>
              <w:right w:val="single" w:color="auto" w:sz="4" w:space="0"/>
            </w:tcBorders>
            <w:shd w:val="clear" w:color="auto" w:fill="auto"/>
            <w:vAlign w:val="center"/>
          </w:tcPr>
          <w:p w14:paraId="20EA34B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招工服务</w:t>
            </w:r>
          </w:p>
        </w:tc>
        <w:tc>
          <w:tcPr>
            <w:tcW w:w="7332" w:type="dxa"/>
            <w:tcBorders>
              <w:top w:val="nil"/>
              <w:left w:val="nil"/>
              <w:bottom w:val="single" w:color="auto" w:sz="4" w:space="0"/>
              <w:right w:val="single" w:color="auto" w:sz="4" w:space="0"/>
            </w:tcBorders>
            <w:shd w:val="clear" w:color="auto" w:fill="auto"/>
            <w:vAlign w:val="center"/>
          </w:tcPr>
          <w:p w14:paraId="53F4FD1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用工信息登记（含“招零工”登记）、用工信息发布、求职人员推荐、求职简历代收、面试洽谈辅助、招聘会等公共就业服务活动推荐</w:t>
            </w:r>
          </w:p>
        </w:tc>
      </w:tr>
      <w:tr w14:paraId="0417BD2B">
        <w:tblPrEx>
          <w:tblCellMar>
            <w:top w:w="0" w:type="dxa"/>
            <w:left w:w="108" w:type="dxa"/>
            <w:bottom w:w="0" w:type="dxa"/>
            <w:right w:w="108" w:type="dxa"/>
          </w:tblCellMar>
        </w:tblPrEx>
        <w:trPr>
          <w:trHeight w:val="90" w:hRule="atLeast"/>
        </w:trPr>
        <w:tc>
          <w:tcPr>
            <w:tcW w:w="120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409D7B4C">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748FE4C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9</w:t>
            </w:r>
          </w:p>
        </w:tc>
        <w:tc>
          <w:tcPr>
            <w:tcW w:w="1272" w:type="dxa"/>
            <w:tcBorders>
              <w:top w:val="nil"/>
              <w:left w:val="nil"/>
              <w:bottom w:val="single" w:color="auto" w:sz="4" w:space="0"/>
              <w:right w:val="single" w:color="auto" w:sz="4" w:space="0"/>
            </w:tcBorders>
            <w:shd w:val="clear" w:color="auto" w:fill="auto"/>
            <w:vAlign w:val="center"/>
          </w:tcPr>
          <w:p w14:paraId="4F4996A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创业服务</w:t>
            </w:r>
          </w:p>
        </w:tc>
        <w:tc>
          <w:tcPr>
            <w:tcW w:w="7332" w:type="dxa"/>
            <w:tcBorders>
              <w:top w:val="nil"/>
              <w:left w:val="nil"/>
              <w:bottom w:val="single" w:color="auto" w:sz="4" w:space="0"/>
              <w:right w:val="single" w:color="auto" w:sz="4" w:space="0"/>
            </w:tcBorders>
            <w:shd w:val="clear" w:color="auto" w:fill="auto"/>
            <w:vAlign w:val="center"/>
          </w:tcPr>
          <w:p w14:paraId="5524E951">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创业担保贷款办理指引、创业扶持补贴申领指引</w:t>
            </w:r>
          </w:p>
        </w:tc>
      </w:tr>
      <w:tr w14:paraId="1806F186">
        <w:tblPrEx>
          <w:tblCellMar>
            <w:top w:w="0" w:type="dxa"/>
            <w:left w:w="108" w:type="dxa"/>
            <w:bottom w:w="0" w:type="dxa"/>
            <w:right w:w="108" w:type="dxa"/>
          </w:tblCellMar>
        </w:tblPrEx>
        <w:trPr>
          <w:trHeight w:val="90" w:hRule="atLeast"/>
        </w:trPr>
        <w:tc>
          <w:tcPr>
            <w:tcW w:w="1200" w:type="dxa"/>
            <w:vMerge w:val="continue"/>
            <w:tcBorders>
              <w:top w:val="single" w:color="auto" w:sz="4" w:space="0"/>
              <w:left w:val="single" w:color="auto" w:sz="4" w:space="0"/>
              <w:bottom w:val="single" w:color="000000" w:sz="4" w:space="0"/>
              <w:right w:val="single" w:color="auto" w:sz="4" w:space="0"/>
            </w:tcBorders>
            <w:shd w:val="clear" w:color="auto" w:fill="auto"/>
            <w:vAlign w:val="center"/>
          </w:tcPr>
          <w:p w14:paraId="1DC0CDF3">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08A9A70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10</w:t>
            </w:r>
          </w:p>
        </w:tc>
        <w:tc>
          <w:tcPr>
            <w:tcW w:w="1272" w:type="dxa"/>
            <w:tcBorders>
              <w:top w:val="nil"/>
              <w:left w:val="nil"/>
              <w:bottom w:val="single" w:color="auto" w:sz="4" w:space="0"/>
              <w:right w:val="single" w:color="auto" w:sz="4" w:space="0"/>
            </w:tcBorders>
            <w:shd w:val="clear" w:color="auto" w:fill="auto"/>
            <w:vAlign w:val="center"/>
          </w:tcPr>
          <w:p w14:paraId="6F78FFB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技能培训</w:t>
            </w:r>
          </w:p>
        </w:tc>
        <w:tc>
          <w:tcPr>
            <w:tcW w:w="7332" w:type="dxa"/>
            <w:tcBorders>
              <w:top w:val="nil"/>
              <w:left w:val="nil"/>
              <w:bottom w:val="single" w:color="auto" w:sz="4" w:space="0"/>
              <w:right w:val="single" w:color="auto" w:sz="4" w:space="0"/>
            </w:tcBorders>
            <w:shd w:val="clear" w:color="auto" w:fill="auto"/>
            <w:vAlign w:val="center"/>
          </w:tcPr>
          <w:p w14:paraId="0FF729B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培训需求登记、培训机构信息查询、培训项目推荐、培训开班计划查询、组织参加补贴性技能培训、培训补贴申领指引</w:t>
            </w:r>
          </w:p>
        </w:tc>
      </w:tr>
      <w:tr w14:paraId="7789BBBE">
        <w:tblPrEx>
          <w:tblCellMar>
            <w:top w:w="0" w:type="dxa"/>
            <w:left w:w="108" w:type="dxa"/>
            <w:bottom w:w="0" w:type="dxa"/>
            <w:right w:w="108" w:type="dxa"/>
          </w:tblCellMar>
        </w:tblPrEx>
        <w:trPr>
          <w:trHeight w:val="90" w:hRule="atLeast"/>
        </w:trPr>
        <w:tc>
          <w:tcPr>
            <w:tcW w:w="1200" w:type="dxa"/>
            <w:vMerge w:val="restart"/>
            <w:tcBorders>
              <w:top w:val="nil"/>
              <w:left w:val="single" w:color="auto" w:sz="4" w:space="0"/>
              <w:bottom w:val="single" w:color="auto" w:sz="4" w:space="0"/>
              <w:right w:val="single" w:color="auto" w:sz="4" w:space="0"/>
            </w:tcBorders>
            <w:shd w:val="clear" w:color="auto" w:fill="auto"/>
            <w:vAlign w:val="center"/>
          </w:tcPr>
          <w:p w14:paraId="5D6C5813">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基础运行</w:t>
            </w:r>
            <w:r>
              <w:rPr>
                <w:rFonts w:hint="eastAsia" w:ascii="Arial" w:hAnsi="Arial" w:cs="Arial"/>
                <w:b/>
                <w:bCs/>
                <w:color w:val="auto"/>
                <w:kern w:val="0"/>
                <w:szCs w:val="21"/>
                <w:highlight w:val="none"/>
                <w:lang w:eastAsia="zh-CN" w:bidi="ar"/>
              </w:rPr>
              <w:t>（</w:t>
            </w:r>
            <w:r>
              <w:rPr>
                <w:rFonts w:ascii="Arial" w:hAnsi="Arial" w:cs="Arial"/>
                <w:b/>
                <w:bCs/>
                <w:color w:val="auto"/>
                <w:kern w:val="0"/>
                <w:szCs w:val="21"/>
                <w:highlight w:val="none"/>
                <w:lang w:bidi="ar"/>
              </w:rPr>
              <w:t>不对外公开）</w:t>
            </w:r>
          </w:p>
        </w:tc>
        <w:tc>
          <w:tcPr>
            <w:tcW w:w="756" w:type="dxa"/>
            <w:tcBorders>
              <w:top w:val="nil"/>
              <w:left w:val="nil"/>
              <w:bottom w:val="single" w:color="auto" w:sz="4" w:space="0"/>
              <w:right w:val="single" w:color="auto" w:sz="4" w:space="0"/>
            </w:tcBorders>
            <w:shd w:val="clear" w:color="auto" w:fill="auto"/>
            <w:vAlign w:val="center"/>
          </w:tcPr>
          <w:p w14:paraId="207BCC2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11</w:t>
            </w:r>
          </w:p>
        </w:tc>
        <w:tc>
          <w:tcPr>
            <w:tcW w:w="1272" w:type="dxa"/>
            <w:tcBorders>
              <w:top w:val="nil"/>
              <w:left w:val="nil"/>
              <w:bottom w:val="single" w:color="auto" w:sz="4" w:space="0"/>
              <w:right w:val="single" w:color="auto" w:sz="4" w:space="0"/>
            </w:tcBorders>
            <w:shd w:val="clear" w:color="auto" w:fill="auto"/>
            <w:vAlign w:val="center"/>
          </w:tcPr>
          <w:p w14:paraId="4854130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就业摸排</w:t>
            </w:r>
          </w:p>
        </w:tc>
        <w:tc>
          <w:tcPr>
            <w:tcW w:w="7332" w:type="dxa"/>
            <w:tcBorders>
              <w:top w:val="nil"/>
              <w:left w:val="nil"/>
              <w:bottom w:val="single" w:color="auto" w:sz="4" w:space="0"/>
              <w:right w:val="single" w:color="auto" w:sz="4" w:space="0"/>
            </w:tcBorders>
            <w:shd w:val="clear" w:color="auto" w:fill="auto"/>
            <w:vAlign w:val="center"/>
          </w:tcPr>
          <w:p w14:paraId="5C6A5D4A">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对辖区劳动力资源摸排登记</w:t>
            </w:r>
          </w:p>
        </w:tc>
      </w:tr>
      <w:tr w14:paraId="755A89D7">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single" w:color="auto" w:sz="4" w:space="0"/>
              <w:right w:val="single" w:color="auto" w:sz="4" w:space="0"/>
            </w:tcBorders>
            <w:shd w:val="clear" w:color="auto" w:fill="auto"/>
            <w:vAlign w:val="center"/>
          </w:tcPr>
          <w:p w14:paraId="79F45C62">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2E891F4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12</w:t>
            </w:r>
          </w:p>
        </w:tc>
        <w:tc>
          <w:tcPr>
            <w:tcW w:w="1272" w:type="dxa"/>
            <w:tcBorders>
              <w:top w:val="nil"/>
              <w:left w:val="nil"/>
              <w:bottom w:val="single" w:color="auto" w:sz="4" w:space="0"/>
              <w:right w:val="single" w:color="auto" w:sz="4" w:space="0"/>
            </w:tcBorders>
            <w:shd w:val="clear" w:color="auto" w:fill="auto"/>
            <w:vAlign w:val="center"/>
          </w:tcPr>
          <w:p w14:paraId="5D80B9A2">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就业服务</w:t>
            </w:r>
          </w:p>
        </w:tc>
        <w:tc>
          <w:tcPr>
            <w:tcW w:w="7332" w:type="dxa"/>
            <w:tcBorders>
              <w:top w:val="nil"/>
              <w:left w:val="nil"/>
              <w:bottom w:val="single" w:color="auto" w:sz="4" w:space="0"/>
              <w:right w:val="single" w:color="auto" w:sz="4" w:space="0"/>
            </w:tcBorders>
            <w:shd w:val="clear" w:color="auto" w:fill="auto"/>
            <w:vAlign w:val="center"/>
          </w:tcPr>
          <w:p w14:paraId="2E5E5E75">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对辖区登记失业人员、就业困难人员、退役军人、离校未就业高校毕业生、脱贫劳动力、防返贫监测户、农村返乡回流人员、雨露计划毕业生等重点群体提供就业跟踪帮扶</w:t>
            </w:r>
          </w:p>
        </w:tc>
      </w:tr>
      <w:tr w14:paraId="30B2A902">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single" w:color="auto" w:sz="4" w:space="0"/>
              <w:right w:val="single" w:color="auto" w:sz="4" w:space="0"/>
            </w:tcBorders>
            <w:shd w:val="clear" w:color="auto" w:fill="auto"/>
            <w:vAlign w:val="center"/>
          </w:tcPr>
          <w:p w14:paraId="2D66E70E">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5FBAD7E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13</w:t>
            </w:r>
          </w:p>
        </w:tc>
        <w:tc>
          <w:tcPr>
            <w:tcW w:w="1272" w:type="dxa"/>
            <w:tcBorders>
              <w:top w:val="nil"/>
              <w:left w:val="nil"/>
              <w:bottom w:val="single" w:color="auto" w:sz="4" w:space="0"/>
              <w:right w:val="single" w:color="auto" w:sz="4" w:space="0"/>
            </w:tcBorders>
            <w:shd w:val="clear" w:color="auto" w:fill="auto"/>
            <w:vAlign w:val="center"/>
          </w:tcPr>
          <w:p w14:paraId="1DFAA91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培训跟踪</w:t>
            </w:r>
          </w:p>
        </w:tc>
        <w:tc>
          <w:tcPr>
            <w:tcW w:w="7332" w:type="dxa"/>
            <w:tcBorders>
              <w:top w:val="nil"/>
              <w:left w:val="nil"/>
              <w:bottom w:val="single" w:color="auto" w:sz="4" w:space="0"/>
              <w:right w:val="single" w:color="auto" w:sz="4" w:space="0"/>
            </w:tcBorders>
            <w:shd w:val="clear" w:color="auto" w:fill="auto"/>
            <w:vAlign w:val="center"/>
          </w:tcPr>
          <w:p w14:paraId="3436ADB4">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对前来登记培训需求及推荐培训项目的服务对象进行培训、就业情况跟踪登记</w:t>
            </w:r>
          </w:p>
        </w:tc>
      </w:tr>
      <w:tr w14:paraId="0B2D7EA7">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single" w:color="auto" w:sz="4" w:space="0"/>
              <w:right w:val="single" w:color="auto" w:sz="4" w:space="0"/>
            </w:tcBorders>
            <w:shd w:val="clear" w:color="auto" w:fill="auto"/>
            <w:vAlign w:val="center"/>
          </w:tcPr>
          <w:p w14:paraId="510A8AAA">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1C768CE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14</w:t>
            </w:r>
          </w:p>
        </w:tc>
        <w:tc>
          <w:tcPr>
            <w:tcW w:w="1272" w:type="dxa"/>
            <w:tcBorders>
              <w:top w:val="nil"/>
              <w:left w:val="nil"/>
              <w:bottom w:val="single" w:color="auto" w:sz="4" w:space="0"/>
              <w:right w:val="single" w:color="auto" w:sz="4" w:space="0"/>
            </w:tcBorders>
            <w:shd w:val="clear" w:color="auto" w:fill="auto"/>
            <w:vAlign w:val="center"/>
          </w:tcPr>
          <w:p w14:paraId="0B08380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用工摸排</w:t>
            </w:r>
          </w:p>
        </w:tc>
        <w:tc>
          <w:tcPr>
            <w:tcW w:w="7332" w:type="dxa"/>
            <w:tcBorders>
              <w:top w:val="nil"/>
              <w:left w:val="nil"/>
              <w:bottom w:val="single" w:color="auto" w:sz="4" w:space="0"/>
              <w:right w:val="single" w:color="auto" w:sz="4" w:space="0"/>
            </w:tcBorders>
            <w:shd w:val="clear" w:color="auto" w:fill="auto"/>
            <w:vAlign w:val="center"/>
          </w:tcPr>
          <w:p w14:paraId="555A7AF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对用人单位用工需求摸排登记</w:t>
            </w:r>
          </w:p>
        </w:tc>
      </w:tr>
      <w:tr w14:paraId="38194689">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single" w:color="auto" w:sz="4" w:space="0"/>
              <w:right w:val="single" w:color="auto" w:sz="4" w:space="0"/>
            </w:tcBorders>
            <w:shd w:val="clear" w:color="auto" w:fill="auto"/>
            <w:vAlign w:val="center"/>
          </w:tcPr>
          <w:p w14:paraId="6B60835D">
            <w:pPr>
              <w:jc w:val="center"/>
              <w:rPr>
                <w:rFonts w:ascii="Arial" w:hAnsi="Arial" w:cs="Arial"/>
                <w:b/>
                <w:bCs/>
                <w:color w:val="auto"/>
                <w:szCs w:val="21"/>
                <w:highlight w:val="none"/>
              </w:rPr>
            </w:pPr>
          </w:p>
        </w:tc>
        <w:tc>
          <w:tcPr>
            <w:tcW w:w="756" w:type="dxa"/>
            <w:vMerge w:val="restart"/>
            <w:tcBorders>
              <w:top w:val="nil"/>
              <w:left w:val="single" w:color="auto" w:sz="4" w:space="0"/>
              <w:bottom w:val="single" w:color="000000" w:sz="4" w:space="0"/>
              <w:right w:val="single" w:color="auto" w:sz="4" w:space="0"/>
            </w:tcBorders>
            <w:shd w:val="clear" w:color="auto" w:fill="auto"/>
            <w:vAlign w:val="center"/>
          </w:tcPr>
          <w:p w14:paraId="709C778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15</w:t>
            </w:r>
          </w:p>
        </w:tc>
        <w:tc>
          <w:tcPr>
            <w:tcW w:w="1272" w:type="dxa"/>
            <w:vMerge w:val="restart"/>
            <w:tcBorders>
              <w:top w:val="nil"/>
              <w:left w:val="single" w:color="auto" w:sz="4" w:space="0"/>
              <w:bottom w:val="single" w:color="000000" w:sz="4" w:space="0"/>
              <w:right w:val="single" w:color="auto" w:sz="4" w:space="0"/>
            </w:tcBorders>
            <w:shd w:val="clear" w:color="auto" w:fill="auto"/>
            <w:vAlign w:val="center"/>
          </w:tcPr>
          <w:p w14:paraId="3DA3444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用工服务</w:t>
            </w:r>
          </w:p>
        </w:tc>
        <w:tc>
          <w:tcPr>
            <w:tcW w:w="7332" w:type="dxa"/>
            <w:tcBorders>
              <w:top w:val="nil"/>
              <w:left w:val="nil"/>
              <w:bottom w:val="single" w:color="auto" w:sz="4" w:space="0"/>
              <w:right w:val="single" w:color="auto" w:sz="4" w:space="0"/>
            </w:tcBorders>
            <w:shd w:val="clear" w:color="auto" w:fill="auto"/>
            <w:vAlign w:val="center"/>
          </w:tcPr>
          <w:p w14:paraId="3B7FFCFD">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对我县承接的市级重点企业送工任务提供送工服务；</w:t>
            </w:r>
          </w:p>
        </w:tc>
      </w:tr>
      <w:tr w14:paraId="0EB9A444">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single" w:color="auto" w:sz="4" w:space="0"/>
              <w:right w:val="single" w:color="auto" w:sz="4" w:space="0"/>
            </w:tcBorders>
            <w:shd w:val="clear" w:color="auto" w:fill="auto"/>
            <w:vAlign w:val="center"/>
          </w:tcPr>
          <w:p w14:paraId="3CB3BA54">
            <w:pPr>
              <w:jc w:val="center"/>
              <w:rPr>
                <w:rFonts w:ascii="Arial" w:hAnsi="Arial" w:cs="Arial"/>
                <w:b/>
                <w:bCs/>
                <w:color w:val="auto"/>
                <w:szCs w:val="21"/>
                <w:highlight w:val="none"/>
              </w:rPr>
            </w:pPr>
          </w:p>
        </w:tc>
        <w:tc>
          <w:tcPr>
            <w:tcW w:w="756" w:type="dxa"/>
            <w:vMerge w:val="continue"/>
            <w:tcBorders>
              <w:top w:val="nil"/>
              <w:left w:val="single" w:color="auto" w:sz="4" w:space="0"/>
              <w:bottom w:val="single" w:color="000000" w:sz="4" w:space="0"/>
              <w:right w:val="single" w:color="auto" w:sz="4" w:space="0"/>
            </w:tcBorders>
            <w:shd w:val="clear" w:color="auto" w:fill="auto"/>
            <w:vAlign w:val="center"/>
          </w:tcPr>
          <w:p w14:paraId="56000A12">
            <w:pPr>
              <w:jc w:val="center"/>
              <w:rPr>
                <w:rFonts w:ascii="Arial" w:hAnsi="Arial" w:cs="Arial"/>
                <w:color w:val="auto"/>
                <w:szCs w:val="21"/>
                <w:highlight w:val="none"/>
              </w:rPr>
            </w:pPr>
          </w:p>
        </w:tc>
        <w:tc>
          <w:tcPr>
            <w:tcW w:w="1272" w:type="dxa"/>
            <w:vMerge w:val="continue"/>
            <w:tcBorders>
              <w:top w:val="nil"/>
              <w:left w:val="single" w:color="auto" w:sz="4" w:space="0"/>
              <w:bottom w:val="single" w:color="000000" w:sz="4" w:space="0"/>
              <w:right w:val="single" w:color="auto" w:sz="4" w:space="0"/>
            </w:tcBorders>
            <w:shd w:val="clear" w:color="auto" w:fill="auto"/>
            <w:vAlign w:val="center"/>
          </w:tcPr>
          <w:p w14:paraId="5A8F4169">
            <w:pPr>
              <w:jc w:val="center"/>
              <w:rPr>
                <w:rFonts w:ascii="Arial" w:hAnsi="Arial" w:cs="Arial"/>
                <w:color w:val="auto"/>
                <w:szCs w:val="21"/>
                <w:highlight w:val="none"/>
              </w:rPr>
            </w:pPr>
          </w:p>
        </w:tc>
        <w:tc>
          <w:tcPr>
            <w:tcW w:w="7332" w:type="dxa"/>
            <w:tcBorders>
              <w:top w:val="nil"/>
              <w:left w:val="nil"/>
              <w:bottom w:val="single" w:color="auto" w:sz="4" w:space="0"/>
              <w:right w:val="single" w:color="auto" w:sz="4" w:space="0"/>
            </w:tcBorders>
            <w:shd w:val="clear" w:color="auto" w:fill="auto"/>
            <w:vAlign w:val="center"/>
          </w:tcPr>
          <w:p w14:paraId="44CD301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对我县重点企业送工任务提供送工服务</w:t>
            </w:r>
          </w:p>
        </w:tc>
      </w:tr>
      <w:tr w14:paraId="2D7EF521">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single" w:color="auto" w:sz="4" w:space="0"/>
              <w:right w:val="single" w:color="auto" w:sz="4" w:space="0"/>
            </w:tcBorders>
            <w:shd w:val="clear" w:color="auto" w:fill="auto"/>
            <w:vAlign w:val="center"/>
          </w:tcPr>
          <w:p w14:paraId="02DF7F00">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5317E29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16</w:t>
            </w:r>
          </w:p>
        </w:tc>
        <w:tc>
          <w:tcPr>
            <w:tcW w:w="1272" w:type="dxa"/>
            <w:tcBorders>
              <w:top w:val="nil"/>
              <w:left w:val="nil"/>
              <w:bottom w:val="single" w:color="auto" w:sz="4" w:space="0"/>
              <w:right w:val="single" w:color="auto" w:sz="4" w:space="0"/>
            </w:tcBorders>
            <w:shd w:val="clear" w:color="auto" w:fill="auto"/>
            <w:vAlign w:val="center"/>
          </w:tcPr>
          <w:p w14:paraId="565D830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活动组织</w:t>
            </w:r>
          </w:p>
        </w:tc>
        <w:tc>
          <w:tcPr>
            <w:tcW w:w="7332" w:type="dxa"/>
            <w:tcBorders>
              <w:top w:val="nil"/>
              <w:left w:val="nil"/>
              <w:bottom w:val="single" w:color="auto" w:sz="4" w:space="0"/>
              <w:right w:val="single" w:color="auto" w:sz="4" w:space="0"/>
            </w:tcBorders>
            <w:shd w:val="clear" w:color="auto" w:fill="auto"/>
            <w:vAlign w:val="center"/>
          </w:tcPr>
          <w:p w14:paraId="5C791DF4">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定期组织招聘会、公益性技能培训、补贴性技能培训、政策宣讲等活动</w:t>
            </w:r>
          </w:p>
        </w:tc>
      </w:tr>
      <w:tr w14:paraId="165BDBB6">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single" w:color="auto" w:sz="4" w:space="0"/>
              <w:right w:val="single" w:color="auto" w:sz="4" w:space="0"/>
            </w:tcBorders>
            <w:shd w:val="clear" w:color="auto" w:fill="auto"/>
            <w:vAlign w:val="center"/>
          </w:tcPr>
          <w:p w14:paraId="7A8EC482">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5215A10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17</w:t>
            </w:r>
          </w:p>
        </w:tc>
        <w:tc>
          <w:tcPr>
            <w:tcW w:w="1272" w:type="dxa"/>
            <w:tcBorders>
              <w:top w:val="nil"/>
              <w:left w:val="nil"/>
              <w:bottom w:val="single" w:color="auto" w:sz="4" w:space="0"/>
              <w:right w:val="single" w:color="auto" w:sz="4" w:space="0"/>
            </w:tcBorders>
            <w:shd w:val="clear" w:color="auto" w:fill="auto"/>
            <w:vAlign w:val="center"/>
          </w:tcPr>
          <w:p w14:paraId="22CFF98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社会宣传</w:t>
            </w:r>
          </w:p>
        </w:tc>
        <w:tc>
          <w:tcPr>
            <w:tcW w:w="7332" w:type="dxa"/>
            <w:tcBorders>
              <w:top w:val="nil"/>
              <w:left w:val="nil"/>
              <w:bottom w:val="single" w:color="auto" w:sz="4" w:space="0"/>
              <w:right w:val="single" w:color="auto" w:sz="4" w:space="0"/>
            </w:tcBorders>
            <w:shd w:val="clear" w:color="auto" w:fill="auto"/>
            <w:vAlign w:val="center"/>
          </w:tcPr>
          <w:p w14:paraId="1FA4F51B">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资料配备、宣传推广</w:t>
            </w:r>
          </w:p>
        </w:tc>
      </w:tr>
      <w:tr w14:paraId="2E543C58">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single" w:color="auto" w:sz="4" w:space="0"/>
              <w:right w:val="single" w:color="auto" w:sz="4" w:space="0"/>
            </w:tcBorders>
            <w:shd w:val="clear" w:color="auto" w:fill="auto"/>
            <w:vAlign w:val="center"/>
          </w:tcPr>
          <w:p w14:paraId="5D0892DB">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2CF6CF2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18</w:t>
            </w:r>
          </w:p>
        </w:tc>
        <w:tc>
          <w:tcPr>
            <w:tcW w:w="1272" w:type="dxa"/>
            <w:tcBorders>
              <w:top w:val="nil"/>
              <w:left w:val="nil"/>
              <w:bottom w:val="single" w:color="auto" w:sz="4" w:space="0"/>
              <w:right w:val="single" w:color="auto" w:sz="4" w:space="0"/>
            </w:tcBorders>
            <w:shd w:val="clear" w:color="auto" w:fill="auto"/>
            <w:vAlign w:val="center"/>
          </w:tcPr>
          <w:p w14:paraId="1376AF3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规范配备</w:t>
            </w:r>
          </w:p>
        </w:tc>
        <w:tc>
          <w:tcPr>
            <w:tcW w:w="7332" w:type="dxa"/>
            <w:tcBorders>
              <w:top w:val="nil"/>
              <w:left w:val="nil"/>
              <w:bottom w:val="single" w:color="auto" w:sz="4" w:space="0"/>
              <w:right w:val="single" w:color="auto" w:sz="4" w:space="0"/>
            </w:tcBorders>
            <w:shd w:val="clear" w:color="auto" w:fill="auto"/>
            <w:vAlign w:val="center"/>
          </w:tcPr>
          <w:p w14:paraId="4B2D9259">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按照《规范配备标准》做好服务场所、服务设施、服务团队、服务标识、服务台账、服务系统等服务配备</w:t>
            </w:r>
          </w:p>
        </w:tc>
      </w:tr>
      <w:tr w14:paraId="621887F5">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single" w:color="auto" w:sz="4" w:space="0"/>
              <w:right w:val="single" w:color="auto" w:sz="4" w:space="0"/>
            </w:tcBorders>
            <w:shd w:val="clear" w:color="auto" w:fill="auto"/>
            <w:vAlign w:val="center"/>
          </w:tcPr>
          <w:p w14:paraId="709BD7E7">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25B6B44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19</w:t>
            </w:r>
          </w:p>
        </w:tc>
        <w:tc>
          <w:tcPr>
            <w:tcW w:w="1272" w:type="dxa"/>
            <w:tcBorders>
              <w:top w:val="nil"/>
              <w:left w:val="nil"/>
              <w:bottom w:val="single" w:color="auto" w:sz="4" w:space="0"/>
              <w:right w:val="single" w:color="auto" w:sz="4" w:space="0"/>
            </w:tcBorders>
            <w:shd w:val="clear" w:color="auto" w:fill="auto"/>
            <w:vAlign w:val="center"/>
          </w:tcPr>
          <w:p w14:paraId="6D2DD47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品牌建设</w:t>
            </w:r>
          </w:p>
        </w:tc>
        <w:tc>
          <w:tcPr>
            <w:tcW w:w="7332" w:type="dxa"/>
            <w:tcBorders>
              <w:top w:val="nil"/>
              <w:left w:val="nil"/>
              <w:bottom w:val="single" w:color="auto" w:sz="4" w:space="0"/>
              <w:right w:val="single" w:color="auto" w:sz="4" w:space="0"/>
            </w:tcBorders>
            <w:shd w:val="clear" w:color="auto" w:fill="auto"/>
            <w:vAlign w:val="center"/>
          </w:tcPr>
          <w:p w14:paraId="123DA611">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经验推广、正面报道、肯定表扬、现场观摩</w:t>
            </w:r>
          </w:p>
        </w:tc>
      </w:tr>
      <w:tr w14:paraId="6643DFB8">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single" w:color="auto" w:sz="4" w:space="0"/>
              <w:right w:val="single" w:color="auto" w:sz="4" w:space="0"/>
            </w:tcBorders>
            <w:shd w:val="clear" w:color="auto" w:fill="auto"/>
            <w:vAlign w:val="center"/>
          </w:tcPr>
          <w:p w14:paraId="62249B2B">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3161A04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20</w:t>
            </w:r>
          </w:p>
        </w:tc>
        <w:tc>
          <w:tcPr>
            <w:tcW w:w="1272" w:type="dxa"/>
            <w:tcBorders>
              <w:top w:val="nil"/>
              <w:left w:val="nil"/>
              <w:bottom w:val="single" w:color="auto" w:sz="4" w:space="0"/>
              <w:right w:val="single" w:color="auto" w:sz="4" w:space="0"/>
            </w:tcBorders>
            <w:shd w:val="clear" w:color="auto" w:fill="auto"/>
            <w:vAlign w:val="center"/>
          </w:tcPr>
          <w:p w14:paraId="094FA87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风险管控</w:t>
            </w:r>
          </w:p>
        </w:tc>
        <w:tc>
          <w:tcPr>
            <w:tcW w:w="7332" w:type="dxa"/>
            <w:tcBorders>
              <w:top w:val="nil"/>
              <w:left w:val="nil"/>
              <w:bottom w:val="single" w:color="auto" w:sz="4" w:space="0"/>
              <w:right w:val="single" w:color="auto" w:sz="4" w:space="0"/>
            </w:tcBorders>
            <w:shd w:val="clear" w:color="auto" w:fill="auto"/>
            <w:vAlign w:val="center"/>
          </w:tcPr>
          <w:p w14:paraId="4FFE34FE">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安全生产、违法乱纪、数据安全、负面舆情、违规收费</w:t>
            </w:r>
          </w:p>
        </w:tc>
      </w:tr>
    </w:tbl>
    <w:p w14:paraId="54EA81D1">
      <w:pPr>
        <w:rPr>
          <w:rFonts w:ascii="Arial" w:hAnsi="Arial" w:cs="Arial"/>
          <w:color w:val="auto"/>
          <w:kern w:val="0"/>
          <w:sz w:val="32"/>
          <w:szCs w:val="32"/>
          <w:highlight w:val="none"/>
          <w:lang w:bidi="ar"/>
        </w:rPr>
      </w:pPr>
      <w:r>
        <w:rPr>
          <w:rFonts w:ascii="Arial" w:hAnsi="Arial" w:cs="Arial"/>
          <w:color w:val="auto"/>
          <w:szCs w:val="21"/>
          <w:highlight w:val="none"/>
          <w:lang w:bidi="ar"/>
        </w:rPr>
        <w:br w:type="page"/>
      </w:r>
      <w:r>
        <w:rPr>
          <w:rFonts w:ascii="Arial" w:hAnsi="Arial" w:cs="Arial"/>
          <w:color w:val="auto"/>
          <w:kern w:val="0"/>
          <w:sz w:val="32"/>
          <w:szCs w:val="32"/>
          <w:highlight w:val="none"/>
          <w:lang w:bidi="ar"/>
        </w:rPr>
        <w:t>附件7</w:t>
      </w:r>
    </w:p>
    <w:tbl>
      <w:tblPr>
        <w:tblStyle w:val="35"/>
        <w:tblW w:w="10742" w:type="dxa"/>
        <w:tblInd w:w="-534" w:type="dxa"/>
        <w:tblLayout w:type="autofit"/>
        <w:tblCellMar>
          <w:top w:w="0" w:type="dxa"/>
          <w:left w:w="108" w:type="dxa"/>
          <w:bottom w:w="0" w:type="dxa"/>
          <w:right w:w="108" w:type="dxa"/>
        </w:tblCellMar>
      </w:tblPr>
      <w:tblGrid>
        <w:gridCol w:w="1200"/>
        <w:gridCol w:w="756"/>
        <w:gridCol w:w="1080"/>
        <w:gridCol w:w="7706"/>
      </w:tblGrid>
      <w:tr w14:paraId="137B89D2">
        <w:tblPrEx>
          <w:tblCellMar>
            <w:top w:w="0" w:type="dxa"/>
            <w:left w:w="108" w:type="dxa"/>
            <w:bottom w:w="0" w:type="dxa"/>
            <w:right w:w="108" w:type="dxa"/>
          </w:tblCellMar>
        </w:tblPrEx>
        <w:trPr>
          <w:trHeight w:val="304" w:hRule="atLeast"/>
        </w:trPr>
        <w:tc>
          <w:tcPr>
            <w:tcW w:w="1074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382FEF3">
            <w:pPr>
              <w:widowControl/>
              <w:jc w:val="center"/>
              <w:textAlignment w:val="center"/>
              <w:rPr>
                <w:rFonts w:ascii="Arial" w:hAnsi="Arial" w:cs="Arial"/>
                <w:color w:val="auto"/>
                <w:sz w:val="32"/>
                <w:szCs w:val="32"/>
                <w:highlight w:val="none"/>
              </w:rPr>
            </w:pPr>
            <w:r>
              <w:rPr>
                <w:rFonts w:ascii="Arial" w:hAnsi="Arial" w:cs="Arial"/>
                <w:color w:val="auto"/>
                <w:kern w:val="0"/>
                <w:sz w:val="32"/>
                <w:szCs w:val="32"/>
                <w:highlight w:val="none"/>
                <w:lang w:bidi="ar"/>
              </w:rPr>
              <w:t>宾阳县二级就业服务站服务事项清单</w:t>
            </w:r>
          </w:p>
        </w:tc>
      </w:tr>
      <w:tr w14:paraId="7CF3CF39">
        <w:tblPrEx>
          <w:tblCellMar>
            <w:top w:w="0" w:type="dxa"/>
            <w:left w:w="108" w:type="dxa"/>
            <w:bottom w:w="0" w:type="dxa"/>
            <w:right w:w="108" w:type="dxa"/>
          </w:tblCellMar>
        </w:tblPrEx>
        <w:trPr>
          <w:trHeight w:val="696" w:hRule="atLeast"/>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562F317">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服务类别</w:t>
            </w:r>
          </w:p>
        </w:tc>
        <w:tc>
          <w:tcPr>
            <w:tcW w:w="756" w:type="dxa"/>
            <w:tcBorders>
              <w:top w:val="single" w:color="auto" w:sz="4" w:space="0"/>
              <w:left w:val="nil"/>
              <w:bottom w:val="single" w:color="auto" w:sz="4" w:space="0"/>
              <w:right w:val="single" w:color="auto" w:sz="4" w:space="0"/>
            </w:tcBorders>
            <w:shd w:val="clear" w:color="auto" w:fill="auto"/>
            <w:vAlign w:val="center"/>
          </w:tcPr>
          <w:p w14:paraId="40147CDE">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序号</w:t>
            </w:r>
          </w:p>
        </w:tc>
        <w:tc>
          <w:tcPr>
            <w:tcW w:w="1080" w:type="dxa"/>
            <w:tcBorders>
              <w:top w:val="single" w:color="auto" w:sz="4" w:space="0"/>
              <w:left w:val="nil"/>
              <w:bottom w:val="single" w:color="auto" w:sz="4" w:space="0"/>
              <w:right w:val="single" w:color="auto" w:sz="4" w:space="0"/>
            </w:tcBorders>
            <w:shd w:val="clear" w:color="auto" w:fill="auto"/>
            <w:vAlign w:val="center"/>
          </w:tcPr>
          <w:p w14:paraId="6D071D5F">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服务事项</w:t>
            </w:r>
          </w:p>
        </w:tc>
        <w:tc>
          <w:tcPr>
            <w:tcW w:w="7706" w:type="dxa"/>
            <w:tcBorders>
              <w:top w:val="single" w:color="auto" w:sz="4" w:space="0"/>
              <w:left w:val="nil"/>
              <w:bottom w:val="single" w:color="auto" w:sz="4" w:space="0"/>
              <w:right w:val="single" w:color="auto" w:sz="4" w:space="0"/>
            </w:tcBorders>
            <w:shd w:val="clear" w:color="auto" w:fill="auto"/>
            <w:vAlign w:val="center"/>
          </w:tcPr>
          <w:p w14:paraId="44FEC5B7">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服务内容</w:t>
            </w:r>
          </w:p>
        </w:tc>
      </w:tr>
      <w:tr w14:paraId="446AEA6E">
        <w:tblPrEx>
          <w:tblCellMar>
            <w:top w:w="0" w:type="dxa"/>
            <w:left w:w="108" w:type="dxa"/>
            <w:bottom w:w="0" w:type="dxa"/>
            <w:right w:w="108" w:type="dxa"/>
          </w:tblCellMar>
        </w:tblPrEx>
        <w:trPr>
          <w:trHeight w:val="90" w:hRule="atLeast"/>
        </w:trPr>
        <w:tc>
          <w:tcPr>
            <w:tcW w:w="1200" w:type="dxa"/>
            <w:vMerge w:val="restart"/>
            <w:tcBorders>
              <w:top w:val="nil"/>
              <w:left w:val="single" w:color="auto" w:sz="4" w:space="0"/>
              <w:bottom w:val="nil"/>
              <w:right w:val="single" w:color="auto" w:sz="4" w:space="0"/>
            </w:tcBorders>
            <w:shd w:val="clear" w:color="auto" w:fill="auto"/>
            <w:vAlign w:val="center"/>
          </w:tcPr>
          <w:p w14:paraId="3061C46E">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劳动者</w:t>
            </w:r>
            <w:r>
              <w:rPr>
                <w:rFonts w:ascii="Arial" w:hAnsi="Arial" w:cs="Arial"/>
                <w:b/>
                <w:bCs/>
                <w:color w:val="auto"/>
                <w:kern w:val="0"/>
                <w:szCs w:val="21"/>
                <w:highlight w:val="none"/>
                <w:lang w:bidi="ar"/>
              </w:rPr>
              <w:br w:type="textWrapping"/>
            </w:r>
            <w:r>
              <w:rPr>
                <w:rFonts w:ascii="Arial" w:hAnsi="Arial" w:cs="Arial"/>
                <w:b/>
                <w:bCs/>
                <w:color w:val="auto"/>
                <w:kern w:val="0"/>
                <w:szCs w:val="21"/>
                <w:highlight w:val="none"/>
                <w:lang w:bidi="ar"/>
              </w:rPr>
              <w:t>（对外公开）</w:t>
            </w:r>
          </w:p>
        </w:tc>
        <w:tc>
          <w:tcPr>
            <w:tcW w:w="756" w:type="dxa"/>
            <w:vMerge w:val="restart"/>
            <w:tcBorders>
              <w:top w:val="nil"/>
              <w:left w:val="single" w:color="auto" w:sz="4" w:space="0"/>
              <w:bottom w:val="single" w:color="000000" w:sz="4" w:space="0"/>
              <w:right w:val="single" w:color="auto" w:sz="4" w:space="0"/>
            </w:tcBorders>
            <w:shd w:val="clear" w:color="auto" w:fill="auto"/>
            <w:vAlign w:val="center"/>
          </w:tcPr>
          <w:p w14:paraId="31B97A3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w:t>
            </w: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33926A0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咨询服务</w:t>
            </w:r>
          </w:p>
        </w:tc>
        <w:tc>
          <w:tcPr>
            <w:tcW w:w="7706" w:type="dxa"/>
            <w:tcBorders>
              <w:top w:val="nil"/>
              <w:left w:val="nil"/>
              <w:bottom w:val="single" w:color="auto" w:sz="4" w:space="0"/>
              <w:right w:val="single" w:color="auto" w:sz="4" w:space="0"/>
            </w:tcBorders>
            <w:shd w:val="clear" w:color="auto" w:fill="auto"/>
            <w:vAlign w:val="center"/>
          </w:tcPr>
          <w:p w14:paraId="12FB0E93">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就业创业政策宣传、服务咨询、信息查询；</w:t>
            </w:r>
          </w:p>
        </w:tc>
      </w:tr>
      <w:tr w14:paraId="2FC9B067">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nil"/>
              <w:right w:val="single" w:color="auto" w:sz="4" w:space="0"/>
            </w:tcBorders>
            <w:shd w:val="clear" w:color="auto" w:fill="auto"/>
            <w:vAlign w:val="center"/>
          </w:tcPr>
          <w:p w14:paraId="54B04D4F">
            <w:pPr>
              <w:jc w:val="center"/>
              <w:rPr>
                <w:rFonts w:ascii="Arial" w:hAnsi="Arial" w:cs="Arial"/>
                <w:b/>
                <w:bCs/>
                <w:color w:val="auto"/>
                <w:szCs w:val="21"/>
                <w:highlight w:val="none"/>
              </w:rPr>
            </w:pPr>
          </w:p>
        </w:tc>
        <w:tc>
          <w:tcPr>
            <w:tcW w:w="756" w:type="dxa"/>
            <w:vMerge w:val="continue"/>
            <w:tcBorders>
              <w:top w:val="nil"/>
              <w:left w:val="single" w:color="auto" w:sz="4" w:space="0"/>
              <w:bottom w:val="single" w:color="000000" w:sz="4" w:space="0"/>
              <w:right w:val="single" w:color="auto" w:sz="4" w:space="0"/>
            </w:tcBorders>
            <w:shd w:val="clear" w:color="auto" w:fill="auto"/>
            <w:vAlign w:val="center"/>
          </w:tcPr>
          <w:p w14:paraId="0A92B741">
            <w:pPr>
              <w:jc w:val="center"/>
              <w:rPr>
                <w:rFonts w:ascii="Arial" w:hAnsi="Arial" w:cs="Arial"/>
                <w:color w:val="auto"/>
                <w:szCs w:val="21"/>
                <w:highlight w:val="none"/>
              </w:rPr>
            </w:pPr>
          </w:p>
        </w:tc>
        <w:tc>
          <w:tcPr>
            <w:tcW w:w="1080" w:type="dxa"/>
            <w:vMerge w:val="continue"/>
            <w:tcBorders>
              <w:top w:val="nil"/>
              <w:left w:val="single" w:color="auto" w:sz="4" w:space="0"/>
              <w:bottom w:val="single" w:color="000000" w:sz="4" w:space="0"/>
              <w:right w:val="single" w:color="auto" w:sz="4" w:space="0"/>
            </w:tcBorders>
            <w:shd w:val="clear" w:color="auto" w:fill="auto"/>
            <w:vAlign w:val="center"/>
          </w:tcPr>
          <w:p w14:paraId="398CED24">
            <w:pPr>
              <w:jc w:val="center"/>
              <w:rPr>
                <w:rFonts w:ascii="Arial" w:hAnsi="Arial" w:cs="Arial"/>
                <w:color w:val="auto"/>
                <w:szCs w:val="21"/>
                <w:highlight w:val="none"/>
              </w:rPr>
            </w:pPr>
          </w:p>
        </w:tc>
        <w:tc>
          <w:tcPr>
            <w:tcW w:w="7706" w:type="dxa"/>
            <w:tcBorders>
              <w:top w:val="nil"/>
              <w:left w:val="nil"/>
              <w:bottom w:val="single" w:color="auto" w:sz="4" w:space="0"/>
              <w:right w:val="single" w:color="auto" w:sz="4" w:space="0"/>
            </w:tcBorders>
            <w:shd w:val="clear" w:color="auto" w:fill="auto"/>
            <w:vAlign w:val="center"/>
          </w:tcPr>
          <w:p w14:paraId="6E723E37">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就业失业登记、就业困难人员认定、就业创业补贴申领等业务办理指引</w:t>
            </w:r>
          </w:p>
        </w:tc>
      </w:tr>
      <w:tr w14:paraId="6B56F095">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nil"/>
              <w:right w:val="single" w:color="auto" w:sz="4" w:space="0"/>
            </w:tcBorders>
            <w:shd w:val="clear" w:color="auto" w:fill="auto"/>
            <w:vAlign w:val="center"/>
          </w:tcPr>
          <w:p w14:paraId="678132F6">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628CF58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2</w:t>
            </w:r>
          </w:p>
        </w:tc>
        <w:tc>
          <w:tcPr>
            <w:tcW w:w="1080" w:type="dxa"/>
            <w:tcBorders>
              <w:top w:val="nil"/>
              <w:left w:val="nil"/>
              <w:bottom w:val="single" w:color="auto" w:sz="4" w:space="0"/>
              <w:right w:val="single" w:color="auto" w:sz="4" w:space="0"/>
            </w:tcBorders>
            <w:shd w:val="clear" w:color="auto" w:fill="auto"/>
            <w:vAlign w:val="center"/>
          </w:tcPr>
          <w:p w14:paraId="54B37CE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求职服务</w:t>
            </w:r>
          </w:p>
        </w:tc>
        <w:tc>
          <w:tcPr>
            <w:tcW w:w="7706" w:type="dxa"/>
            <w:tcBorders>
              <w:top w:val="nil"/>
              <w:left w:val="nil"/>
              <w:bottom w:val="single" w:color="auto" w:sz="4" w:space="0"/>
              <w:right w:val="single" w:color="auto" w:sz="4" w:space="0"/>
            </w:tcBorders>
            <w:shd w:val="clear" w:color="auto" w:fill="auto"/>
            <w:vAlign w:val="center"/>
          </w:tcPr>
          <w:p w14:paraId="04CA98DC">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求职登记（含“找零工”登记）、职业指导、岗位推荐、招聘会信息推送</w:t>
            </w:r>
          </w:p>
        </w:tc>
      </w:tr>
      <w:tr w14:paraId="4FBDCE96">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nil"/>
              <w:right w:val="single" w:color="auto" w:sz="4" w:space="0"/>
            </w:tcBorders>
            <w:shd w:val="clear" w:color="auto" w:fill="auto"/>
            <w:vAlign w:val="center"/>
          </w:tcPr>
          <w:p w14:paraId="01587AF8">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3A7232D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3</w:t>
            </w:r>
          </w:p>
        </w:tc>
        <w:tc>
          <w:tcPr>
            <w:tcW w:w="1080" w:type="dxa"/>
            <w:tcBorders>
              <w:top w:val="nil"/>
              <w:left w:val="nil"/>
              <w:bottom w:val="single" w:color="auto" w:sz="4" w:space="0"/>
              <w:right w:val="single" w:color="auto" w:sz="4" w:space="0"/>
            </w:tcBorders>
            <w:shd w:val="clear" w:color="auto" w:fill="auto"/>
            <w:vAlign w:val="center"/>
          </w:tcPr>
          <w:p w14:paraId="4A16400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技能培训</w:t>
            </w:r>
          </w:p>
        </w:tc>
        <w:tc>
          <w:tcPr>
            <w:tcW w:w="7706" w:type="dxa"/>
            <w:tcBorders>
              <w:top w:val="nil"/>
              <w:left w:val="nil"/>
              <w:bottom w:val="single" w:color="auto" w:sz="4" w:space="0"/>
              <w:right w:val="single" w:color="auto" w:sz="4" w:space="0"/>
            </w:tcBorders>
            <w:shd w:val="clear" w:color="auto" w:fill="auto"/>
            <w:vAlign w:val="center"/>
          </w:tcPr>
          <w:p w14:paraId="52A2EF29">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培训需求登记、培训机构信息查询、培训项目推荐、培训开班计划查询、培训补贴申领指引</w:t>
            </w:r>
          </w:p>
        </w:tc>
      </w:tr>
      <w:tr w14:paraId="7F1E35FA">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nil"/>
              <w:right w:val="single" w:color="auto" w:sz="4" w:space="0"/>
            </w:tcBorders>
            <w:shd w:val="clear" w:color="auto" w:fill="auto"/>
            <w:vAlign w:val="center"/>
          </w:tcPr>
          <w:p w14:paraId="3FAB3067">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256CA61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4</w:t>
            </w:r>
          </w:p>
        </w:tc>
        <w:tc>
          <w:tcPr>
            <w:tcW w:w="1080" w:type="dxa"/>
            <w:tcBorders>
              <w:top w:val="nil"/>
              <w:left w:val="nil"/>
              <w:bottom w:val="single" w:color="auto" w:sz="4" w:space="0"/>
              <w:right w:val="single" w:color="auto" w:sz="4" w:space="0"/>
            </w:tcBorders>
            <w:shd w:val="clear" w:color="auto" w:fill="auto"/>
            <w:vAlign w:val="center"/>
          </w:tcPr>
          <w:p w14:paraId="542C0BC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创业指导</w:t>
            </w:r>
          </w:p>
        </w:tc>
        <w:tc>
          <w:tcPr>
            <w:tcW w:w="7706" w:type="dxa"/>
            <w:tcBorders>
              <w:top w:val="nil"/>
              <w:left w:val="nil"/>
              <w:bottom w:val="single" w:color="auto" w:sz="4" w:space="0"/>
              <w:right w:val="single" w:color="auto" w:sz="4" w:space="0"/>
            </w:tcBorders>
            <w:shd w:val="clear" w:color="auto" w:fill="auto"/>
            <w:vAlign w:val="center"/>
          </w:tcPr>
          <w:p w14:paraId="38CBD7A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创业担保贷款申请指导、创业项目推介、创业扶持补贴申领指引</w:t>
            </w:r>
          </w:p>
        </w:tc>
      </w:tr>
      <w:tr w14:paraId="40137AF7">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nil"/>
              <w:right w:val="single" w:color="auto" w:sz="4" w:space="0"/>
            </w:tcBorders>
            <w:shd w:val="clear" w:color="auto" w:fill="auto"/>
            <w:vAlign w:val="center"/>
          </w:tcPr>
          <w:p w14:paraId="4509BD1E">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21A90722">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5</w:t>
            </w:r>
          </w:p>
        </w:tc>
        <w:tc>
          <w:tcPr>
            <w:tcW w:w="1080" w:type="dxa"/>
            <w:tcBorders>
              <w:top w:val="nil"/>
              <w:left w:val="nil"/>
              <w:bottom w:val="single" w:color="auto" w:sz="4" w:space="0"/>
              <w:right w:val="single" w:color="auto" w:sz="4" w:space="0"/>
            </w:tcBorders>
            <w:shd w:val="clear" w:color="auto" w:fill="auto"/>
            <w:vAlign w:val="center"/>
          </w:tcPr>
          <w:p w14:paraId="6C83780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就业援助</w:t>
            </w:r>
          </w:p>
        </w:tc>
        <w:tc>
          <w:tcPr>
            <w:tcW w:w="7706" w:type="dxa"/>
            <w:tcBorders>
              <w:top w:val="nil"/>
              <w:left w:val="nil"/>
              <w:bottom w:val="single" w:color="auto" w:sz="4" w:space="0"/>
              <w:right w:val="single" w:color="auto" w:sz="4" w:space="0"/>
            </w:tcBorders>
            <w:shd w:val="clear" w:color="auto" w:fill="auto"/>
            <w:vAlign w:val="center"/>
          </w:tcPr>
          <w:p w14:paraId="0AA03B66">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对城镇零就业家庭劳动者、防止返贫监测对象家庭劳动者等特殊困难人群提供就业跟踪帮扶</w:t>
            </w:r>
          </w:p>
        </w:tc>
      </w:tr>
      <w:tr w14:paraId="530838B6">
        <w:tblPrEx>
          <w:tblCellMar>
            <w:top w:w="0" w:type="dxa"/>
            <w:left w:w="108" w:type="dxa"/>
            <w:bottom w:w="0" w:type="dxa"/>
            <w:right w:w="108" w:type="dxa"/>
          </w:tblCellMar>
        </w:tblPrEx>
        <w:trPr>
          <w:trHeight w:val="90" w:hRule="atLeast"/>
        </w:trPr>
        <w:tc>
          <w:tcPr>
            <w:tcW w:w="1200" w:type="dxa"/>
            <w:vMerge w:val="continue"/>
            <w:tcBorders>
              <w:top w:val="nil"/>
              <w:left w:val="single" w:color="auto" w:sz="4" w:space="0"/>
              <w:bottom w:val="nil"/>
              <w:right w:val="single" w:color="auto" w:sz="4" w:space="0"/>
            </w:tcBorders>
            <w:shd w:val="clear" w:color="auto" w:fill="auto"/>
            <w:vAlign w:val="center"/>
          </w:tcPr>
          <w:p w14:paraId="46613770">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1A989822">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6</w:t>
            </w:r>
          </w:p>
        </w:tc>
        <w:tc>
          <w:tcPr>
            <w:tcW w:w="1080" w:type="dxa"/>
            <w:tcBorders>
              <w:top w:val="nil"/>
              <w:left w:val="nil"/>
              <w:bottom w:val="single" w:color="auto" w:sz="4" w:space="0"/>
              <w:right w:val="single" w:color="auto" w:sz="4" w:space="0"/>
            </w:tcBorders>
            <w:shd w:val="clear" w:color="auto" w:fill="auto"/>
            <w:vAlign w:val="center"/>
          </w:tcPr>
          <w:p w14:paraId="6B111F0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劳动维权</w:t>
            </w:r>
          </w:p>
        </w:tc>
        <w:tc>
          <w:tcPr>
            <w:tcW w:w="7706" w:type="dxa"/>
            <w:tcBorders>
              <w:top w:val="nil"/>
              <w:left w:val="nil"/>
              <w:bottom w:val="single" w:color="auto" w:sz="4" w:space="0"/>
              <w:right w:val="single" w:color="auto" w:sz="4" w:space="0"/>
            </w:tcBorders>
            <w:shd w:val="clear" w:color="auto" w:fill="auto"/>
            <w:vAlign w:val="center"/>
          </w:tcPr>
          <w:p w14:paraId="0AE01EB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劳动者工资、社保等合法权益维权指引</w:t>
            </w:r>
          </w:p>
        </w:tc>
      </w:tr>
      <w:tr w14:paraId="666DA98C">
        <w:tblPrEx>
          <w:tblCellMar>
            <w:top w:w="0" w:type="dxa"/>
            <w:left w:w="108" w:type="dxa"/>
            <w:bottom w:w="0" w:type="dxa"/>
            <w:right w:w="108" w:type="dxa"/>
          </w:tblCellMar>
        </w:tblPrEx>
        <w:trPr>
          <w:trHeight w:val="90" w:hRule="atLeast"/>
        </w:trPr>
        <w:tc>
          <w:tcPr>
            <w:tcW w:w="1200" w:type="dxa"/>
            <w:vMerge w:val="restart"/>
            <w:tcBorders>
              <w:top w:val="single" w:color="auto" w:sz="4" w:space="0"/>
              <w:left w:val="single" w:color="auto" w:sz="4" w:space="0"/>
              <w:bottom w:val="nil"/>
              <w:right w:val="single" w:color="auto" w:sz="4" w:space="0"/>
            </w:tcBorders>
            <w:shd w:val="clear" w:color="auto" w:fill="auto"/>
            <w:vAlign w:val="center"/>
          </w:tcPr>
          <w:p w14:paraId="7D748836">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用人单位（对外公开）</w:t>
            </w:r>
          </w:p>
        </w:tc>
        <w:tc>
          <w:tcPr>
            <w:tcW w:w="756" w:type="dxa"/>
            <w:vMerge w:val="restart"/>
            <w:tcBorders>
              <w:top w:val="nil"/>
              <w:left w:val="single" w:color="auto" w:sz="4" w:space="0"/>
              <w:bottom w:val="single" w:color="000000" w:sz="4" w:space="0"/>
              <w:right w:val="single" w:color="auto" w:sz="4" w:space="0"/>
            </w:tcBorders>
            <w:shd w:val="clear" w:color="auto" w:fill="auto"/>
            <w:vAlign w:val="center"/>
          </w:tcPr>
          <w:p w14:paraId="7A9A879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7</w:t>
            </w:r>
          </w:p>
        </w:tc>
        <w:tc>
          <w:tcPr>
            <w:tcW w:w="1080" w:type="dxa"/>
            <w:vMerge w:val="restart"/>
            <w:tcBorders>
              <w:top w:val="nil"/>
              <w:left w:val="single" w:color="auto" w:sz="4" w:space="0"/>
              <w:bottom w:val="single" w:color="000000" w:sz="4" w:space="0"/>
              <w:right w:val="single" w:color="auto" w:sz="4" w:space="0"/>
            </w:tcBorders>
            <w:shd w:val="clear" w:color="auto" w:fill="auto"/>
            <w:vAlign w:val="center"/>
          </w:tcPr>
          <w:p w14:paraId="15515F9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咨询服务</w:t>
            </w:r>
          </w:p>
        </w:tc>
        <w:tc>
          <w:tcPr>
            <w:tcW w:w="7706" w:type="dxa"/>
            <w:tcBorders>
              <w:top w:val="nil"/>
              <w:left w:val="nil"/>
              <w:bottom w:val="single" w:color="auto" w:sz="4" w:space="0"/>
              <w:right w:val="single" w:color="auto" w:sz="4" w:space="0"/>
            </w:tcBorders>
            <w:shd w:val="clear" w:color="auto" w:fill="auto"/>
            <w:vAlign w:val="center"/>
          </w:tcPr>
          <w:p w14:paraId="6DCCD754">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政策宣传、服务咨询、信息查询；</w:t>
            </w:r>
          </w:p>
        </w:tc>
      </w:tr>
      <w:tr w14:paraId="7C36AE27">
        <w:tblPrEx>
          <w:tblCellMar>
            <w:top w:w="0" w:type="dxa"/>
            <w:left w:w="108" w:type="dxa"/>
            <w:bottom w:w="0" w:type="dxa"/>
            <w:right w:w="108" w:type="dxa"/>
          </w:tblCellMar>
        </w:tblPrEx>
        <w:trPr>
          <w:trHeight w:val="90" w:hRule="atLeast"/>
        </w:trPr>
        <w:tc>
          <w:tcPr>
            <w:tcW w:w="1200" w:type="dxa"/>
            <w:vMerge w:val="continue"/>
            <w:tcBorders>
              <w:top w:val="single" w:color="auto" w:sz="4" w:space="0"/>
              <w:left w:val="single" w:color="auto" w:sz="4" w:space="0"/>
              <w:bottom w:val="nil"/>
              <w:right w:val="single" w:color="auto" w:sz="4" w:space="0"/>
            </w:tcBorders>
            <w:shd w:val="clear" w:color="auto" w:fill="auto"/>
            <w:vAlign w:val="center"/>
          </w:tcPr>
          <w:p w14:paraId="180E5FC4">
            <w:pPr>
              <w:jc w:val="center"/>
              <w:rPr>
                <w:rFonts w:ascii="Arial" w:hAnsi="Arial" w:cs="Arial"/>
                <w:b/>
                <w:bCs/>
                <w:color w:val="auto"/>
                <w:szCs w:val="21"/>
                <w:highlight w:val="none"/>
              </w:rPr>
            </w:pPr>
          </w:p>
        </w:tc>
        <w:tc>
          <w:tcPr>
            <w:tcW w:w="756" w:type="dxa"/>
            <w:vMerge w:val="continue"/>
            <w:tcBorders>
              <w:top w:val="nil"/>
              <w:left w:val="single" w:color="auto" w:sz="4" w:space="0"/>
              <w:bottom w:val="single" w:color="000000" w:sz="4" w:space="0"/>
              <w:right w:val="single" w:color="auto" w:sz="4" w:space="0"/>
            </w:tcBorders>
            <w:shd w:val="clear" w:color="auto" w:fill="auto"/>
            <w:vAlign w:val="center"/>
          </w:tcPr>
          <w:p w14:paraId="7A7C9800">
            <w:pPr>
              <w:jc w:val="center"/>
              <w:rPr>
                <w:rFonts w:ascii="Arial" w:hAnsi="Arial" w:cs="Arial"/>
                <w:color w:val="auto"/>
                <w:szCs w:val="21"/>
                <w:highlight w:val="none"/>
              </w:rPr>
            </w:pPr>
          </w:p>
        </w:tc>
        <w:tc>
          <w:tcPr>
            <w:tcW w:w="1080" w:type="dxa"/>
            <w:vMerge w:val="continue"/>
            <w:tcBorders>
              <w:top w:val="nil"/>
              <w:left w:val="single" w:color="auto" w:sz="4" w:space="0"/>
              <w:bottom w:val="single" w:color="000000" w:sz="4" w:space="0"/>
              <w:right w:val="single" w:color="auto" w:sz="4" w:space="0"/>
            </w:tcBorders>
            <w:shd w:val="clear" w:color="auto" w:fill="auto"/>
            <w:vAlign w:val="center"/>
          </w:tcPr>
          <w:p w14:paraId="18E021E0">
            <w:pPr>
              <w:jc w:val="center"/>
              <w:rPr>
                <w:rFonts w:ascii="Arial" w:hAnsi="Arial" w:cs="Arial"/>
                <w:color w:val="auto"/>
                <w:szCs w:val="21"/>
                <w:highlight w:val="none"/>
              </w:rPr>
            </w:pPr>
          </w:p>
        </w:tc>
        <w:tc>
          <w:tcPr>
            <w:tcW w:w="7706" w:type="dxa"/>
            <w:tcBorders>
              <w:top w:val="nil"/>
              <w:left w:val="nil"/>
              <w:bottom w:val="single" w:color="auto" w:sz="4" w:space="0"/>
              <w:right w:val="single" w:color="auto" w:sz="4" w:space="0"/>
            </w:tcBorders>
            <w:shd w:val="clear" w:color="auto" w:fill="auto"/>
            <w:vAlign w:val="center"/>
          </w:tcPr>
          <w:p w14:paraId="69805B2D">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吸纳重点人群就业有关稳岗、培训、社保等补贴申领指引</w:t>
            </w:r>
          </w:p>
        </w:tc>
      </w:tr>
      <w:tr w14:paraId="21D45AB0">
        <w:tblPrEx>
          <w:tblCellMar>
            <w:top w:w="0" w:type="dxa"/>
            <w:left w:w="108" w:type="dxa"/>
            <w:bottom w:w="0" w:type="dxa"/>
            <w:right w:w="108" w:type="dxa"/>
          </w:tblCellMar>
        </w:tblPrEx>
        <w:trPr>
          <w:trHeight w:val="90" w:hRule="atLeast"/>
        </w:trPr>
        <w:tc>
          <w:tcPr>
            <w:tcW w:w="1200" w:type="dxa"/>
            <w:vMerge w:val="continue"/>
            <w:tcBorders>
              <w:top w:val="single" w:color="auto" w:sz="4" w:space="0"/>
              <w:left w:val="single" w:color="auto" w:sz="4" w:space="0"/>
              <w:bottom w:val="nil"/>
              <w:right w:val="single" w:color="auto" w:sz="4" w:space="0"/>
            </w:tcBorders>
            <w:shd w:val="clear" w:color="auto" w:fill="auto"/>
            <w:vAlign w:val="center"/>
          </w:tcPr>
          <w:p w14:paraId="58C40215">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7290B97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8</w:t>
            </w:r>
          </w:p>
        </w:tc>
        <w:tc>
          <w:tcPr>
            <w:tcW w:w="1080" w:type="dxa"/>
            <w:tcBorders>
              <w:top w:val="nil"/>
              <w:left w:val="nil"/>
              <w:bottom w:val="single" w:color="auto" w:sz="4" w:space="0"/>
              <w:right w:val="single" w:color="auto" w:sz="4" w:space="0"/>
            </w:tcBorders>
            <w:shd w:val="clear" w:color="auto" w:fill="auto"/>
            <w:vAlign w:val="center"/>
          </w:tcPr>
          <w:p w14:paraId="3528024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招工服务</w:t>
            </w:r>
          </w:p>
        </w:tc>
        <w:tc>
          <w:tcPr>
            <w:tcW w:w="7706" w:type="dxa"/>
            <w:tcBorders>
              <w:top w:val="nil"/>
              <w:left w:val="nil"/>
              <w:bottom w:val="single" w:color="auto" w:sz="4" w:space="0"/>
              <w:right w:val="single" w:color="auto" w:sz="4" w:space="0"/>
            </w:tcBorders>
            <w:shd w:val="clear" w:color="auto" w:fill="auto"/>
            <w:vAlign w:val="center"/>
          </w:tcPr>
          <w:p w14:paraId="5AEBC43E">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用工信息登记、用工信息发布、求职人员推荐、招聘会等公共就业服务活动推荐</w:t>
            </w:r>
          </w:p>
        </w:tc>
      </w:tr>
      <w:tr w14:paraId="106E295B">
        <w:tblPrEx>
          <w:tblCellMar>
            <w:top w:w="0" w:type="dxa"/>
            <w:left w:w="108" w:type="dxa"/>
            <w:bottom w:w="0" w:type="dxa"/>
            <w:right w:w="108" w:type="dxa"/>
          </w:tblCellMar>
        </w:tblPrEx>
        <w:trPr>
          <w:trHeight w:val="90" w:hRule="atLeast"/>
        </w:trPr>
        <w:tc>
          <w:tcPr>
            <w:tcW w:w="1200" w:type="dxa"/>
            <w:vMerge w:val="continue"/>
            <w:tcBorders>
              <w:top w:val="single" w:color="auto" w:sz="4" w:space="0"/>
              <w:left w:val="single" w:color="auto" w:sz="4" w:space="0"/>
              <w:bottom w:val="nil"/>
              <w:right w:val="single" w:color="auto" w:sz="4" w:space="0"/>
            </w:tcBorders>
            <w:shd w:val="clear" w:color="auto" w:fill="auto"/>
            <w:vAlign w:val="center"/>
          </w:tcPr>
          <w:p w14:paraId="6AA7D572">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43B4698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9</w:t>
            </w:r>
          </w:p>
        </w:tc>
        <w:tc>
          <w:tcPr>
            <w:tcW w:w="1080" w:type="dxa"/>
            <w:tcBorders>
              <w:top w:val="nil"/>
              <w:left w:val="nil"/>
              <w:bottom w:val="single" w:color="auto" w:sz="4" w:space="0"/>
              <w:right w:val="single" w:color="auto" w:sz="4" w:space="0"/>
            </w:tcBorders>
            <w:shd w:val="clear" w:color="auto" w:fill="auto"/>
            <w:vAlign w:val="center"/>
          </w:tcPr>
          <w:p w14:paraId="7B4053B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创业服务</w:t>
            </w:r>
          </w:p>
        </w:tc>
        <w:tc>
          <w:tcPr>
            <w:tcW w:w="7706" w:type="dxa"/>
            <w:tcBorders>
              <w:top w:val="nil"/>
              <w:left w:val="nil"/>
              <w:bottom w:val="single" w:color="auto" w:sz="4" w:space="0"/>
              <w:right w:val="single" w:color="auto" w:sz="4" w:space="0"/>
            </w:tcBorders>
            <w:shd w:val="clear" w:color="auto" w:fill="auto"/>
            <w:vAlign w:val="center"/>
          </w:tcPr>
          <w:p w14:paraId="6DD7F20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创业担保贷款办理指引、创业扶持补贴申领指引</w:t>
            </w:r>
          </w:p>
        </w:tc>
      </w:tr>
      <w:tr w14:paraId="7205C822">
        <w:tblPrEx>
          <w:tblCellMar>
            <w:top w:w="0" w:type="dxa"/>
            <w:left w:w="108" w:type="dxa"/>
            <w:bottom w:w="0" w:type="dxa"/>
            <w:right w:w="108" w:type="dxa"/>
          </w:tblCellMar>
        </w:tblPrEx>
        <w:trPr>
          <w:trHeight w:val="90" w:hRule="atLeast"/>
        </w:trPr>
        <w:tc>
          <w:tcPr>
            <w:tcW w:w="1200" w:type="dxa"/>
            <w:vMerge w:val="continue"/>
            <w:tcBorders>
              <w:top w:val="single" w:color="auto" w:sz="4" w:space="0"/>
              <w:left w:val="single" w:color="auto" w:sz="4" w:space="0"/>
              <w:bottom w:val="nil"/>
              <w:right w:val="single" w:color="auto" w:sz="4" w:space="0"/>
            </w:tcBorders>
            <w:shd w:val="clear" w:color="auto" w:fill="auto"/>
            <w:vAlign w:val="center"/>
          </w:tcPr>
          <w:p w14:paraId="6D353DEE">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2E95C44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10</w:t>
            </w:r>
          </w:p>
        </w:tc>
        <w:tc>
          <w:tcPr>
            <w:tcW w:w="1080" w:type="dxa"/>
            <w:tcBorders>
              <w:top w:val="nil"/>
              <w:left w:val="nil"/>
              <w:bottom w:val="single" w:color="auto" w:sz="4" w:space="0"/>
              <w:right w:val="single" w:color="auto" w:sz="4" w:space="0"/>
            </w:tcBorders>
            <w:shd w:val="clear" w:color="auto" w:fill="auto"/>
            <w:vAlign w:val="center"/>
          </w:tcPr>
          <w:p w14:paraId="4298AD1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技能培训</w:t>
            </w:r>
          </w:p>
        </w:tc>
        <w:tc>
          <w:tcPr>
            <w:tcW w:w="7706" w:type="dxa"/>
            <w:tcBorders>
              <w:top w:val="nil"/>
              <w:left w:val="nil"/>
              <w:bottom w:val="single" w:color="auto" w:sz="4" w:space="0"/>
              <w:right w:val="single" w:color="auto" w:sz="4" w:space="0"/>
            </w:tcBorders>
            <w:shd w:val="clear" w:color="auto" w:fill="auto"/>
            <w:vAlign w:val="center"/>
          </w:tcPr>
          <w:p w14:paraId="76353381">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培训需求登记、培训机构信息查询、培训项目推荐、培训开班计划查询、培训补贴申领指引</w:t>
            </w:r>
          </w:p>
        </w:tc>
      </w:tr>
      <w:tr w14:paraId="6E9ECF33">
        <w:tblPrEx>
          <w:tblCellMar>
            <w:top w:w="0" w:type="dxa"/>
            <w:left w:w="108" w:type="dxa"/>
            <w:bottom w:w="0" w:type="dxa"/>
            <w:right w:w="108" w:type="dxa"/>
          </w:tblCellMar>
        </w:tblPrEx>
        <w:trPr>
          <w:trHeight w:val="90" w:hRule="atLeast"/>
        </w:trPr>
        <w:tc>
          <w:tcPr>
            <w:tcW w:w="12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2DBAC52">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管理者</w:t>
            </w:r>
            <w:r>
              <w:rPr>
                <w:rFonts w:ascii="Arial" w:hAnsi="Arial" w:cs="Arial"/>
                <w:b/>
                <w:bCs/>
                <w:color w:val="auto"/>
                <w:kern w:val="0"/>
                <w:szCs w:val="21"/>
                <w:highlight w:val="none"/>
                <w:lang w:bidi="ar"/>
              </w:rPr>
              <w:br w:type="textWrapping"/>
            </w:r>
            <w:r>
              <w:rPr>
                <w:rFonts w:ascii="Arial" w:hAnsi="Arial" w:cs="Arial"/>
                <w:b/>
                <w:bCs/>
                <w:color w:val="auto"/>
                <w:kern w:val="0"/>
                <w:szCs w:val="21"/>
                <w:highlight w:val="none"/>
                <w:lang w:bidi="ar"/>
              </w:rPr>
              <w:t>（不对外公开）</w:t>
            </w:r>
          </w:p>
        </w:tc>
        <w:tc>
          <w:tcPr>
            <w:tcW w:w="756" w:type="dxa"/>
            <w:tcBorders>
              <w:top w:val="nil"/>
              <w:left w:val="nil"/>
              <w:bottom w:val="single" w:color="auto" w:sz="4" w:space="0"/>
              <w:right w:val="single" w:color="auto" w:sz="4" w:space="0"/>
            </w:tcBorders>
            <w:shd w:val="clear" w:color="auto" w:fill="auto"/>
            <w:vAlign w:val="center"/>
          </w:tcPr>
          <w:p w14:paraId="206EBC4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11</w:t>
            </w:r>
          </w:p>
        </w:tc>
        <w:tc>
          <w:tcPr>
            <w:tcW w:w="1080" w:type="dxa"/>
            <w:tcBorders>
              <w:top w:val="nil"/>
              <w:left w:val="nil"/>
              <w:bottom w:val="single" w:color="auto" w:sz="4" w:space="0"/>
              <w:right w:val="single" w:color="auto" w:sz="4" w:space="0"/>
            </w:tcBorders>
            <w:shd w:val="clear" w:color="auto" w:fill="auto"/>
            <w:vAlign w:val="center"/>
          </w:tcPr>
          <w:p w14:paraId="5338C3C2">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就业摸排</w:t>
            </w:r>
          </w:p>
        </w:tc>
        <w:tc>
          <w:tcPr>
            <w:tcW w:w="7706" w:type="dxa"/>
            <w:tcBorders>
              <w:top w:val="nil"/>
              <w:left w:val="nil"/>
              <w:bottom w:val="single" w:color="auto" w:sz="4" w:space="0"/>
              <w:right w:val="single" w:color="auto" w:sz="4" w:space="0"/>
            </w:tcBorders>
            <w:shd w:val="clear" w:color="auto" w:fill="auto"/>
            <w:vAlign w:val="center"/>
          </w:tcPr>
          <w:p w14:paraId="43BAC184">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对辖区劳动力资源摸排登记</w:t>
            </w:r>
          </w:p>
        </w:tc>
      </w:tr>
      <w:tr w14:paraId="063137A8">
        <w:tblPrEx>
          <w:tblCellMar>
            <w:top w:w="0" w:type="dxa"/>
            <w:left w:w="108" w:type="dxa"/>
            <w:bottom w:w="0" w:type="dxa"/>
            <w:right w:w="108" w:type="dxa"/>
          </w:tblCellMar>
        </w:tblPrEx>
        <w:trPr>
          <w:trHeight w:val="90" w:hRule="atLeast"/>
        </w:trPr>
        <w:tc>
          <w:tcPr>
            <w:tcW w:w="12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7FC718">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0A05CF6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12</w:t>
            </w:r>
          </w:p>
        </w:tc>
        <w:tc>
          <w:tcPr>
            <w:tcW w:w="1080" w:type="dxa"/>
            <w:tcBorders>
              <w:top w:val="nil"/>
              <w:left w:val="nil"/>
              <w:bottom w:val="single" w:color="auto" w:sz="4" w:space="0"/>
              <w:right w:val="single" w:color="auto" w:sz="4" w:space="0"/>
            </w:tcBorders>
            <w:shd w:val="clear" w:color="auto" w:fill="auto"/>
            <w:vAlign w:val="center"/>
          </w:tcPr>
          <w:p w14:paraId="1BF209D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就业服务</w:t>
            </w:r>
          </w:p>
        </w:tc>
        <w:tc>
          <w:tcPr>
            <w:tcW w:w="7706" w:type="dxa"/>
            <w:tcBorders>
              <w:top w:val="nil"/>
              <w:left w:val="nil"/>
              <w:bottom w:val="single" w:color="auto" w:sz="4" w:space="0"/>
              <w:right w:val="single" w:color="auto" w:sz="4" w:space="0"/>
            </w:tcBorders>
            <w:shd w:val="clear" w:color="auto" w:fill="auto"/>
            <w:vAlign w:val="center"/>
          </w:tcPr>
          <w:p w14:paraId="2F706721">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对辖区登记失业人员、就业困难人员、退役军人、离校未就业高校毕业生、脱贫劳动力、防返贫监测户、农村返乡回流人员、雨露计划毕业生等重点群体提供就业跟踪帮扶</w:t>
            </w:r>
          </w:p>
        </w:tc>
      </w:tr>
      <w:tr w14:paraId="71AC473D">
        <w:tblPrEx>
          <w:tblCellMar>
            <w:top w:w="0" w:type="dxa"/>
            <w:left w:w="108" w:type="dxa"/>
            <w:bottom w:w="0" w:type="dxa"/>
            <w:right w:w="108" w:type="dxa"/>
          </w:tblCellMar>
        </w:tblPrEx>
        <w:trPr>
          <w:trHeight w:val="90" w:hRule="atLeast"/>
        </w:trPr>
        <w:tc>
          <w:tcPr>
            <w:tcW w:w="12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30D344">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5125AA2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13</w:t>
            </w:r>
          </w:p>
        </w:tc>
        <w:tc>
          <w:tcPr>
            <w:tcW w:w="1080" w:type="dxa"/>
            <w:tcBorders>
              <w:top w:val="nil"/>
              <w:left w:val="nil"/>
              <w:bottom w:val="single" w:color="auto" w:sz="4" w:space="0"/>
              <w:right w:val="single" w:color="auto" w:sz="4" w:space="0"/>
            </w:tcBorders>
            <w:shd w:val="clear" w:color="auto" w:fill="auto"/>
            <w:vAlign w:val="center"/>
          </w:tcPr>
          <w:p w14:paraId="2CFC5FF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用工摸排</w:t>
            </w:r>
          </w:p>
        </w:tc>
        <w:tc>
          <w:tcPr>
            <w:tcW w:w="7706" w:type="dxa"/>
            <w:tcBorders>
              <w:top w:val="nil"/>
              <w:left w:val="nil"/>
              <w:bottom w:val="single" w:color="auto" w:sz="4" w:space="0"/>
              <w:right w:val="single" w:color="auto" w:sz="4" w:space="0"/>
            </w:tcBorders>
            <w:shd w:val="clear" w:color="auto" w:fill="auto"/>
            <w:vAlign w:val="center"/>
          </w:tcPr>
          <w:p w14:paraId="68FA9ED5">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对用人单位用工需求摸排登记</w:t>
            </w:r>
          </w:p>
        </w:tc>
      </w:tr>
      <w:tr w14:paraId="553940BF">
        <w:tblPrEx>
          <w:tblCellMar>
            <w:top w:w="0" w:type="dxa"/>
            <w:left w:w="108" w:type="dxa"/>
            <w:bottom w:w="0" w:type="dxa"/>
            <w:right w:w="108" w:type="dxa"/>
          </w:tblCellMar>
        </w:tblPrEx>
        <w:trPr>
          <w:trHeight w:val="90" w:hRule="atLeast"/>
        </w:trPr>
        <w:tc>
          <w:tcPr>
            <w:tcW w:w="12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35E4A5">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239186F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14</w:t>
            </w:r>
          </w:p>
        </w:tc>
        <w:tc>
          <w:tcPr>
            <w:tcW w:w="1080" w:type="dxa"/>
            <w:tcBorders>
              <w:top w:val="nil"/>
              <w:left w:val="nil"/>
              <w:bottom w:val="single" w:color="auto" w:sz="4" w:space="0"/>
              <w:right w:val="single" w:color="auto" w:sz="4" w:space="0"/>
            </w:tcBorders>
            <w:shd w:val="clear" w:color="auto" w:fill="auto"/>
            <w:vAlign w:val="center"/>
          </w:tcPr>
          <w:p w14:paraId="20F2FF9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培训跟踪</w:t>
            </w:r>
          </w:p>
        </w:tc>
        <w:tc>
          <w:tcPr>
            <w:tcW w:w="7706" w:type="dxa"/>
            <w:tcBorders>
              <w:top w:val="nil"/>
              <w:left w:val="nil"/>
              <w:bottom w:val="single" w:color="auto" w:sz="4" w:space="0"/>
              <w:right w:val="single" w:color="auto" w:sz="4" w:space="0"/>
            </w:tcBorders>
            <w:shd w:val="clear" w:color="auto" w:fill="auto"/>
            <w:vAlign w:val="center"/>
          </w:tcPr>
          <w:p w14:paraId="2544A34B">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对前来登记培训需求及推荐培训项目的服务对象进行培训、就业情况跟踪登记</w:t>
            </w:r>
          </w:p>
        </w:tc>
      </w:tr>
      <w:tr w14:paraId="2A9AE207">
        <w:tblPrEx>
          <w:tblCellMar>
            <w:top w:w="0" w:type="dxa"/>
            <w:left w:w="108" w:type="dxa"/>
            <w:bottom w:w="0" w:type="dxa"/>
            <w:right w:w="108" w:type="dxa"/>
          </w:tblCellMar>
        </w:tblPrEx>
        <w:trPr>
          <w:trHeight w:val="90" w:hRule="atLeast"/>
        </w:trPr>
        <w:tc>
          <w:tcPr>
            <w:tcW w:w="12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75CAB0">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11ED799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15</w:t>
            </w:r>
          </w:p>
        </w:tc>
        <w:tc>
          <w:tcPr>
            <w:tcW w:w="1080" w:type="dxa"/>
            <w:tcBorders>
              <w:top w:val="nil"/>
              <w:left w:val="nil"/>
              <w:bottom w:val="single" w:color="auto" w:sz="4" w:space="0"/>
              <w:right w:val="single" w:color="auto" w:sz="4" w:space="0"/>
            </w:tcBorders>
            <w:shd w:val="clear" w:color="auto" w:fill="auto"/>
            <w:vAlign w:val="center"/>
          </w:tcPr>
          <w:p w14:paraId="5E5F2DF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社会宣传</w:t>
            </w:r>
          </w:p>
        </w:tc>
        <w:tc>
          <w:tcPr>
            <w:tcW w:w="7706" w:type="dxa"/>
            <w:tcBorders>
              <w:top w:val="nil"/>
              <w:left w:val="nil"/>
              <w:bottom w:val="single" w:color="auto" w:sz="4" w:space="0"/>
              <w:right w:val="single" w:color="auto" w:sz="4" w:space="0"/>
            </w:tcBorders>
            <w:shd w:val="clear" w:color="auto" w:fill="auto"/>
            <w:vAlign w:val="center"/>
          </w:tcPr>
          <w:p w14:paraId="047228FB">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资料配备、宣传推广</w:t>
            </w:r>
          </w:p>
        </w:tc>
      </w:tr>
      <w:tr w14:paraId="0B9F50C5">
        <w:tblPrEx>
          <w:tblCellMar>
            <w:top w:w="0" w:type="dxa"/>
            <w:left w:w="108" w:type="dxa"/>
            <w:bottom w:w="0" w:type="dxa"/>
            <w:right w:w="108" w:type="dxa"/>
          </w:tblCellMar>
        </w:tblPrEx>
        <w:trPr>
          <w:trHeight w:val="171" w:hRule="atLeast"/>
        </w:trPr>
        <w:tc>
          <w:tcPr>
            <w:tcW w:w="12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2DDECE7">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66D622E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16</w:t>
            </w:r>
          </w:p>
        </w:tc>
        <w:tc>
          <w:tcPr>
            <w:tcW w:w="1080" w:type="dxa"/>
            <w:tcBorders>
              <w:top w:val="nil"/>
              <w:left w:val="nil"/>
              <w:bottom w:val="single" w:color="auto" w:sz="4" w:space="0"/>
              <w:right w:val="single" w:color="auto" w:sz="4" w:space="0"/>
            </w:tcBorders>
            <w:shd w:val="clear" w:color="auto" w:fill="auto"/>
            <w:vAlign w:val="center"/>
          </w:tcPr>
          <w:p w14:paraId="4005A83F">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规范配备</w:t>
            </w:r>
          </w:p>
        </w:tc>
        <w:tc>
          <w:tcPr>
            <w:tcW w:w="7706" w:type="dxa"/>
            <w:tcBorders>
              <w:top w:val="nil"/>
              <w:left w:val="nil"/>
              <w:bottom w:val="single" w:color="auto" w:sz="4" w:space="0"/>
              <w:right w:val="single" w:color="auto" w:sz="4" w:space="0"/>
            </w:tcBorders>
            <w:shd w:val="clear" w:color="auto" w:fill="auto"/>
            <w:vAlign w:val="center"/>
          </w:tcPr>
          <w:p w14:paraId="341458CC">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按照《规范配备标准》做好服务场所、服务设施、服务团队、服务标识、服务台账、服务系统等服务配备</w:t>
            </w:r>
          </w:p>
        </w:tc>
      </w:tr>
      <w:tr w14:paraId="577F72CF">
        <w:tblPrEx>
          <w:tblCellMar>
            <w:top w:w="0" w:type="dxa"/>
            <w:left w:w="108" w:type="dxa"/>
            <w:bottom w:w="0" w:type="dxa"/>
            <w:right w:w="108" w:type="dxa"/>
          </w:tblCellMar>
        </w:tblPrEx>
        <w:trPr>
          <w:trHeight w:val="90" w:hRule="atLeast"/>
        </w:trPr>
        <w:tc>
          <w:tcPr>
            <w:tcW w:w="12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EA540E">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2DA789A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17</w:t>
            </w:r>
          </w:p>
        </w:tc>
        <w:tc>
          <w:tcPr>
            <w:tcW w:w="1080" w:type="dxa"/>
            <w:tcBorders>
              <w:top w:val="nil"/>
              <w:left w:val="nil"/>
              <w:bottom w:val="single" w:color="auto" w:sz="4" w:space="0"/>
              <w:right w:val="single" w:color="auto" w:sz="4" w:space="0"/>
            </w:tcBorders>
            <w:shd w:val="clear" w:color="auto" w:fill="auto"/>
            <w:vAlign w:val="center"/>
          </w:tcPr>
          <w:p w14:paraId="0F58D38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品牌建设</w:t>
            </w:r>
          </w:p>
        </w:tc>
        <w:tc>
          <w:tcPr>
            <w:tcW w:w="7706" w:type="dxa"/>
            <w:tcBorders>
              <w:top w:val="nil"/>
              <w:left w:val="nil"/>
              <w:bottom w:val="single" w:color="auto" w:sz="4" w:space="0"/>
              <w:right w:val="single" w:color="auto" w:sz="4" w:space="0"/>
            </w:tcBorders>
            <w:shd w:val="clear" w:color="auto" w:fill="auto"/>
            <w:vAlign w:val="center"/>
          </w:tcPr>
          <w:p w14:paraId="5DB72E7E">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经验推广、正面报道、肯定表扬、现场观摩</w:t>
            </w:r>
          </w:p>
        </w:tc>
      </w:tr>
      <w:tr w14:paraId="11E19DDC">
        <w:tblPrEx>
          <w:tblCellMar>
            <w:top w:w="0" w:type="dxa"/>
            <w:left w:w="108" w:type="dxa"/>
            <w:bottom w:w="0" w:type="dxa"/>
            <w:right w:w="108" w:type="dxa"/>
          </w:tblCellMar>
        </w:tblPrEx>
        <w:trPr>
          <w:trHeight w:val="90" w:hRule="atLeast"/>
        </w:trPr>
        <w:tc>
          <w:tcPr>
            <w:tcW w:w="12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6463A3">
            <w:pPr>
              <w:jc w:val="center"/>
              <w:rPr>
                <w:rFonts w:ascii="Arial" w:hAnsi="Arial" w:cs="Arial"/>
                <w:b/>
                <w:bCs/>
                <w:color w:val="auto"/>
                <w:szCs w:val="21"/>
                <w:highlight w:val="none"/>
              </w:rPr>
            </w:pPr>
          </w:p>
        </w:tc>
        <w:tc>
          <w:tcPr>
            <w:tcW w:w="756" w:type="dxa"/>
            <w:tcBorders>
              <w:top w:val="nil"/>
              <w:left w:val="nil"/>
              <w:bottom w:val="single" w:color="auto" w:sz="4" w:space="0"/>
              <w:right w:val="single" w:color="auto" w:sz="4" w:space="0"/>
            </w:tcBorders>
            <w:shd w:val="clear" w:color="auto" w:fill="auto"/>
            <w:vAlign w:val="center"/>
          </w:tcPr>
          <w:p w14:paraId="594F486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18</w:t>
            </w:r>
          </w:p>
        </w:tc>
        <w:tc>
          <w:tcPr>
            <w:tcW w:w="1080" w:type="dxa"/>
            <w:tcBorders>
              <w:top w:val="nil"/>
              <w:left w:val="nil"/>
              <w:bottom w:val="single" w:color="auto" w:sz="4" w:space="0"/>
              <w:right w:val="single" w:color="auto" w:sz="4" w:space="0"/>
            </w:tcBorders>
            <w:shd w:val="clear" w:color="auto" w:fill="auto"/>
            <w:vAlign w:val="center"/>
          </w:tcPr>
          <w:p w14:paraId="51991EE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风险管控</w:t>
            </w:r>
          </w:p>
        </w:tc>
        <w:tc>
          <w:tcPr>
            <w:tcW w:w="7706" w:type="dxa"/>
            <w:tcBorders>
              <w:top w:val="nil"/>
              <w:left w:val="nil"/>
              <w:bottom w:val="single" w:color="auto" w:sz="4" w:space="0"/>
              <w:right w:val="single" w:color="auto" w:sz="4" w:space="0"/>
            </w:tcBorders>
            <w:shd w:val="clear" w:color="auto" w:fill="auto"/>
            <w:vAlign w:val="center"/>
          </w:tcPr>
          <w:p w14:paraId="7A43B0C6">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安全生产、违法乱纪、数据安全、负面舆情、违规收费</w:t>
            </w:r>
          </w:p>
        </w:tc>
      </w:tr>
    </w:tbl>
    <w:p w14:paraId="1771B334">
      <w:pPr>
        <w:rPr>
          <w:rFonts w:ascii="Arial" w:hAnsi="Arial" w:cs="Arial"/>
          <w:color w:val="auto"/>
          <w:szCs w:val="21"/>
          <w:highlight w:val="none"/>
        </w:rPr>
      </w:pPr>
    </w:p>
    <w:p w14:paraId="7FF480CB">
      <w:pPr>
        <w:widowControl/>
        <w:textAlignment w:val="center"/>
        <w:rPr>
          <w:rFonts w:ascii="Arial" w:hAnsi="Arial" w:cs="Arial"/>
          <w:color w:val="auto"/>
          <w:kern w:val="0"/>
          <w:szCs w:val="21"/>
          <w:highlight w:val="none"/>
        </w:rPr>
      </w:pPr>
    </w:p>
    <w:p w14:paraId="61FDE0B5">
      <w:pPr>
        <w:pStyle w:val="8"/>
        <w:widowControl/>
        <w:spacing w:line="560" w:lineRule="exact"/>
        <w:ind w:firstLine="0"/>
        <w:rPr>
          <w:rFonts w:ascii="Arial" w:hAnsi="Arial" w:cs="Arial"/>
          <w:color w:val="auto"/>
          <w:szCs w:val="21"/>
          <w:highlight w:val="none"/>
        </w:rPr>
      </w:pPr>
    </w:p>
    <w:p w14:paraId="63A26E6C">
      <w:pPr>
        <w:pStyle w:val="8"/>
        <w:widowControl/>
        <w:spacing w:line="560" w:lineRule="exact"/>
        <w:ind w:firstLine="0"/>
        <w:rPr>
          <w:rFonts w:ascii="Arial" w:hAnsi="Arial" w:cs="Arial"/>
          <w:color w:val="auto"/>
          <w:szCs w:val="21"/>
          <w:highlight w:val="none"/>
        </w:rPr>
      </w:pPr>
    </w:p>
    <w:p w14:paraId="697309F0">
      <w:pPr>
        <w:rPr>
          <w:rFonts w:ascii="Arial" w:hAnsi="Arial" w:cs="Arial"/>
          <w:color w:val="auto"/>
          <w:szCs w:val="21"/>
          <w:highlight w:val="none"/>
        </w:rPr>
      </w:pPr>
      <w:r>
        <w:rPr>
          <w:rFonts w:ascii="Arial" w:hAnsi="Arial" w:cs="Arial"/>
          <w:color w:val="auto"/>
          <w:szCs w:val="21"/>
          <w:highlight w:val="none"/>
        </w:rPr>
        <w:br w:type="page"/>
      </w:r>
    </w:p>
    <w:p w14:paraId="7D511AD2">
      <w:pPr>
        <w:pStyle w:val="8"/>
        <w:widowControl/>
        <w:spacing w:line="560" w:lineRule="exact"/>
        <w:ind w:firstLine="0"/>
        <w:rPr>
          <w:rFonts w:ascii="Arial" w:hAnsi="Arial" w:cs="Arial"/>
          <w:color w:val="auto"/>
          <w:sz w:val="32"/>
          <w:szCs w:val="32"/>
          <w:highlight w:val="none"/>
        </w:rPr>
      </w:pPr>
      <w:r>
        <w:rPr>
          <w:rFonts w:ascii="Arial" w:hAnsi="Arial" w:cs="Arial"/>
          <w:color w:val="auto"/>
          <w:sz w:val="32"/>
          <w:szCs w:val="32"/>
          <w:highlight w:val="none"/>
        </w:rPr>
        <w:t>附件8</w:t>
      </w:r>
    </w:p>
    <w:tbl>
      <w:tblPr>
        <w:tblStyle w:val="35"/>
        <w:tblW w:w="9940"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5"/>
        <w:gridCol w:w="582"/>
        <w:gridCol w:w="1047"/>
        <w:gridCol w:w="2822"/>
        <w:gridCol w:w="4434"/>
      </w:tblGrid>
      <w:tr w14:paraId="3B957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9940" w:type="dxa"/>
            <w:gridSpan w:val="5"/>
            <w:tcBorders>
              <w:tl2br w:val="nil"/>
              <w:tr2bl w:val="nil"/>
            </w:tcBorders>
            <w:shd w:val="clear" w:color="auto" w:fill="auto"/>
            <w:noWrap/>
            <w:vAlign w:val="center"/>
          </w:tcPr>
          <w:p w14:paraId="2B7ED3F1">
            <w:pPr>
              <w:widowControl/>
              <w:jc w:val="center"/>
              <w:textAlignment w:val="center"/>
              <w:rPr>
                <w:rFonts w:ascii="Arial" w:hAnsi="Arial" w:cs="Arial"/>
                <w:color w:val="auto"/>
                <w:szCs w:val="21"/>
                <w:highlight w:val="none"/>
              </w:rPr>
            </w:pPr>
            <w:r>
              <w:rPr>
                <w:rFonts w:ascii="Arial" w:hAnsi="Arial" w:cs="Arial"/>
                <w:color w:val="auto"/>
                <w:kern w:val="0"/>
                <w:sz w:val="32"/>
                <w:szCs w:val="32"/>
                <w:highlight w:val="none"/>
                <w:lang w:bidi="ar"/>
              </w:rPr>
              <w:t>宾阳县人力资源市场</w:t>
            </w:r>
            <w:r>
              <w:rPr>
                <w:rFonts w:hint="eastAsia" w:ascii="Arial" w:hAnsi="Arial" w:cs="Arial"/>
                <w:color w:val="auto"/>
                <w:kern w:val="0"/>
                <w:sz w:val="32"/>
                <w:szCs w:val="32"/>
                <w:highlight w:val="none"/>
                <w:lang w:val="en-US" w:eastAsia="zh-CN" w:bidi="ar"/>
              </w:rPr>
              <w:t>/零工市场</w:t>
            </w:r>
            <w:r>
              <w:rPr>
                <w:rFonts w:ascii="Arial" w:hAnsi="Arial" w:cs="Arial"/>
                <w:color w:val="auto"/>
                <w:kern w:val="0"/>
                <w:sz w:val="32"/>
                <w:szCs w:val="32"/>
                <w:highlight w:val="none"/>
                <w:lang w:bidi="ar"/>
              </w:rPr>
              <w:t>服务考核标准</w:t>
            </w:r>
          </w:p>
        </w:tc>
      </w:tr>
      <w:tr w14:paraId="3C75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055" w:type="dxa"/>
            <w:tcBorders>
              <w:tl2br w:val="nil"/>
              <w:tr2bl w:val="nil"/>
            </w:tcBorders>
            <w:shd w:val="clear" w:color="auto" w:fill="auto"/>
            <w:vAlign w:val="center"/>
          </w:tcPr>
          <w:p w14:paraId="70D6EE74">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服务类别</w:t>
            </w:r>
          </w:p>
        </w:tc>
        <w:tc>
          <w:tcPr>
            <w:tcW w:w="582" w:type="dxa"/>
            <w:tcBorders>
              <w:tl2br w:val="nil"/>
              <w:tr2bl w:val="nil"/>
            </w:tcBorders>
            <w:shd w:val="clear" w:color="auto" w:fill="auto"/>
            <w:vAlign w:val="center"/>
          </w:tcPr>
          <w:p w14:paraId="0086C6D0">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序号</w:t>
            </w:r>
          </w:p>
        </w:tc>
        <w:tc>
          <w:tcPr>
            <w:tcW w:w="1047" w:type="dxa"/>
            <w:tcBorders>
              <w:tl2br w:val="nil"/>
              <w:tr2bl w:val="nil"/>
            </w:tcBorders>
            <w:shd w:val="clear" w:color="auto" w:fill="auto"/>
            <w:vAlign w:val="center"/>
          </w:tcPr>
          <w:p w14:paraId="4D85D7FA">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考核事项</w:t>
            </w:r>
          </w:p>
        </w:tc>
        <w:tc>
          <w:tcPr>
            <w:tcW w:w="2822" w:type="dxa"/>
            <w:tcBorders>
              <w:tl2br w:val="nil"/>
              <w:tr2bl w:val="nil"/>
            </w:tcBorders>
            <w:shd w:val="clear" w:color="auto" w:fill="auto"/>
            <w:vAlign w:val="center"/>
          </w:tcPr>
          <w:p w14:paraId="22BB776D">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考核内容</w:t>
            </w:r>
          </w:p>
        </w:tc>
        <w:tc>
          <w:tcPr>
            <w:tcW w:w="4434" w:type="dxa"/>
            <w:tcBorders>
              <w:tl2br w:val="nil"/>
              <w:tr2bl w:val="nil"/>
            </w:tcBorders>
            <w:shd w:val="clear" w:color="auto" w:fill="auto"/>
            <w:vAlign w:val="center"/>
          </w:tcPr>
          <w:p w14:paraId="0CE15B3B">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评分标准</w:t>
            </w:r>
          </w:p>
        </w:tc>
      </w:tr>
      <w:tr w14:paraId="1AD85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trPr>
        <w:tc>
          <w:tcPr>
            <w:tcW w:w="1055" w:type="dxa"/>
            <w:vMerge w:val="restart"/>
            <w:tcBorders>
              <w:tl2br w:val="nil"/>
              <w:tr2bl w:val="nil"/>
            </w:tcBorders>
            <w:shd w:val="clear" w:color="auto" w:fill="auto"/>
            <w:vAlign w:val="center"/>
          </w:tcPr>
          <w:p w14:paraId="061FD70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劳动者（20分）</w:t>
            </w:r>
          </w:p>
        </w:tc>
        <w:tc>
          <w:tcPr>
            <w:tcW w:w="582" w:type="dxa"/>
            <w:tcBorders>
              <w:tl2br w:val="nil"/>
              <w:tr2bl w:val="nil"/>
            </w:tcBorders>
            <w:shd w:val="clear" w:color="auto" w:fill="auto"/>
            <w:vAlign w:val="center"/>
          </w:tcPr>
          <w:p w14:paraId="0E8836A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w:t>
            </w:r>
          </w:p>
        </w:tc>
        <w:tc>
          <w:tcPr>
            <w:tcW w:w="1047" w:type="dxa"/>
            <w:tcBorders>
              <w:tl2br w:val="nil"/>
              <w:tr2bl w:val="nil"/>
            </w:tcBorders>
            <w:shd w:val="clear" w:color="auto" w:fill="auto"/>
            <w:vAlign w:val="center"/>
          </w:tcPr>
          <w:p w14:paraId="1AA47C3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咨询服务（2分）</w:t>
            </w:r>
          </w:p>
        </w:tc>
        <w:tc>
          <w:tcPr>
            <w:tcW w:w="2822" w:type="dxa"/>
            <w:tcBorders>
              <w:tl2br w:val="nil"/>
              <w:tr2bl w:val="nil"/>
            </w:tcBorders>
            <w:shd w:val="clear" w:color="auto" w:fill="auto"/>
            <w:vAlign w:val="center"/>
          </w:tcPr>
          <w:p w14:paraId="333EB0B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政策宣传、服务咨询、信息查询；就业失业登记、就业困难人员认定、就业创业补贴申领等业务办理指引（含序号8“劳动维权”劳动者工资、社保等合法权益维权指引（2分）</w:t>
            </w:r>
          </w:p>
        </w:tc>
        <w:tc>
          <w:tcPr>
            <w:tcW w:w="4434" w:type="dxa"/>
            <w:tcBorders>
              <w:tl2br w:val="nil"/>
              <w:tr2bl w:val="nil"/>
            </w:tcBorders>
            <w:shd w:val="clear" w:color="auto" w:fill="auto"/>
            <w:vAlign w:val="center"/>
          </w:tcPr>
          <w:p w14:paraId="070D0DD5">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对前来咨询的人员，每发现（服务对象来电来信来访投诉且经核查属实的；或者管理方监督发现并确认的，下同）1次服务不到位的，扣0.1分，最高扣2分。</w:t>
            </w:r>
          </w:p>
        </w:tc>
      </w:tr>
      <w:tr w14:paraId="65DE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78E2FBE6">
            <w:pPr>
              <w:jc w:val="center"/>
              <w:rPr>
                <w:rFonts w:ascii="Arial" w:hAnsi="Arial" w:cs="Arial"/>
                <w:color w:val="auto"/>
                <w:szCs w:val="21"/>
                <w:highlight w:val="none"/>
              </w:rPr>
            </w:pPr>
          </w:p>
        </w:tc>
        <w:tc>
          <w:tcPr>
            <w:tcW w:w="582" w:type="dxa"/>
            <w:tcBorders>
              <w:tl2br w:val="nil"/>
              <w:tr2bl w:val="nil"/>
            </w:tcBorders>
            <w:shd w:val="clear" w:color="auto" w:fill="auto"/>
            <w:vAlign w:val="center"/>
          </w:tcPr>
          <w:p w14:paraId="36E6A8D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2</w:t>
            </w:r>
          </w:p>
        </w:tc>
        <w:tc>
          <w:tcPr>
            <w:tcW w:w="1047" w:type="dxa"/>
            <w:tcBorders>
              <w:tl2br w:val="nil"/>
              <w:tr2bl w:val="nil"/>
            </w:tcBorders>
            <w:shd w:val="clear" w:color="auto" w:fill="auto"/>
            <w:vAlign w:val="center"/>
          </w:tcPr>
          <w:p w14:paraId="49E8AE9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市场服务</w:t>
            </w:r>
          </w:p>
        </w:tc>
        <w:tc>
          <w:tcPr>
            <w:tcW w:w="2822" w:type="dxa"/>
            <w:tcBorders>
              <w:tl2br w:val="nil"/>
              <w:tr2bl w:val="nil"/>
            </w:tcBorders>
            <w:shd w:val="clear" w:color="auto" w:fill="auto"/>
            <w:vAlign w:val="center"/>
          </w:tcPr>
          <w:p w14:paraId="7E7F2A0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招聘会举办、职业指导讲座举办、公益性技能培训组织、直播带岗、政策宣传活动组织</w:t>
            </w:r>
          </w:p>
        </w:tc>
        <w:tc>
          <w:tcPr>
            <w:tcW w:w="4434" w:type="dxa"/>
            <w:tcBorders>
              <w:tl2br w:val="nil"/>
              <w:tr2bl w:val="nil"/>
            </w:tcBorders>
            <w:shd w:val="clear" w:color="auto" w:fill="auto"/>
            <w:vAlign w:val="center"/>
          </w:tcPr>
          <w:p w14:paraId="6F7B3CF4">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统筹到考核事项（序号19）的“活动组织”进行考核。</w:t>
            </w:r>
          </w:p>
        </w:tc>
      </w:tr>
      <w:tr w14:paraId="33AC6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055" w:type="dxa"/>
            <w:vMerge w:val="continue"/>
            <w:tcBorders>
              <w:tl2br w:val="nil"/>
              <w:tr2bl w:val="nil"/>
            </w:tcBorders>
            <w:shd w:val="clear" w:color="auto" w:fill="auto"/>
            <w:vAlign w:val="center"/>
          </w:tcPr>
          <w:p w14:paraId="1F09D74E">
            <w:pPr>
              <w:jc w:val="center"/>
              <w:rPr>
                <w:rFonts w:ascii="Arial" w:hAnsi="Arial" w:cs="Arial"/>
                <w:color w:val="auto"/>
                <w:szCs w:val="21"/>
                <w:highlight w:val="none"/>
              </w:rPr>
            </w:pPr>
          </w:p>
        </w:tc>
        <w:tc>
          <w:tcPr>
            <w:tcW w:w="582" w:type="dxa"/>
            <w:vMerge w:val="restart"/>
            <w:tcBorders>
              <w:tl2br w:val="nil"/>
              <w:tr2bl w:val="nil"/>
            </w:tcBorders>
            <w:shd w:val="clear" w:color="auto" w:fill="auto"/>
            <w:vAlign w:val="center"/>
          </w:tcPr>
          <w:p w14:paraId="5795822F">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3</w:t>
            </w:r>
          </w:p>
        </w:tc>
        <w:tc>
          <w:tcPr>
            <w:tcW w:w="1047" w:type="dxa"/>
            <w:vMerge w:val="restart"/>
            <w:tcBorders>
              <w:tl2br w:val="nil"/>
              <w:tr2bl w:val="nil"/>
            </w:tcBorders>
            <w:shd w:val="clear" w:color="auto" w:fill="auto"/>
            <w:vAlign w:val="center"/>
          </w:tcPr>
          <w:p w14:paraId="1DB01D6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求职服务（12.5分）</w:t>
            </w:r>
          </w:p>
        </w:tc>
        <w:tc>
          <w:tcPr>
            <w:tcW w:w="2822" w:type="dxa"/>
            <w:tcBorders>
              <w:tl2br w:val="nil"/>
              <w:tr2bl w:val="nil"/>
            </w:tcBorders>
            <w:shd w:val="clear" w:color="auto" w:fill="auto"/>
            <w:vAlign w:val="center"/>
          </w:tcPr>
          <w:p w14:paraId="08654B4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求职登记（含序号4“零工服务”的“找零工”登记）（5分）</w:t>
            </w:r>
          </w:p>
        </w:tc>
        <w:tc>
          <w:tcPr>
            <w:tcW w:w="4434" w:type="dxa"/>
            <w:tcBorders>
              <w:tl2br w:val="nil"/>
              <w:tr2bl w:val="nil"/>
            </w:tcBorders>
            <w:shd w:val="clear" w:color="auto" w:fill="auto"/>
            <w:vAlign w:val="center"/>
          </w:tcPr>
          <w:p w14:paraId="31054ECA">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1.对前来求职并有登记需求的人员，引导做好求职登记（含零工登记），每发现1人未引导登记的，扣0.1分；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2.对已做求职登记的人员，每发现1人关键信息[姓名、身份证号、联系电话、就业需求（含零工登记）、登记时间]登记不全或信息质量问题的，扣0.1分。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本项合计最高扣5分。</w:t>
            </w:r>
          </w:p>
        </w:tc>
      </w:tr>
      <w:tr w14:paraId="04B9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773CDE5B">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752B3181">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15172A29">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34B929F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职业指导（0.5分）</w:t>
            </w:r>
          </w:p>
        </w:tc>
        <w:tc>
          <w:tcPr>
            <w:tcW w:w="4434" w:type="dxa"/>
            <w:tcBorders>
              <w:tl2br w:val="nil"/>
              <w:tr2bl w:val="nil"/>
            </w:tcBorders>
            <w:shd w:val="clear" w:color="auto" w:fill="auto"/>
            <w:vAlign w:val="center"/>
          </w:tcPr>
          <w:p w14:paraId="3E8B6549">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对前来求职且有求职需求的人员，依据其实际情况，提供有针对性的就业方向及就业预期指导。每发现1名未按要求开展求职指导的，扣0.1分，最高扣0.5分。</w:t>
            </w:r>
          </w:p>
        </w:tc>
      </w:tr>
      <w:tr w14:paraId="18C5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trPr>
        <w:tc>
          <w:tcPr>
            <w:tcW w:w="1055" w:type="dxa"/>
            <w:vMerge w:val="continue"/>
            <w:tcBorders>
              <w:tl2br w:val="nil"/>
              <w:tr2bl w:val="nil"/>
            </w:tcBorders>
            <w:shd w:val="clear" w:color="auto" w:fill="auto"/>
            <w:vAlign w:val="center"/>
          </w:tcPr>
          <w:p w14:paraId="58B321A1">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6B1E0C01">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7ABF7F7E">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1F8AEBC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岗位推荐（含序号4的“零工服务”的零工岗位推荐）（6分）</w:t>
            </w:r>
          </w:p>
        </w:tc>
        <w:tc>
          <w:tcPr>
            <w:tcW w:w="4434" w:type="dxa"/>
            <w:tcBorders>
              <w:tl2br w:val="nil"/>
              <w:tr2bl w:val="nil"/>
            </w:tcBorders>
            <w:shd w:val="clear" w:color="auto" w:fill="auto"/>
            <w:vAlign w:val="center"/>
          </w:tcPr>
          <w:p w14:paraId="2F84E806">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对已做求职登记的人员，按照就业意愿每月推荐不少于3个就业岗位（不同用人单位），直至实现就业（或本人表示不再接受岗位推荐），并做好服务记录台账；在同一年度内向同一个求职人员推荐同一用人单位同一岗位不超过3次。每发现1次不符合要求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2.全年推荐并成功实现就业不少于1000人次，每少1个百分点，扣0.1分；其中实现灵活就业不少于300人次，每少1个百分点，扣0.1分。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（注：实现就业情况需录入广西数智人社系统，以系统登记数为准）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本项合计最高扣6分。</w:t>
            </w:r>
          </w:p>
        </w:tc>
      </w:tr>
      <w:tr w14:paraId="62B7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7BF2CA3E">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2C459905">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050C2F42">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3F7DB3A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招聘会信息推送</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4434" w:type="dxa"/>
            <w:tcBorders>
              <w:tl2br w:val="nil"/>
              <w:tr2bl w:val="nil"/>
            </w:tcBorders>
            <w:shd w:val="clear" w:color="auto" w:fill="auto"/>
            <w:vAlign w:val="center"/>
          </w:tcPr>
          <w:p w14:paraId="546285E8">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对已做求职登记的人员，按照就业意愿每月推荐不少于1场招聘会信息或直播带岗活动信息，每发现1次未做推荐的，扣0.1分，最高扣1分。</w:t>
            </w:r>
          </w:p>
        </w:tc>
      </w:tr>
      <w:tr w14:paraId="66DB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4412B8CE">
            <w:pPr>
              <w:jc w:val="center"/>
              <w:rPr>
                <w:rFonts w:ascii="Arial" w:hAnsi="Arial" w:cs="Arial"/>
                <w:color w:val="auto"/>
                <w:szCs w:val="21"/>
                <w:highlight w:val="none"/>
              </w:rPr>
            </w:pPr>
          </w:p>
        </w:tc>
        <w:tc>
          <w:tcPr>
            <w:tcW w:w="582" w:type="dxa"/>
            <w:tcBorders>
              <w:tl2br w:val="nil"/>
              <w:tr2bl w:val="nil"/>
            </w:tcBorders>
            <w:shd w:val="clear" w:color="auto" w:fill="auto"/>
            <w:vAlign w:val="center"/>
          </w:tcPr>
          <w:p w14:paraId="1D489DC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4</w:t>
            </w:r>
          </w:p>
        </w:tc>
        <w:tc>
          <w:tcPr>
            <w:tcW w:w="1047" w:type="dxa"/>
            <w:tcBorders>
              <w:tl2br w:val="nil"/>
              <w:tr2bl w:val="nil"/>
            </w:tcBorders>
            <w:shd w:val="clear" w:color="auto" w:fill="auto"/>
            <w:vAlign w:val="center"/>
          </w:tcPr>
          <w:p w14:paraId="05DA17E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零工服务</w:t>
            </w:r>
          </w:p>
        </w:tc>
        <w:tc>
          <w:tcPr>
            <w:tcW w:w="2822" w:type="dxa"/>
            <w:tcBorders>
              <w:tl2br w:val="nil"/>
              <w:tr2bl w:val="nil"/>
            </w:tcBorders>
            <w:shd w:val="clear" w:color="auto" w:fill="auto"/>
            <w:vAlign w:val="center"/>
          </w:tcPr>
          <w:p w14:paraId="1AD3409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“找零工”登记、零工岗位推荐</w:t>
            </w:r>
          </w:p>
        </w:tc>
        <w:tc>
          <w:tcPr>
            <w:tcW w:w="4434" w:type="dxa"/>
            <w:tcBorders>
              <w:tl2br w:val="nil"/>
              <w:tr2bl w:val="nil"/>
            </w:tcBorders>
            <w:shd w:val="clear" w:color="auto" w:fill="auto"/>
            <w:vAlign w:val="center"/>
          </w:tcPr>
          <w:p w14:paraId="35610A77">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统筹到考核事项（序号3）的“求职服务”进行考核。</w:t>
            </w:r>
          </w:p>
        </w:tc>
      </w:tr>
      <w:tr w14:paraId="1E8C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055" w:type="dxa"/>
            <w:vMerge w:val="continue"/>
            <w:tcBorders>
              <w:tl2br w:val="nil"/>
              <w:tr2bl w:val="nil"/>
            </w:tcBorders>
            <w:shd w:val="clear" w:color="auto" w:fill="auto"/>
            <w:vAlign w:val="center"/>
          </w:tcPr>
          <w:p w14:paraId="0446ADCC">
            <w:pPr>
              <w:jc w:val="center"/>
              <w:rPr>
                <w:rFonts w:ascii="Arial" w:hAnsi="Arial" w:cs="Arial"/>
                <w:color w:val="auto"/>
                <w:szCs w:val="21"/>
                <w:highlight w:val="none"/>
              </w:rPr>
            </w:pPr>
          </w:p>
        </w:tc>
        <w:tc>
          <w:tcPr>
            <w:tcW w:w="582" w:type="dxa"/>
            <w:vMerge w:val="restart"/>
            <w:tcBorders>
              <w:tl2br w:val="nil"/>
              <w:tr2bl w:val="nil"/>
            </w:tcBorders>
            <w:shd w:val="clear" w:color="auto" w:fill="auto"/>
            <w:vAlign w:val="center"/>
          </w:tcPr>
          <w:p w14:paraId="2686142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5</w:t>
            </w:r>
          </w:p>
        </w:tc>
        <w:tc>
          <w:tcPr>
            <w:tcW w:w="1047" w:type="dxa"/>
            <w:vMerge w:val="restart"/>
            <w:tcBorders>
              <w:tl2br w:val="nil"/>
              <w:tr2bl w:val="nil"/>
            </w:tcBorders>
            <w:shd w:val="clear" w:color="auto" w:fill="auto"/>
            <w:vAlign w:val="center"/>
          </w:tcPr>
          <w:p w14:paraId="00C0A42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技能培训</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（2.5分）</w:t>
            </w:r>
          </w:p>
        </w:tc>
        <w:tc>
          <w:tcPr>
            <w:tcW w:w="2822" w:type="dxa"/>
            <w:tcBorders>
              <w:tl2br w:val="nil"/>
              <w:tr2bl w:val="nil"/>
            </w:tcBorders>
            <w:shd w:val="clear" w:color="auto" w:fill="auto"/>
            <w:vAlign w:val="center"/>
          </w:tcPr>
          <w:p w14:paraId="7965CFD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培训需求登记</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4434" w:type="dxa"/>
            <w:tcBorders>
              <w:tl2br w:val="nil"/>
              <w:tr2bl w:val="nil"/>
            </w:tcBorders>
            <w:shd w:val="clear" w:color="auto" w:fill="auto"/>
            <w:vAlign w:val="center"/>
          </w:tcPr>
          <w:p w14:paraId="51E37859">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1.对前来且有培训需求并愿意登记的人员，每发现1人未引导登记的，扣0.1分；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2.对已做培训需求登记的人员，每发现1人关键信息（姓名、身份证号、联系电话、培训意向、登记时间）登记不全或信息质量问题的扣0.1分；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3.全年服务量不少于200人次，每少1个百分点扣0.1分。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本项合计最高扣2.5分。</w:t>
            </w:r>
          </w:p>
        </w:tc>
      </w:tr>
      <w:tr w14:paraId="1870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1827A5D5">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4411AC7A">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7512A4D3">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674A310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培训机构信息查询（0.1分）</w:t>
            </w:r>
          </w:p>
        </w:tc>
        <w:tc>
          <w:tcPr>
            <w:tcW w:w="4434" w:type="dxa"/>
            <w:tcBorders>
              <w:tl2br w:val="nil"/>
              <w:tr2bl w:val="nil"/>
            </w:tcBorders>
            <w:shd w:val="clear" w:color="auto" w:fill="auto"/>
            <w:vAlign w:val="center"/>
          </w:tcPr>
          <w:p w14:paraId="2448D069">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对前来查询人员提供培训机构信息查询服务，每发现1人次未提供服务的，扣0.1分，最高扣1分。</w:t>
            </w:r>
          </w:p>
        </w:tc>
      </w:tr>
      <w:tr w14:paraId="341AA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1FFB36E7">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03760FD7">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634A6F5D">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399F2ED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培训项目推荐</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4434" w:type="dxa"/>
            <w:tcBorders>
              <w:tl2br w:val="nil"/>
              <w:tr2bl w:val="nil"/>
            </w:tcBorders>
            <w:shd w:val="clear" w:color="auto" w:fill="auto"/>
            <w:vAlign w:val="center"/>
          </w:tcPr>
          <w:p w14:paraId="2AD4785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对已做培训需求登记的人员，按照培训需求或就业意向半年内至少推荐1个纳入开班计划的培训项目，并做好服务记录台账，每发现1人次未推荐的，扣0.1分，最高扣2.5分。</w:t>
            </w:r>
          </w:p>
        </w:tc>
      </w:tr>
      <w:tr w14:paraId="65A9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7DF5EBFE">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5E6B7BFD">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5C80778B">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4776F92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培训开班计划查询（0.1分）</w:t>
            </w:r>
          </w:p>
        </w:tc>
        <w:tc>
          <w:tcPr>
            <w:tcW w:w="4434" w:type="dxa"/>
            <w:tcBorders>
              <w:tl2br w:val="nil"/>
              <w:tr2bl w:val="nil"/>
            </w:tcBorders>
            <w:shd w:val="clear" w:color="auto" w:fill="auto"/>
            <w:vAlign w:val="center"/>
          </w:tcPr>
          <w:p w14:paraId="3A40DEA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对前来查询人员提供培训开班计划查询服务，每发现1人未提供服务的，扣0.1分，最高扣1分。</w:t>
            </w:r>
          </w:p>
        </w:tc>
      </w:tr>
      <w:tr w14:paraId="522B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33931511">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2C9BEAC5">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748A46E1">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77CE123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组织参加补贴性技能培训</w:t>
            </w:r>
          </w:p>
        </w:tc>
        <w:tc>
          <w:tcPr>
            <w:tcW w:w="4434" w:type="dxa"/>
            <w:tcBorders>
              <w:tl2br w:val="nil"/>
              <w:tr2bl w:val="nil"/>
            </w:tcBorders>
            <w:shd w:val="clear" w:color="auto" w:fill="auto"/>
            <w:vAlign w:val="center"/>
          </w:tcPr>
          <w:p w14:paraId="379E623C">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统筹到考核事项（序号19）的活动组织进行考核</w:t>
            </w:r>
          </w:p>
        </w:tc>
      </w:tr>
      <w:tr w14:paraId="0A21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6917BBD9">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4E8E674C">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481DA4ED">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344CFB8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培训补贴申领指引（0.3分）</w:t>
            </w:r>
          </w:p>
        </w:tc>
        <w:tc>
          <w:tcPr>
            <w:tcW w:w="4434" w:type="dxa"/>
            <w:tcBorders>
              <w:tl2br w:val="nil"/>
              <w:tr2bl w:val="nil"/>
            </w:tcBorders>
            <w:shd w:val="clear" w:color="auto" w:fill="auto"/>
            <w:vAlign w:val="center"/>
          </w:tcPr>
          <w:p w14:paraId="085A454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对前来咨询人员提供培训补贴申领指引服务，每发现1人未提供服务的，扣0.1分，最高扣1分。</w:t>
            </w:r>
          </w:p>
        </w:tc>
      </w:tr>
      <w:tr w14:paraId="1974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47A98F3E">
            <w:pPr>
              <w:jc w:val="center"/>
              <w:rPr>
                <w:rFonts w:ascii="Arial" w:hAnsi="Arial" w:cs="Arial"/>
                <w:color w:val="auto"/>
                <w:szCs w:val="21"/>
                <w:highlight w:val="none"/>
              </w:rPr>
            </w:pPr>
          </w:p>
        </w:tc>
        <w:tc>
          <w:tcPr>
            <w:tcW w:w="582" w:type="dxa"/>
            <w:vMerge w:val="restart"/>
            <w:tcBorders>
              <w:tl2br w:val="nil"/>
              <w:tr2bl w:val="nil"/>
            </w:tcBorders>
            <w:shd w:val="clear" w:color="auto" w:fill="auto"/>
            <w:vAlign w:val="center"/>
          </w:tcPr>
          <w:p w14:paraId="4EE912D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6</w:t>
            </w:r>
          </w:p>
        </w:tc>
        <w:tc>
          <w:tcPr>
            <w:tcW w:w="1047" w:type="dxa"/>
            <w:vMerge w:val="restart"/>
            <w:tcBorders>
              <w:tl2br w:val="nil"/>
              <w:tr2bl w:val="nil"/>
            </w:tcBorders>
            <w:shd w:val="clear" w:color="auto" w:fill="auto"/>
            <w:vAlign w:val="center"/>
          </w:tcPr>
          <w:p w14:paraId="5E85A43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创业指导</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（1.5分）</w:t>
            </w:r>
          </w:p>
        </w:tc>
        <w:tc>
          <w:tcPr>
            <w:tcW w:w="2822" w:type="dxa"/>
            <w:tcBorders>
              <w:tl2br w:val="nil"/>
              <w:tr2bl w:val="nil"/>
            </w:tcBorders>
            <w:shd w:val="clear" w:color="auto" w:fill="auto"/>
            <w:vAlign w:val="center"/>
          </w:tcPr>
          <w:p w14:paraId="47F9BC7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创业担保贷款申请指导</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4434" w:type="dxa"/>
            <w:tcBorders>
              <w:tl2br w:val="nil"/>
              <w:tr2bl w:val="nil"/>
            </w:tcBorders>
            <w:shd w:val="clear" w:color="auto" w:fill="auto"/>
            <w:vAlign w:val="center"/>
          </w:tcPr>
          <w:p w14:paraId="52BF8C4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1.对前来咨询且有创业意愿的人员指引办理创业担保贷款申请，每发现1人未提供指导服务的，扣0.1分；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2.每年指引符合条件的办理创业担保贷款申请并审批通过的人数不少于50人，每少1人扣0.1分。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本项合计最高扣1分。</w:t>
            </w:r>
          </w:p>
        </w:tc>
      </w:tr>
      <w:tr w14:paraId="259A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1E8D33B8">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2A05D710">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3D1843A6">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66E8120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创业项目推介    （0.1分）</w:t>
            </w:r>
          </w:p>
        </w:tc>
        <w:tc>
          <w:tcPr>
            <w:tcW w:w="4434" w:type="dxa"/>
            <w:tcBorders>
              <w:tl2br w:val="nil"/>
              <w:tr2bl w:val="nil"/>
            </w:tcBorders>
            <w:shd w:val="clear" w:color="auto" w:fill="auto"/>
            <w:vAlign w:val="center"/>
          </w:tcPr>
          <w:p w14:paraId="7009088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对前来咨询且有创业意愿的人员提供创业项目推介服务，每发现1人未提供服务的，扣0.1分，最高扣0.1分。</w:t>
            </w:r>
          </w:p>
        </w:tc>
      </w:tr>
      <w:tr w14:paraId="53CD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2B2D3BD5">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015D2935">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6E028D06">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72E916E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创业补贴申领指引与服务（0.4分）</w:t>
            </w:r>
          </w:p>
        </w:tc>
        <w:tc>
          <w:tcPr>
            <w:tcW w:w="4434" w:type="dxa"/>
            <w:tcBorders>
              <w:tl2br w:val="nil"/>
              <w:tr2bl w:val="nil"/>
            </w:tcBorders>
            <w:shd w:val="clear" w:color="auto" w:fill="auto"/>
            <w:vAlign w:val="center"/>
          </w:tcPr>
          <w:p w14:paraId="7320FE6C">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1.对前来咨询且有创业意愿的人员提供创业扶持补贴申领指引服务，每发现1人未提供服务的，扣0.1分。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2.每年指引符合条件的办理创业扶持补贴申请并审批通过的人数不少于5人，每少1人扣0.1分。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本项合计最高扣0.4分。</w:t>
            </w:r>
          </w:p>
        </w:tc>
      </w:tr>
      <w:tr w14:paraId="561BC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1055" w:type="dxa"/>
            <w:vMerge w:val="continue"/>
            <w:tcBorders>
              <w:tl2br w:val="nil"/>
              <w:tr2bl w:val="nil"/>
            </w:tcBorders>
            <w:shd w:val="clear" w:color="auto" w:fill="auto"/>
            <w:vAlign w:val="center"/>
          </w:tcPr>
          <w:p w14:paraId="0CB494B6">
            <w:pPr>
              <w:jc w:val="center"/>
              <w:rPr>
                <w:rFonts w:ascii="Arial" w:hAnsi="Arial" w:cs="Arial"/>
                <w:color w:val="auto"/>
                <w:szCs w:val="21"/>
                <w:highlight w:val="none"/>
              </w:rPr>
            </w:pPr>
          </w:p>
        </w:tc>
        <w:tc>
          <w:tcPr>
            <w:tcW w:w="582" w:type="dxa"/>
            <w:tcBorders>
              <w:tl2br w:val="nil"/>
              <w:tr2bl w:val="nil"/>
            </w:tcBorders>
            <w:shd w:val="clear" w:color="auto" w:fill="auto"/>
            <w:vAlign w:val="center"/>
          </w:tcPr>
          <w:p w14:paraId="06B9D40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7</w:t>
            </w:r>
          </w:p>
        </w:tc>
        <w:tc>
          <w:tcPr>
            <w:tcW w:w="1047" w:type="dxa"/>
            <w:tcBorders>
              <w:tl2br w:val="nil"/>
              <w:tr2bl w:val="nil"/>
            </w:tcBorders>
            <w:shd w:val="clear" w:color="auto" w:fill="auto"/>
            <w:vAlign w:val="center"/>
          </w:tcPr>
          <w:p w14:paraId="2206BB3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就业援助</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（1.5分）</w:t>
            </w:r>
          </w:p>
        </w:tc>
        <w:tc>
          <w:tcPr>
            <w:tcW w:w="2822" w:type="dxa"/>
            <w:tcBorders>
              <w:tl2br w:val="nil"/>
              <w:tr2bl w:val="nil"/>
            </w:tcBorders>
            <w:shd w:val="clear" w:color="auto" w:fill="auto"/>
            <w:vAlign w:val="center"/>
          </w:tcPr>
          <w:p w14:paraId="77494E8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对城镇零就业家庭劳动者、防止返贫致贫对象（含对离开帮扶政策会出现返贫风险的原建档立卡脱贫人口，下同）家庭劳动者等特殊困难人群开展就业跟踪帮扶（1.5分）</w:t>
            </w:r>
          </w:p>
        </w:tc>
        <w:tc>
          <w:tcPr>
            <w:tcW w:w="4434" w:type="dxa"/>
            <w:tcBorders>
              <w:tl2br w:val="nil"/>
              <w:tr2bl w:val="nil"/>
            </w:tcBorders>
            <w:shd w:val="clear" w:color="auto" w:fill="auto"/>
            <w:vAlign w:val="center"/>
          </w:tcPr>
          <w:p w14:paraId="52565C32">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1.对全县范围内城镇零就业家庭劳动者、防止返贫致贫对象家庭劳动者等特殊困难人群开展信息摸排收集，并进行身份标识，标识率达100%，每少1个百分点，扣0.1分。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2.对上述人员开展“251”“1131”就业帮扶，就业帮扶率达100%，每少1个百分点，扣0.1分。本项合计最高扣1.5分。</w:t>
            </w:r>
          </w:p>
        </w:tc>
      </w:tr>
      <w:tr w14:paraId="2A88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034F1FA0">
            <w:pPr>
              <w:jc w:val="center"/>
              <w:rPr>
                <w:rFonts w:ascii="Arial" w:hAnsi="Arial" w:cs="Arial"/>
                <w:color w:val="auto"/>
                <w:szCs w:val="21"/>
                <w:highlight w:val="none"/>
              </w:rPr>
            </w:pPr>
          </w:p>
        </w:tc>
        <w:tc>
          <w:tcPr>
            <w:tcW w:w="582" w:type="dxa"/>
            <w:tcBorders>
              <w:tl2br w:val="nil"/>
              <w:tr2bl w:val="nil"/>
            </w:tcBorders>
            <w:shd w:val="clear" w:color="auto" w:fill="auto"/>
            <w:vAlign w:val="center"/>
          </w:tcPr>
          <w:p w14:paraId="0D7CE42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8</w:t>
            </w:r>
          </w:p>
        </w:tc>
        <w:tc>
          <w:tcPr>
            <w:tcW w:w="1047" w:type="dxa"/>
            <w:tcBorders>
              <w:tl2br w:val="nil"/>
              <w:tr2bl w:val="nil"/>
            </w:tcBorders>
            <w:shd w:val="clear" w:color="auto" w:fill="auto"/>
            <w:vAlign w:val="center"/>
          </w:tcPr>
          <w:p w14:paraId="0B49EB1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劳动维权</w:t>
            </w:r>
          </w:p>
        </w:tc>
        <w:tc>
          <w:tcPr>
            <w:tcW w:w="2822" w:type="dxa"/>
            <w:tcBorders>
              <w:tl2br w:val="nil"/>
              <w:tr2bl w:val="nil"/>
            </w:tcBorders>
            <w:shd w:val="clear" w:color="auto" w:fill="auto"/>
            <w:vAlign w:val="center"/>
          </w:tcPr>
          <w:p w14:paraId="2DCC94F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劳动者工资、社保等合法权益维权指引</w:t>
            </w:r>
          </w:p>
        </w:tc>
        <w:tc>
          <w:tcPr>
            <w:tcW w:w="4434" w:type="dxa"/>
            <w:tcBorders>
              <w:tl2br w:val="nil"/>
              <w:tr2bl w:val="nil"/>
            </w:tcBorders>
            <w:shd w:val="clear" w:color="auto" w:fill="auto"/>
            <w:vAlign w:val="center"/>
          </w:tcPr>
          <w:p w14:paraId="1C7AB54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统筹到考核事项（序号1）的“咨询服务”进行考核。</w:t>
            </w:r>
          </w:p>
        </w:tc>
      </w:tr>
      <w:tr w14:paraId="3AD00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restart"/>
            <w:tcBorders>
              <w:tl2br w:val="nil"/>
              <w:tr2bl w:val="nil"/>
            </w:tcBorders>
            <w:shd w:val="clear" w:color="auto" w:fill="auto"/>
            <w:vAlign w:val="center"/>
          </w:tcPr>
          <w:p w14:paraId="3F98975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用人单位（</w:t>
            </w:r>
            <w:r>
              <w:rPr>
                <w:rFonts w:ascii="Arial" w:hAnsi="Arial" w:cs="Arial"/>
                <w:b/>
                <w:bCs/>
                <w:color w:val="auto"/>
                <w:kern w:val="0"/>
                <w:szCs w:val="21"/>
                <w:highlight w:val="none"/>
                <w:lang w:bidi="ar"/>
              </w:rPr>
              <w:t>20</w:t>
            </w:r>
            <w:r>
              <w:rPr>
                <w:rFonts w:ascii="Arial" w:hAnsi="Arial" w:cs="Arial"/>
                <w:color w:val="auto"/>
                <w:kern w:val="0"/>
                <w:szCs w:val="21"/>
                <w:highlight w:val="none"/>
                <w:lang w:bidi="ar"/>
              </w:rPr>
              <w:t>分）</w:t>
            </w:r>
          </w:p>
        </w:tc>
        <w:tc>
          <w:tcPr>
            <w:tcW w:w="582" w:type="dxa"/>
            <w:tcBorders>
              <w:tl2br w:val="nil"/>
              <w:tr2bl w:val="nil"/>
            </w:tcBorders>
            <w:shd w:val="clear" w:color="auto" w:fill="auto"/>
            <w:vAlign w:val="center"/>
          </w:tcPr>
          <w:p w14:paraId="5BF353E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9</w:t>
            </w:r>
          </w:p>
        </w:tc>
        <w:tc>
          <w:tcPr>
            <w:tcW w:w="1047" w:type="dxa"/>
            <w:tcBorders>
              <w:tl2br w:val="nil"/>
              <w:tr2bl w:val="nil"/>
            </w:tcBorders>
            <w:shd w:val="clear" w:color="auto" w:fill="auto"/>
            <w:vAlign w:val="center"/>
          </w:tcPr>
          <w:p w14:paraId="20E78B1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咨询服务（2分）</w:t>
            </w:r>
          </w:p>
        </w:tc>
        <w:tc>
          <w:tcPr>
            <w:tcW w:w="2822" w:type="dxa"/>
            <w:tcBorders>
              <w:tl2br w:val="nil"/>
              <w:tr2bl w:val="nil"/>
            </w:tcBorders>
            <w:shd w:val="clear" w:color="auto" w:fill="auto"/>
            <w:vAlign w:val="center"/>
          </w:tcPr>
          <w:p w14:paraId="6DCF724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政策宣传、服务咨询、信息查询；吸纳重点人群就业有关稳岗、培训、社保等补贴申领指引（2分）</w:t>
            </w:r>
          </w:p>
        </w:tc>
        <w:tc>
          <w:tcPr>
            <w:tcW w:w="4434" w:type="dxa"/>
            <w:tcBorders>
              <w:tl2br w:val="nil"/>
              <w:tr2bl w:val="nil"/>
            </w:tcBorders>
            <w:shd w:val="clear" w:color="auto" w:fill="auto"/>
            <w:vAlign w:val="center"/>
          </w:tcPr>
          <w:p w14:paraId="4A5F0858">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对前来咨询的用人单位，每发现1次服务不到位的，扣0.1分，最高扣2分。</w:t>
            </w:r>
          </w:p>
        </w:tc>
      </w:tr>
      <w:tr w14:paraId="07E4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595C42C3">
            <w:pPr>
              <w:jc w:val="center"/>
              <w:rPr>
                <w:rFonts w:ascii="Arial" w:hAnsi="Arial" w:cs="Arial"/>
                <w:color w:val="auto"/>
                <w:szCs w:val="21"/>
                <w:highlight w:val="none"/>
              </w:rPr>
            </w:pPr>
          </w:p>
        </w:tc>
        <w:tc>
          <w:tcPr>
            <w:tcW w:w="582" w:type="dxa"/>
            <w:tcBorders>
              <w:tl2br w:val="nil"/>
              <w:tr2bl w:val="nil"/>
            </w:tcBorders>
            <w:shd w:val="clear" w:color="auto" w:fill="auto"/>
            <w:vAlign w:val="center"/>
          </w:tcPr>
          <w:p w14:paraId="437A1F6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10</w:t>
            </w:r>
          </w:p>
        </w:tc>
        <w:tc>
          <w:tcPr>
            <w:tcW w:w="1047" w:type="dxa"/>
            <w:tcBorders>
              <w:tl2br w:val="nil"/>
              <w:tr2bl w:val="nil"/>
            </w:tcBorders>
            <w:shd w:val="clear" w:color="auto" w:fill="auto"/>
            <w:vAlign w:val="center"/>
          </w:tcPr>
          <w:p w14:paraId="3F13E08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市场服务</w:t>
            </w:r>
          </w:p>
        </w:tc>
        <w:tc>
          <w:tcPr>
            <w:tcW w:w="2822" w:type="dxa"/>
            <w:tcBorders>
              <w:tl2br w:val="nil"/>
              <w:tr2bl w:val="nil"/>
            </w:tcBorders>
            <w:shd w:val="clear" w:color="auto" w:fill="auto"/>
            <w:vAlign w:val="center"/>
          </w:tcPr>
          <w:p w14:paraId="789A602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招聘会举办、直播带岗组织</w:t>
            </w:r>
          </w:p>
        </w:tc>
        <w:tc>
          <w:tcPr>
            <w:tcW w:w="4434" w:type="dxa"/>
            <w:tcBorders>
              <w:tl2br w:val="nil"/>
              <w:tr2bl w:val="nil"/>
            </w:tcBorders>
            <w:shd w:val="clear" w:color="auto" w:fill="auto"/>
            <w:vAlign w:val="center"/>
          </w:tcPr>
          <w:p w14:paraId="5567BDB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统筹到考核事项（序号19）的“活动组织”进行考核。</w:t>
            </w:r>
          </w:p>
        </w:tc>
      </w:tr>
      <w:tr w14:paraId="0EA6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76D09070">
            <w:pPr>
              <w:jc w:val="center"/>
              <w:rPr>
                <w:rFonts w:ascii="Arial" w:hAnsi="Arial" w:cs="Arial"/>
                <w:color w:val="auto"/>
                <w:szCs w:val="21"/>
                <w:highlight w:val="none"/>
              </w:rPr>
            </w:pPr>
          </w:p>
        </w:tc>
        <w:tc>
          <w:tcPr>
            <w:tcW w:w="582" w:type="dxa"/>
            <w:vMerge w:val="restart"/>
            <w:tcBorders>
              <w:tl2br w:val="nil"/>
              <w:tr2bl w:val="nil"/>
            </w:tcBorders>
            <w:shd w:val="clear" w:color="auto" w:fill="auto"/>
            <w:vAlign w:val="center"/>
          </w:tcPr>
          <w:p w14:paraId="3A421FA2">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11</w:t>
            </w:r>
          </w:p>
        </w:tc>
        <w:tc>
          <w:tcPr>
            <w:tcW w:w="1047" w:type="dxa"/>
            <w:vMerge w:val="restart"/>
            <w:tcBorders>
              <w:tl2br w:val="nil"/>
              <w:tr2bl w:val="nil"/>
            </w:tcBorders>
            <w:shd w:val="clear" w:color="auto" w:fill="auto"/>
            <w:vAlign w:val="center"/>
          </w:tcPr>
          <w:p w14:paraId="15C468F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招工服务（15分）</w:t>
            </w:r>
          </w:p>
        </w:tc>
        <w:tc>
          <w:tcPr>
            <w:tcW w:w="2822" w:type="dxa"/>
            <w:tcBorders>
              <w:tl2br w:val="nil"/>
              <w:tr2bl w:val="nil"/>
            </w:tcBorders>
            <w:shd w:val="clear" w:color="auto" w:fill="auto"/>
            <w:vAlign w:val="center"/>
          </w:tcPr>
          <w:p w14:paraId="2AFA85E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用工信息登记（含序号12的“零工服务”的“招零工”登记）（3分）</w:t>
            </w:r>
          </w:p>
        </w:tc>
        <w:tc>
          <w:tcPr>
            <w:tcW w:w="4434" w:type="dxa"/>
            <w:tcBorders>
              <w:tl2br w:val="nil"/>
              <w:tr2bl w:val="nil"/>
            </w:tcBorders>
            <w:shd w:val="clear" w:color="auto" w:fill="auto"/>
            <w:vAlign w:val="center"/>
          </w:tcPr>
          <w:p w14:paraId="67F07431">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1.对前来招工并愿意登记的用人单位（含“招零工”登记），每发现1家未引导登记的，扣0.1分；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2.对已做用工信息登记的用人单位，每发现1家关键信息（单位名称、统一社会信用代码、联系人、联系方式、招工意向、登记时间）登记不全或信息质量问题的，扣0.1分；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本项合计最高扣3分。</w:t>
            </w:r>
          </w:p>
        </w:tc>
      </w:tr>
      <w:tr w14:paraId="2EA90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2060CD09">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3CA68752">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5BA21F57">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7599428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用工信息发布（含序号12的“零工信息”的零工信息发布）（1分）</w:t>
            </w:r>
          </w:p>
        </w:tc>
        <w:tc>
          <w:tcPr>
            <w:tcW w:w="4434" w:type="dxa"/>
            <w:tcBorders>
              <w:tl2br w:val="nil"/>
              <w:tr2bl w:val="nil"/>
            </w:tcBorders>
            <w:shd w:val="clear" w:color="auto" w:fill="auto"/>
            <w:vAlign w:val="center"/>
          </w:tcPr>
          <w:p w14:paraId="139AA497">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对已做用工信息登记且有发布需求的用人单位，每发现1次未开展用工信息发布服务的，扣0.1分，最高扣1分。</w:t>
            </w:r>
          </w:p>
        </w:tc>
      </w:tr>
      <w:tr w14:paraId="72978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24F667BD">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1BF67509">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58F496A9">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3A44BAA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求职人员推荐（含序号12的“零工信息”的零工人员推荐）8分）</w:t>
            </w:r>
          </w:p>
        </w:tc>
        <w:tc>
          <w:tcPr>
            <w:tcW w:w="4434" w:type="dxa"/>
            <w:tcBorders>
              <w:tl2br w:val="nil"/>
              <w:tr2bl w:val="nil"/>
            </w:tcBorders>
            <w:shd w:val="clear" w:color="auto" w:fill="auto"/>
            <w:vAlign w:val="center"/>
          </w:tcPr>
          <w:p w14:paraId="79BA13D3">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对已做用工信息登记的用人单位，按照招工需求开展求职人员推荐，全年推荐不少于1000人，每少一个百分点，扣0.1分；其中推荐零工不少于300人；每少1个百分点，扣0.1分。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本项合计最高扣8分。</w:t>
            </w:r>
          </w:p>
        </w:tc>
      </w:tr>
      <w:tr w14:paraId="3959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3927FD9E">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4E396CA4">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0C09AC0B">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6A19DB0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求职简历代收</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4434" w:type="dxa"/>
            <w:tcBorders>
              <w:tl2br w:val="nil"/>
              <w:tr2bl w:val="nil"/>
            </w:tcBorders>
            <w:shd w:val="clear" w:color="auto" w:fill="auto"/>
            <w:vAlign w:val="center"/>
          </w:tcPr>
          <w:p w14:paraId="7CF40B0E">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对已做用工信息登记且有简历代收需求的用人单位，每发现1次未开展代收服务的，扣0.1分，最高扣1分。</w:t>
            </w:r>
          </w:p>
        </w:tc>
      </w:tr>
      <w:tr w14:paraId="25B9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2A3F1E0B">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527066A9">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3D1F32FE">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70F40CB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面试洽谈辅助</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4434" w:type="dxa"/>
            <w:tcBorders>
              <w:tl2br w:val="nil"/>
              <w:tr2bl w:val="nil"/>
            </w:tcBorders>
            <w:shd w:val="clear" w:color="auto" w:fill="auto"/>
            <w:vAlign w:val="center"/>
          </w:tcPr>
          <w:p w14:paraId="5D97DB02">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对已做用工信息登记且有面试洽谈辅助需求的用人单位，每发现1次未开展面试洽谈辅助服务的，扣0.1分，最高扣1分。</w:t>
            </w:r>
          </w:p>
        </w:tc>
      </w:tr>
      <w:tr w14:paraId="78C0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640F23F6">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33E385BC">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3A8E5051">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00AC172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招聘会等公共就业服务活动推荐 （1分）</w:t>
            </w:r>
          </w:p>
        </w:tc>
        <w:tc>
          <w:tcPr>
            <w:tcW w:w="4434" w:type="dxa"/>
            <w:tcBorders>
              <w:tl2br w:val="nil"/>
              <w:tr2bl w:val="nil"/>
            </w:tcBorders>
            <w:shd w:val="clear" w:color="auto" w:fill="auto"/>
            <w:vAlign w:val="center"/>
          </w:tcPr>
          <w:p w14:paraId="65012A4D">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对已做用工信息登记的用人单位，按照招工需求每月推荐不少于1场招聘会信息或直播带岗活动信息，每发现1次未做推荐的，扣0.1分，最高扣1分。</w:t>
            </w:r>
          </w:p>
        </w:tc>
      </w:tr>
      <w:tr w14:paraId="39B9C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164C0429">
            <w:pPr>
              <w:jc w:val="center"/>
              <w:rPr>
                <w:rFonts w:ascii="Arial" w:hAnsi="Arial" w:cs="Arial"/>
                <w:color w:val="auto"/>
                <w:szCs w:val="21"/>
                <w:highlight w:val="none"/>
              </w:rPr>
            </w:pPr>
          </w:p>
        </w:tc>
        <w:tc>
          <w:tcPr>
            <w:tcW w:w="582" w:type="dxa"/>
            <w:tcBorders>
              <w:tl2br w:val="nil"/>
              <w:tr2bl w:val="nil"/>
            </w:tcBorders>
            <w:shd w:val="clear" w:color="auto" w:fill="auto"/>
            <w:vAlign w:val="center"/>
          </w:tcPr>
          <w:p w14:paraId="7D48583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12</w:t>
            </w:r>
          </w:p>
        </w:tc>
        <w:tc>
          <w:tcPr>
            <w:tcW w:w="1047" w:type="dxa"/>
            <w:tcBorders>
              <w:tl2br w:val="nil"/>
              <w:tr2bl w:val="nil"/>
            </w:tcBorders>
            <w:shd w:val="clear" w:color="auto" w:fill="auto"/>
            <w:vAlign w:val="center"/>
          </w:tcPr>
          <w:p w14:paraId="5B6CD5C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零工服务</w:t>
            </w:r>
          </w:p>
        </w:tc>
        <w:tc>
          <w:tcPr>
            <w:tcW w:w="2822" w:type="dxa"/>
            <w:tcBorders>
              <w:tl2br w:val="nil"/>
              <w:tr2bl w:val="nil"/>
            </w:tcBorders>
            <w:shd w:val="clear" w:color="auto" w:fill="auto"/>
            <w:vAlign w:val="center"/>
          </w:tcPr>
          <w:p w14:paraId="7951012F">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“招零工”登记、零工信息发布、零工人员推荐</w:t>
            </w:r>
          </w:p>
        </w:tc>
        <w:tc>
          <w:tcPr>
            <w:tcW w:w="4434" w:type="dxa"/>
            <w:tcBorders>
              <w:tl2br w:val="nil"/>
              <w:tr2bl w:val="nil"/>
            </w:tcBorders>
            <w:shd w:val="clear" w:color="auto" w:fill="auto"/>
            <w:vAlign w:val="center"/>
          </w:tcPr>
          <w:p w14:paraId="33A7717E">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统筹到考核事项（序号11）的“招工服务”进行考核。</w:t>
            </w:r>
          </w:p>
        </w:tc>
      </w:tr>
      <w:tr w14:paraId="490B3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281577EA">
            <w:pPr>
              <w:jc w:val="center"/>
              <w:rPr>
                <w:rFonts w:ascii="Arial" w:hAnsi="Arial" w:cs="Arial"/>
                <w:color w:val="auto"/>
                <w:szCs w:val="21"/>
                <w:highlight w:val="none"/>
              </w:rPr>
            </w:pPr>
          </w:p>
        </w:tc>
        <w:tc>
          <w:tcPr>
            <w:tcW w:w="582" w:type="dxa"/>
            <w:vMerge w:val="restart"/>
            <w:tcBorders>
              <w:tl2br w:val="nil"/>
              <w:tr2bl w:val="nil"/>
            </w:tcBorders>
            <w:shd w:val="clear" w:color="auto" w:fill="auto"/>
            <w:vAlign w:val="center"/>
          </w:tcPr>
          <w:p w14:paraId="5AA619B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13</w:t>
            </w:r>
          </w:p>
        </w:tc>
        <w:tc>
          <w:tcPr>
            <w:tcW w:w="1047" w:type="dxa"/>
            <w:vMerge w:val="restart"/>
            <w:tcBorders>
              <w:tl2br w:val="nil"/>
              <w:tr2bl w:val="nil"/>
            </w:tcBorders>
            <w:shd w:val="clear" w:color="auto" w:fill="auto"/>
            <w:vAlign w:val="center"/>
          </w:tcPr>
          <w:p w14:paraId="31351C7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创业服务</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（1.5分）</w:t>
            </w:r>
          </w:p>
        </w:tc>
        <w:tc>
          <w:tcPr>
            <w:tcW w:w="2822" w:type="dxa"/>
            <w:tcBorders>
              <w:tl2br w:val="nil"/>
              <w:tr2bl w:val="nil"/>
            </w:tcBorders>
            <w:shd w:val="clear" w:color="auto" w:fill="auto"/>
            <w:vAlign w:val="center"/>
          </w:tcPr>
          <w:p w14:paraId="5D9176F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创业担保贷款办理指引</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4434" w:type="dxa"/>
            <w:tcBorders>
              <w:tl2br w:val="nil"/>
              <w:tr2bl w:val="nil"/>
            </w:tcBorders>
            <w:shd w:val="clear" w:color="auto" w:fill="auto"/>
            <w:vAlign w:val="center"/>
          </w:tcPr>
          <w:p w14:paraId="308DBFFE">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1.对前来咨询且有贷款意愿的小微企业，指引办理创业担保贷款申请，每发现1家未提供指导服务的，扣0.1分；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2.每年指引符合条件的办理创业担保贷款申请小微企业不少于5家，每少1家扣0.2分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3.本项合计最高扣1分。</w:t>
            </w:r>
          </w:p>
        </w:tc>
      </w:tr>
      <w:tr w14:paraId="0A0F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4EC0040E">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3768716A">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3CD3D1AA">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251F3EA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创业服务工作</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（0.5分）</w:t>
            </w:r>
          </w:p>
        </w:tc>
        <w:tc>
          <w:tcPr>
            <w:tcW w:w="4434" w:type="dxa"/>
            <w:tcBorders>
              <w:tl2br w:val="nil"/>
              <w:tr2bl w:val="nil"/>
            </w:tcBorders>
            <w:shd w:val="clear" w:color="auto" w:fill="auto"/>
            <w:vAlign w:val="center"/>
          </w:tcPr>
          <w:p w14:paraId="3AB3429E">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 对前来咨询且有补贴申领需求的用人单位，提供补贴申领指引服务，每发现1家未提供服务的，扣0.1分；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2.建立我县创业信息数据库（近三年内），不少于500家。信息准确率达到95%。准确率每低于1个百分点，扣0.1分；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本项合计最高扣0.5分。</w:t>
            </w:r>
          </w:p>
        </w:tc>
      </w:tr>
      <w:tr w14:paraId="27F52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0E9BE152">
            <w:pPr>
              <w:jc w:val="center"/>
              <w:rPr>
                <w:rFonts w:ascii="Arial" w:hAnsi="Arial" w:cs="Arial"/>
                <w:color w:val="auto"/>
                <w:szCs w:val="21"/>
                <w:highlight w:val="none"/>
              </w:rPr>
            </w:pPr>
          </w:p>
        </w:tc>
        <w:tc>
          <w:tcPr>
            <w:tcW w:w="582" w:type="dxa"/>
            <w:vMerge w:val="restart"/>
            <w:tcBorders>
              <w:tl2br w:val="nil"/>
              <w:tr2bl w:val="nil"/>
            </w:tcBorders>
            <w:shd w:val="clear" w:color="auto" w:fill="auto"/>
            <w:vAlign w:val="center"/>
          </w:tcPr>
          <w:p w14:paraId="0D1FBB0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14</w:t>
            </w:r>
          </w:p>
        </w:tc>
        <w:tc>
          <w:tcPr>
            <w:tcW w:w="1047" w:type="dxa"/>
            <w:vMerge w:val="restart"/>
            <w:tcBorders>
              <w:tl2br w:val="nil"/>
              <w:tr2bl w:val="nil"/>
            </w:tcBorders>
            <w:shd w:val="clear" w:color="auto" w:fill="auto"/>
            <w:vAlign w:val="center"/>
          </w:tcPr>
          <w:p w14:paraId="1556531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技能培训</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（1.5分）</w:t>
            </w:r>
          </w:p>
        </w:tc>
        <w:tc>
          <w:tcPr>
            <w:tcW w:w="2822" w:type="dxa"/>
            <w:tcBorders>
              <w:tl2br w:val="nil"/>
              <w:tr2bl w:val="nil"/>
            </w:tcBorders>
            <w:shd w:val="clear" w:color="auto" w:fill="auto"/>
            <w:vAlign w:val="center"/>
          </w:tcPr>
          <w:p w14:paraId="2BBE232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培训需求登记    （0.5分）</w:t>
            </w:r>
          </w:p>
        </w:tc>
        <w:tc>
          <w:tcPr>
            <w:tcW w:w="4434" w:type="dxa"/>
            <w:tcBorders>
              <w:tl2br w:val="nil"/>
              <w:tr2bl w:val="nil"/>
            </w:tcBorders>
            <w:shd w:val="clear" w:color="auto" w:fill="auto"/>
            <w:vAlign w:val="center"/>
          </w:tcPr>
          <w:p w14:paraId="385820F5">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  对前来咨询且有培训需求并愿意登记的用人单位，每发现1家未引导登记的，扣0.1分；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2.全年服务量不少于10家，每少1家扣0.1分，最高扣1分；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3.对已做培训需求登记的用人单位，每发现1家关键信息（单位名称、联系人、联系方式、培训意向、登记时间）登记不全或信息质量问题的，扣0.1分；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本项合计最高扣1.5分。</w:t>
            </w:r>
          </w:p>
        </w:tc>
      </w:tr>
      <w:tr w14:paraId="458E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02BBF307">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7F66FA6D">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2CA23238">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656D5A3F">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培训机构信息查询（0.1分）</w:t>
            </w:r>
          </w:p>
        </w:tc>
        <w:tc>
          <w:tcPr>
            <w:tcW w:w="4434" w:type="dxa"/>
            <w:tcBorders>
              <w:tl2br w:val="nil"/>
              <w:tr2bl w:val="nil"/>
            </w:tcBorders>
            <w:shd w:val="clear" w:color="auto" w:fill="auto"/>
            <w:vAlign w:val="center"/>
          </w:tcPr>
          <w:p w14:paraId="2F2BFCCD">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对前来查询的用人单位提供培训机构信息查询服务，每发现1次未提供服务的，扣0.1分，最高扣0.5分。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对已做培训需求登记的用人单位，按照培训需求半年内至少推荐1个纳入开班计划的培训项目，并做好服务记录台账，每发现1家未推荐的，扣0.1分，最高扣1.5分。</w:t>
            </w:r>
          </w:p>
        </w:tc>
      </w:tr>
      <w:tr w14:paraId="40E5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77FFB6CD">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2814CB70">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40CD4FFE">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1F82A7F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培训项目推荐</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（0.5分）</w:t>
            </w:r>
          </w:p>
        </w:tc>
        <w:tc>
          <w:tcPr>
            <w:tcW w:w="4434" w:type="dxa"/>
            <w:tcBorders>
              <w:tl2br w:val="nil"/>
              <w:tr2bl w:val="nil"/>
            </w:tcBorders>
            <w:shd w:val="clear" w:color="auto" w:fill="auto"/>
            <w:vAlign w:val="center"/>
          </w:tcPr>
          <w:p w14:paraId="72730074">
            <w:pPr>
              <w:widowControl/>
              <w:textAlignment w:val="center"/>
              <w:rPr>
                <w:rFonts w:ascii="Arial" w:hAnsi="Arial" w:cs="Arial"/>
                <w:color w:val="auto"/>
                <w:szCs w:val="21"/>
                <w:highlight w:val="none"/>
              </w:rPr>
            </w:pPr>
            <w:r>
              <w:rPr>
                <w:rFonts w:ascii="Arial" w:hAnsi="Arial" w:cs="Arial"/>
                <w:color w:val="auto"/>
                <w:kern w:val="0"/>
                <w:szCs w:val="21"/>
                <w:highlight w:val="none"/>
                <w:lang w:bidi="ar"/>
              </w:rPr>
              <w:t>对已做培训需求登记的用人单位，按照培训需求半年内至少推荐1个纳入开班计划的培训项目，并做好服务记录台账，每发现1家未推荐的，扣0.1分，最高扣1.5分。</w:t>
            </w:r>
          </w:p>
        </w:tc>
      </w:tr>
      <w:tr w14:paraId="733FB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379962B8">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126CFA9F">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79D76E10">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58A666E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培训开班计划查询（0.1分）</w:t>
            </w:r>
          </w:p>
        </w:tc>
        <w:tc>
          <w:tcPr>
            <w:tcW w:w="4434" w:type="dxa"/>
            <w:tcBorders>
              <w:tl2br w:val="nil"/>
              <w:tr2bl w:val="nil"/>
            </w:tcBorders>
            <w:shd w:val="clear" w:color="auto" w:fill="auto"/>
            <w:vAlign w:val="center"/>
          </w:tcPr>
          <w:p w14:paraId="02C5A46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对前来咨询且有需求的用人单位，提供查询服务，每发现1家未提供服务的，扣0.1分，最高扣0.5分。</w:t>
            </w:r>
          </w:p>
        </w:tc>
      </w:tr>
      <w:tr w14:paraId="487E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rPr>
        <w:tc>
          <w:tcPr>
            <w:tcW w:w="1055" w:type="dxa"/>
            <w:vMerge w:val="continue"/>
            <w:tcBorders>
              <w:tl2br w:val="nil"/>
              <w:tr2bl w:val="nil"/>
            </w:tcBorders>
            <w:shd w:val="clear" w:color="auto" w:fill="auto"/>
            <w:vAlign w:val="center"/>
          </w:tcPr>
          <w:p w14:paraId="6ED59514">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12C51D79">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2F087284">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721DF75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组织参加补贴性技能培训</w:t>
            </w:r>
          </w:p>
        </w:tc>
        <w:tc>
          <w:tcPr>
            <w:tcW w:w="4434" w:type="dxa"/>
            <w:tcBorders>
              <w:tl2br w:val="nil"/>
              <w:tr2bl w:val="nil"/>
            </w:tcBorders>
            <w:shd w:val="clear" w:color="auto" w:fill="auto"/>
            <w:vAlign w:val="center"/>
          </w:tcPr>
          <w:p w14:paraId="02A67FBA">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统筹到考核事项（序号19）的“活动组织”进行考核。</w:t>
            </w:r>
          </w:p>
        </w:tc>
      </w:tr>
      <w:tr w14:paraId="2E5C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41EC6715">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253B7197">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748162FA">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22BF08B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培训补贴申领指引（0.3分）</w:t>
            </w:r>
          </w:p>
        </w:tc>
        <w:tc>
          <w:tcPr>
            <w:tcW w:w="4434" w:type="dxa"/>
            <w:tcBorders>
              <w:tl2br w:val="nil"/>
              <w:tr2bl w:val="nil"/>
            </w:tcBorders>
            <w:shd w:val="clear" w:color="auto" w:fill="auto"/>
            <w:vAlign w:val="center"/>
          </w:tcPr>
          <w:p w14:paraId="15BDD336">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对前来咨询且有需求的用人单位，提供指引服务，每发现1家未提供服务的，扣0.1分，最高扣0.5分。</w:t>
            </w:r>
          </w:p>
        </w:tc>
      </w:tr>
      <w:tr w14:paraId="135FE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restart"/>
            <w:tcBorders>
              <w:tl2br w:val="nil"/>
              <w:tr2bl w:val="nil"/>
            </w:tcBorders>
            <w:shd w:val="clear" w:color="auto" w:fill="auto"/>
            <w:vAlign w:val="center"/>
          </w:tcPr>
          <w:p w14:paraId="2B107A3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基础运行（60分-70分）</w:t>
            </w:r>
          </w:p>
        </w:tc>
        <w:tc>
          <w:tcPr>
            <w:tcW w:w="582" w:type="dxa"/>
            <w:tcBorders>
              <w:tl2br w:val="nil"/>
              <w:tr2bl w:val="nil"/>
            </w:tcBorders>
            <w:shd w:val="clear" w:color="auto" w:fill="auto"/>
            <w:vAlign w:val="center"/>
          </w:tcPr>
          <w:p w14:paraId="322D3CA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15</w:t>
            </w:r>
          </w:p>
        </w:tc>
        <w:tc>
          <w:tcPr>
            <w:tcW w:w="1047" w:type="dxa"/>
            <w:tcBorders>
              <w:tl2br w:val="nil"/>
              <w:tr2bl w:val="nil"/>
            </w:tcBorders>
            <w:shd w:val="clear" w:color="auto" w:fill="auto"/>
            <w:vAlign w:val="center"/>
          </w:tcPr>
          <w:p w14:paraId="0C7C1CF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用工登记（10分）</w:t>
            </w:r>
          </w:p>
        </w:tc>
        <w:tc>
          <w:tcPr>
            <w:tcW w:w="2822" w:type="dxa"/>
            <w:tcBorders>
              <w:tl2br w:val="nil"/>
              <w:tr2bl w:val="nil"/>
            </w:tcBorders>
            <w:shd w:val="clear" w:color="auto" w:fill="auto"/>
            <w:vAlign w:val="center"/>
          </w:tcPr>
          <w:p w14:paraId="106F40B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对用人单位、用工需求进行登记（10分）</w:t>
            </w:r>
          </w:p>
        </w:tc>
        <w:tc>
          <w:tcPr>
            <w:tcW w:w="4434" w:type="dxa"/>
            <w:tcBorders>
              <w:tl2br w:val="nil"/>
              <w:tr2bl w:val="nil"/>
            </w:tcBorders>
            <w:shd w:val="clear" w:color="auto" w:fill="auto"/>
            <w:vAlign w:val="center"/>
          </w:tcPr>
          <w:p w14:paraId="1711727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1.全年新增登记的用人单位不少于2000家（含辖区外），每少1个百分点，扣0.1分；其中有用工需求的用人单位不少于2000家次（含辖区外），每少1个百分点，扣0.1分；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2.全年辖区内新增登记的用人单位不少于500家，每少1个百分点，扣0.1分；其中有用工需求的用人单位不少于800家次，每少1个百分点，扣0.1分；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w:t>
            </w:r>
            <w:r>
              <w:rPr>
                <w:rFonts w:hint="eastAsia" w:ascii="Arial" w:hAnsi="Arial" w:cs="Arial"/>
                <w:color w:val="auto"/>
                <w:kern w:val="0"/>
                <w:szCs w:val="21"/>
                <w:highlight w:val="none"/>
                <w:lang w:eastAsia="zh-CN" w:bidi="ar"/>
              </w:rPr>
              <w:t>.</w:t>
            </w:r>
            <w:r>
              <w:rPr>
                <w:rFonts w:ascii="Arial" w:hAnsi="Arial" w:cs="Arial"/>
                <w:color w:val="auto"/>
                <w:kern w:val="0"/>
                <w:szCs w:val="21"/>
                <w:highlight w:val="none"/>
                <w:lang w:bidi="ar"/>
              </w:rPr>
              <w:t>全年登记的用工需求不少于20000人次（含辖区外），每少1个百分点，扣0.1分；其中辖区内用工需求不少于7000人次，每少1个百分点，扣0.1分。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本项合计最高扣10分。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（新增登记以年度服务周期内首次登记为准）</w:t>
            </w:r>
          </w:p>
        </w:tc>
      </w:tr>
      <w:tr w14:paraId="2973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60F98BD5">
            <w:pPr>
              <w:jc w:val="center"/>
              <w:rPr>
                <w:rFonts w:ascii="Arial" w:hAnsi="Arial" w:cs="Arial"/>
                <w:color w:val="auto"/>
                <w:szCs w:val="21"/>
                <w:highlight w:val="none"/>
              </w:rPr>
            </w:pPr>
          </w:p>
        </w:tc>
        <w:tc>
          <w:tcPr>
            <w:tcW w:w="582" w:type="dxa"/>
            <w:vMerge w:val="restart"/>
            <w:tcBorders>
              <w:tl2br w:val="nil"/>
              <w:tr2bl w:val="nil"/>
            </w:tcBorders>
            <w:shd w:val="clear" w:color="auto" w:fill="auto"/>
            <w:vAlign w:val="center"/>
          </w:tcPr>
          <w:p w14:paraId="6076609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16</w:t>
            </w:r>
          </w:p>
        </w:tc>
        <w:tc>
          <w:tcPr>
            <w:tcW w:w="1047" w:type="dxa"/>
            <w:vMerge w:val="restart"/>
            <w:tcBorders>
              <w:tl2br w:val="nil"/>
              <w:tr2bl w:val="nil"/>
            </w:tcBorders>
            <w:shd w:val="clear" w:color="auto" w:fill="auto"/>
            <w:vAlign w:val="center"/>
          </w:tcPr>
          <w:p w14:paraId="3865590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用工服务（8分）</w:t>
            </w:r>
          </w:p>
        </w:tc>
        <w:tc>
          <w:tcPr>
            <w:tcW w:w="2822" w:type="dxa"/>
            <w:tcBorders>
              <w:tl2br w:val="nil"/>
              <w:tr2bl w:val="nil"/>
            </w:tcBorders>
            <w:shd w:val="clear" w:color="auto" w:fill="auto"/>
            <w:vAlign w:val="center"/>
          </w:tcPr>
          <w:p w14:paraId="2314396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对本县承接的市级重点企业送工任务提供招工服务</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（6分）</w:t>
            </w:r>
          </w:p>
        </w:tc>
        <w:tc>
          <w:tcPr>
            <w:tcW w:w="4434" w:type="dxa"/>
            <w:tcBorders>
              <w:tl2br w:val="nil"/>
              <w:tr2bl w:val="nil"/>
            </w:tcBorders>
            <w:shd w:val="clear" w:color="auto" w:fill="auto"/>
            <w:vAlign w:val="center"/>
          </w:tcPr>
          <w:p w14:paraId="59EB0D8B">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对本县承接的市级重点企业送工任务提供送工服务，完成服务期内涉及年度的送工任务[具体任务由当年上级下达我县的任务数确定]，每少1个百分点，扣0.1分，最高扣6分。</w:t>
            </w:r>
          </w:p>
        </w:tc>
      </w:tr>
      <w:tr w14:paraId="30747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4A674A64">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779DAC40">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76E60FDA">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72FB211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对本县重点企业送工任务提供招工服务（2分）</w:t>
            </w:r>
          </w:p>
        </w:tc>
        <w:tc>
          <w:tcPr>
            <w:tcW w:w="4434" w:type="dxa"/>
            <w:tcBorders>
              <w:tl2br w:val="nil"/>
              <w:tr2bl w:val="nil"/>
            </w:tcBorders>
            <w:shd w:val="clear" w:color="auto" w:fill="auto"/>
            <w:vAlign w:val="center"/>
          </w:tcPr>
          <w:p w14:paraId="27317C26">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 对本县的企业、帮扶车间提供送工服务，累计完成年度送工并入职500人以上。每少1个百分点，扣0.1分，最高扣2分。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2.入职人员身份属于防止返贫致贫对象、高校毕业生、就业困难人员等重点群体的数量达到10人以上的，按照每完成10人可加分0.5分，最高加分不高于2分</w:t>
            </w:r>
          </w:p>
        </w:tc>
      </w:tr>
      <w:tr w14:paraId="2FDC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7FEB14A6">
            <w:pPr>
              <w:jc w:val="center"/>
              <w:rPr>
                <w:rFonts w:ascii="Arial" w:hAnsi="Arial" w:cs="Arial"/>
                <w:color w:val="auto"/>
                <w:szCs w:val="21"/>
                <w:highlight w:val="none"/>
              </w:rPr>
            </w:pPr>
          </w:p>
        </w:tc>
        <w:tc>
          <w:tcPr>
            <w:tcW w:w="582" w:type="dxa"/>
            <w:tcBorders>
              <w:tl2br w:val="nil"/>
              <w:tr2bl w:val="nil"/>
            </w:tcBorders>
            <w:shd w:val="clear" w:color="auto" w:fill="auto"/>
            <w:vAlign w:val="center"/>
          </w:tcPr>
          <w:p w14:paraId="78842D5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17</w:t>
            </w:r>
          </w:p>
        </w:tc>
        <w:tc>
          <w:tcPr>
            <w:tcW w:w="1047" w:type="dxa"/>
            <w:tcBorders>
              <w:tl2br w:val="nil"/>
              <w:tr2bl w:val="nil"/>
            </w:tcBorders>
            <w:shd w:val="clear" w:color="auto" w:fill="auto"/>
            <w:vAlign w:val="center"/>
          </w:tcPr>
          <w:p w14:paraId="01CC91B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培训跟踪（1分）</w:t>
            </w:r>
          </w:p>
        </w:tc>
        <w:tc>
          <w:tcPr>
            <w:tcW w:w="2822" w:type="dxa"/>
            <w:tcBorders>
              <w:tl2br w:val="nil"/>
              <w:tr2bl w:val="nil"/>
            </w:tcBorders>
            <w:shd w:val="clear" w:color="auto" w:fill="auto"/>
            <w:vAlign w:val="center"/>
          </w:tcPr>
          <w:p w14:paraId="1FFEDFF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对前来登记培训需求及推荐培训项目的服务对象进行培训、就业情况跟踪登记   （1分）</w:t>
            </w:r>
          </w:p>
        </w:tc>
        <w:tc>
          <w:tcPr>
            <w:tcW w:w="4434" w:type="dxa"/>
            <w:tcBorders>
              <w:tl2br w:val="nil"/>
              <w:tr2bl w:val="nil"/>
            </w:tcBorders>
            <w:shd w:val="clear" w:color="auto" w:fill="auto"/>
            <w:vAlign w:val="center"/>
          </w:tcPr>
          <w:p w14:paraId="0FE3C3D5">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对前来登记培训需求并推荐培训项目的服务对象进行培训、就业情况跟踪登记，半年内跟踪率达100%，每少1个百分点，扣0.1分，最高扣1分。</w:t>
            </w:r>
          </w:p>
        </w:tc>
      </w:tr>
      <w:tr w14:paraId="3C73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395FB030">
            <w:pPr>
              <w:jc w:val="center"/>
              <w:rPr>
                <w:rFonts w:ascii="Arial" w:hAnsi="Arial" w:cs="Arial"/>
                <w:color w:val="auto"/>
                <w:szCs w:val="21"/>
                <w:highlight w:val="none"/>
              </w:rPr>
            </w:pPr>
          </w:p>
        </w:tc>
        <w:tc>
          <w:tcPr>
            <w:tcW w:w="582" w:type="dxa"/>
            <w:vMerge w:val="restart"/>
            <w:tcBorders>
              <w:tl2br w:val="nil"/>
              <w:tr2bl w:val="nil"/>
            </w:tcBorders>
            <w:shd w:val="clear" w:color="auto" w:fill="auto"/>
            <w:vAlign w:val="center"/>
          </w:tcPr>
          <w:p w14:paraId="26F6E1E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18</w:t>
            </w:r>
          </w:p>
        </w:tc>
        <w:tc>
          <w:tcPr>
            <w:tcW w:w="1047" w:type="dxa"/>
            <w:vMerge w:val="restart"/>
            <w:tcBorders>
              <w:tl2br w:val="nil"/>
              <w:tr2bl w:val="nil"/>
            </w:tcBorders>
            <w:shd w:val="clear" w:color="auto" w:fill="auto"/>
            <w:vAlign w:val="center"/>
          </w:tcPr>
          <w:p w14:paraId="6844304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活动组织（17分）</w:t>
            </w:r>
          </w:p>
        </w:tc>
        <w:tc>
          <w:tcPr>
            <w:tcW w:w="2822" w:type="dxa"/>
            <w:tcBorders>
              <w:tl2br w:val="nil"/>
              <w:tr2bl w:val="nil"/>
            </w:tcBorders>
            <w:shd w:val="clear" w:color="auto" w:fill="auto"/>
            <w:vAlign w:val="center"/>
          </w:tcPr>
          <w:p w14:paraId="1AFE09B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组织招聘会</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（5分）</w:t>
            </w:r>
          </w:p>
        </w:tc>
        <w:tc>
          <w:tcPr>
            <w:tcW w:w="4434" w:type="dxa"/>
            <w:tcBorders>
              <w:tl2br w:val="nil"/>
              <w:tr2bl w:val="nil"/>
            </w:tcBorders>
            <w:shd w:val="clear" w:color="auto" w:fill="auto"/>
            <w:vAlign w:val="center"/>
          </w:tcPr>
          <w:p w14:paraId="1EC6674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按县人社部门要求，定期举行现场招聘会活动，年度内举行招聘会活动不少于12场（其中重点面向毕业生等青年群体、失业人员、防止返贫致贫对象的招聘会不少于4场），每少1场扣1分，最高扣12分。</w:t>
            </w:r>
          </w:p>
        </w:tc>
      </w:tr>
      <w:tr w14:paraId="529D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42622074">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4983CDD1">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607BB64C">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050D669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就业大篷车送岗</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（2分）</w:t>
            </w:r>
          </w:p>
        </w:tc>
        <w:tc>
          <w:tcPr>
            <w:tcW w:w="4434" w:type="dxa"/>
            <w:tcBorders>
              <w:tl2br w:val="nil"/>
              <w:tr2bl w:val="nil"/>
            </w:tcBorders>
            <w:shd w:val="clear" w:color="auto" w:fill="auto"/>
            <w:vAlign w:val="center"/>
          </w:tcPr>
          <w:p w14:paraId="6E26692D">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根据人社部当年的公共就业招聘专项活动（就业援助月、春风行动、百日千万招聘专项行动、直播带岗招聘周、民营企业服务月、金秋招聘月等）开展就业大篷车送岗下乡，每次活动不少于3天。每少一天扣0.5分，最高扣5分。</w:t>
            </w:r>
          </w:p>
        </w:tc>
      </w:tr>
      <w:tr w14:paraId="45B9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0E158B36">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6B8A564E">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351DD750">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54D9DDF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举办职业指导讲座</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4434" w:type="dxa"/>
            <w:tcBorders>
              <w:tl2br w:val="nil"/>
              <w:tr2bl w:val="nil"/>
            </w:tcBorders>
            <w:shd w:val="clear" w:color="auto" w:fill="auto"/>
            <w:vAlign w:val="center"/>
          </w:tcPr>
          <w:p w14:paraId="45255EFE">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按县人社部门要求，举办职业指导讲座活动，全年内举办职业指导讲座不少于4场（其中针对毕业生等青年群体的职业指导讲座不少于2场），每少1期扣0.5分，最高扣2分。</w:t>
            </w:r>
          </w:p>
        </w:tc>
      </w:tr>
      <w:tr w14:paraId="70FF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0B85172E">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0BD6F523">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508706BF">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671AAEB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 xml:space="preserve">举办公益性技能培训 </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 xml:space="preserve">  （1分）</w:t>
            </w:r>
          </w:p>
        </w:tc>
        <w:tc>
          <w:tcPr>
            <w:tcW w:w="4434" w:type="dxa"/>
            <w:tcBorders>
              <w:tl2br w:val="nil"/>
              <w:tr2bl w:val="nil"/>
            </w:tcBorders>
            <w:shd w:val="clear" w:color="auto" w:fill="auto"/>
            <w:vAlign w:val="center"/>
          </w:tcPr>
          <w:p w14:paraId="05ADA0D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按县人社部门要求，举办公益性技能培训活动，全年内举办公益性技能培训活动不少于6期，每少1期扣0.5分，最高扣3分。</w:t>
            </w:r>
          </w:p>
        </w:tc>
      </w:tr>
      <w:tr w14:paraId="2ECBA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02F52403">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11734BF4">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0F35805A">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1289A35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组织参加补贴性培训（含序号14“技能培训”组织参加补贴性技能培训）（5分）</w:t>
            </w:r>
          </w:p>
        </w:tc>
        <w:tc>
          <w:tcPr>
            <w:tcW w:w="4434" w:type="dxa"/>
            <w:tcBorders>
              <w:tl2br w:val="nil"/>
              <w:tr2bl w:val="nil"/>
            </w:tcBorders>
            <w:shd w:val="clear" w:color="auto" w:fill="auto"/>
            <w:vAlign w:val="center"/>
          </w:tcPr>
          <w:p w14:paraId="454CCFC5">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1.组织已在本市场登记培训需求的“五类人员”参加补贴性培训，全年组织人数不低于 100 人， 每少 1个百分点扣 0.1 分，最高扣 3 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2.严禁联合培训机构等主体， 引导已在培训机构明确参训意向的人员，转移至本市场完成培训需求登记后再组织其参训。 经县人社部门抽查确认的，每发现 1 例扣 1 分， 最高扣 5 分。</w:t>
            </w:r>
          </w:p>
        </w:tc>
      </w:tr>
      <w:tr w14:paraId="7ECC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54CA79C9">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76AEFA85">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31CDACBD">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3A68A23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开展直播带岗活动</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（2分）</w:t>
            </w:r>
          </w:p>
        </w:tc>
        <w:tc>
          <w:tcPr>
            <w:tcW w:w="4434" w:type="dxa"/>
            <w:tcBorders>
              <w:tl2br w:val="nil"/>
              <w:tr2bl w:val="nil"/>
            </w:tcBorders>
            <w:shd w:val="clear" w:color="auto" w:fill="auto"/>
            <w:vAlign w:val="center"/>
          </w:tcPr>
          <w:p w14:paraId="5B239309">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按县人社部门要求， 开展直播带岗活动， 全年举办直播带岗活动不少于 12 期， 每少 1 期扣 1分，最高扣 12 分。</w:t>
            </w:r>
          </w:p>
        </w:tc>
      </w:tr>
      <w:tr w14:paraId="0E0D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0A523512">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0ECAB435">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116FFF5E">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10A46FC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开展政策宣讲活动</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4434" w:type="dxa"/>
            <w:tcBorders>
              <w:tl2br w:val="nil"/>
              <w:tr2bl w:val="nil"/>
            </w:tcBorders>
            <w:shd w:val="clear" w:color="auto" w:fill="auto"/>
            <w:vAlign w:val="center"/>
          </w:tcPr>
          <w:p w14:paraId="0F60C25E">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按县人社部门要求，举办政策宣讲活动，全年举办政策宣讲活动不少于4次，每少1场扣0.5分，最高扣2分。</w:t>
            </w:r>
          </w:p>
        </w:tc>
      </w:tr>
      <w:tr w14:paraId="43F7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30A5833E">
            <w:pPr>
              <w:jc w:val="center"/>
              <w:rPr>
                <w:rFonts w:ascii="Arial" w:hAnsi="Arial" w:cs="Arial"/>
                <w:color w:val="auto"/>
                <w:szCs w:val="21"/>
                <w:highlight w:val="none"/>
              </w:rPr>
            </w:pPr>
          </w:p>
        </w:tc>
        <w:tc>
          <w:tcPr>
            <w:tcW w:w="582" w:type="dxa"/>
            <w:vMerge w:val="restart"/>
            <w:tcBorders>
              <w:tl2br w:val="nil"/>
              <w:tr2bl w:val="nil"/>
            </w:tcBorders>
            <w:shd w:val="clear" w:color="auto" w:fill="auto"/>
            <w:vAlign w:val="center"/>
          </w:tcPr>
          <w:p w14:paraId="58A8B2D2">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19</w:t>
            </w:r>
          </w:p>
        </w:tc>
        <w:tc>
          <w:tcPr>
            <w:tcW w:w="1047" w:type="dxa"/>
            <w:vMerge w:val="restart"/>
            <w:tcBorders>
              <w:tl2br w:val="nil"/>
              <w:tr2bl w:val="nil"/>
            </w:tcBorders>
            <w:shd w:val="clear" w:color="auto" w:fill="auto"/>
            <w:vAlign w:val="center"/>
          </w:tcPr>
          <w:p w14:paraId="5AE0FF3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社会宣传（4分）</w:t>
            </w:r>
          </w:p>
        </w:tc>
        <w:tc>
          <w:tcPr>
            <w:tcW w:w="2822" w:type="dxa"/>
            <w:tcBorders>
              <w:tl2br w:val="nil"/>
              <w:tr2bl w:val="nil"/>
            </w:tcBorders>
            <w:shd w:val="clear" w:color="auto" w:fill="auto"/>
            <w:vAlign w:val="center"/>
          </w:tcPr>
          <w:p w14:paraId="04AB2A5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资料配备</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4434" w:type="dxa"/>
            <w:tcBorders>
              <w:tl2br w:val="nil"/>
              <w:tr2bl w:val="nil"/>
            </w:tcBorders>
            <w:shd w:val="clear" w:color="auto" w:fill="auto"/>
            <w:vAlign w:val="center"/>
          </w:tcPr>
          <w:p w14:paraId="3584D54D">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在市场内公告栏、政策取阅架等地方定期放置就业创业政策宣传材料，全年印制各类宣传材料不少于10000份，每少1个百分点，扣0.1分，最高扣1分。</w:t>
            </w:r>
          </w:p>
        </w:tc>
      </w:tr>
      <w:tr w14:paraId="290B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13D5EAC5">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109C52B9">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581E3DCD">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1B35BCF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宣传推广</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（3分）</w:t>
            </w:r>
          </w:p>
        </w:tc>
        <w:tc>
          <w:tcPr>
            <w:tcW w:w="4434" w:type="dxa"/>
            <w:tcBorders>
              <w:tl2br w:val="nil"/>
              <w:tr2bl w:val="nil"/>
            </w:tcBorders>
            <w:shd w:val="clear" w:color="auto" w:fill="auto"/>
            <w:vAlign w:val="center"/>
          </w:tcPr>
          <w:p w14:paraId="779EFAE3">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 通过广播、电视、报纸等新闻媒介及官方网站、微信公众号、抖音等各类网络媒体，开展市场相关服务宣传。全年在各类新闻媒介和网络媒体发布宣传视频、宣传文章不少于30篇，每少1篇，扣0.1分。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2.在全县范围内的人员密集场所、电子屏、移动宣传载体等发放或张贴服务二维码或宣传海报等，宣传人力资源市场/零工市场不少于50处。每发现少1处未开展的，扣0.1分；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3.制作人力资源市场/零工市场经验类、推广类宣传视频不少于1条，每条视频时长不少于3分钟，无宣传视频或视频不符合要求的，扣1分。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本项合计最高扣3分</w:t>
            </w:r>
          </w:p>
        </w:tc>
      </w:tr>
      <w:tr w14:paraId="1013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055" w:type="dxa"/>
            <w:vMerge w:val="continue"/>
            <w:tcBorders>
              <w:tl2br w:val="nil"/>
              <w:tr2bl w:val="nil"/>
            </w:tcBorders>
            <w:shd w:val="clear" w:color="auto" w:fill="auto"/>
            <w:vAlign w:val="center"/>
          </w:tcPr>
          <w:p w14:paraId="440F48B3">
            <w:pPr>
              <w:jc w:val="center"/>
              <w:rPr>
                <w:rFonts w:ascii="Arial" w:hAnsi="Arial" w:cs="Arial"/>
                <w:color w:val="auto"/>
                <w:szCs w:val="21"/>
                <w:highlight w:val="none"/>
              </w:rPr>
            </w:pPr>
          </w:p>
        </w:tc>
        <w:tc>
          <w:tcPr>
            <w:tcW w:w="582" w:type="dxa"/>
            <w:vMerge w:val="restart"/>
            <w:tcBorders>
              <w:tl2br w:val="nil"/>
              <w:tr2bl w:val="nil"/>
            </w:tcBorders>
            <w:shd w:val="clear" w:color="auto" w:fill="auto"/>
            <w:vAlign w:val="center"/>
          </w:tcPr>
          <w:p w14:paraId="1964CD0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20</w:t>
            </w:r>
          </w:p>
        </w:tc>
        <w:tc>
          <w:tcPr>
            <w:tcW w:w="1047" w:type="dxa"/>
            <w:vMerge w:val="restart"/>
            <w:tcBorders>
              <w:tl2br w:val="nil"/>
              <w:tr2bl w:val="nil"/>
            </w:tcBorders>
            <w:shd w:val="clear" w:color="auto" w:fill="auto"/>
            <w:vAlign w:val="center"/>
          </w:tcPr>
          <w:p w14:paraId="4B1947E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规范配备（基础分20分，可+5分）</w:t>
            </w:r>
          </w:p>
        </w:tc>
        <w:tc>
          <w:tcPr>
            <w:tcW w:w="2822" w:type="dxa"/>
            <w:tcBorders>
              <w:tl2br w:val="nil"/>
              <w:tr2bl w:val="nil"/>
            </w:tcBorders>
            <w:shd w:val="clear" w:color="auto" w:fill="auto"/>
            <w:vAlign w:val="center"/>
          </w:tcPr>
          <w:p w14:paraId="23E826A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服务场所</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（1分，可+2分）</w:t>
            </w:r>
          </w:p>
        </w:tc>
        <w:tc>
          <w:tcPr>
            <w:tcW w:w="4434" w:type="dxa"/>
            <w:tcBorders>
              <w:tl2br w:val="nil"/>
              <w:tr2bl w:val="nil"/>
            </w:tcBorders>
            <w:shd w:val="clear" w:color="auto" w:fill="auto"/>
            <w:vAlign w:val="center"/>
          </w:tcPr>
          <w:p w14:paraId="1C1FEEA6">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按照《宾阳县人力资源市场（加挂零工市场）规范配备标准》，常态设置柜面服务区、信息发布区、数智求职区、等候休息区、职业培训区、线上直播区、便民服务区等基本功能区域。</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1.基本功能区域每发现少1项或设置不合理的，扣0.1分；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2.每增设1个功能区域（视频面试间、24小时人社自助服务区等）的，加0.5分；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本项合计最高加2分，最高扣5分。</w:t>
            </w:r>
          </w:p>
        </w:tc>
      </w:tr>
      <w:tr w14:paraId="7ECD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46FA9D5A">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177361B6">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407838B1">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5F23B34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服务设施</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（3分，可+1分）</w:t>
            </w:r>
          </w:p>
        </w:tc>
        <w:tc>
          <w:tcPr>
            <w:tcW w:w="4434" w:type="dxa"/>
            <w:tcBorders>
              <w:tl2br w:val="nil"/>
              <w:tr2bl w:val="nil"/>
            </w:tcBorders>
            <w:shd w:val="clear" w:color="auto" w:fill="auto"/>
            <w:vAlign w:val="center"/>
          </w:tcPr>
          <w:p w14:paraId="77A13727">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按照《宾阳县人力资源市场（加挂零工市场）规范配备标准》，常态配备必要的办公服务、求职服务、便民服务、安全防护等设施设备，满足日常服务需要。</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1.对照规范配备标准，每发现1项配备不达标，扣1分；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2.每增加1台服务设备[求职招聘自助服务机、求职招聘信息发布一体机（含展示分析服务）]、自助服务设备（招聘直播机、智能AI招聘设备等），或每增加1个直播带岗区域（含直播带岗设备），加0.5分；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3.每发现1次服务设备（办公服务、求职服务、便民服务、安全防护等设施设备）不能正常运行的，扣0.1分；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4.每发现1次统一标识损坏且不及时维修更换的，扣0.5分；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本项合计最高加1分，最高扣20分。</w:t>
            </w:r>
          </w:p>
        </w:tc>
      </w:tr>
      <w:tr w14:paraId="7AFB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39079720">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733D712D">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172BC14A">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04A2E3C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服务团队</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（5分，可+2分）</w:t>
            </w:r>
          </w:p>
        </w:tc>
        <w:tc>
          <w:tcPr>
            <w:tcW w:w="4434" w:type="dxa"/>
            <w:tcBorders>
              <w:tl2br w:val="nil"/>
              <w:tr2bl w:val="nil"/>
            </w:tcBorders>
            <w:shd w:val="clear" w:color="auto" w:fill="auto"/>
            <w:vAlign w:val="center"/>
          </w:tcPr>
          <w:p w14:paraId="78088C4C">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按照《宾阳县人力资源市场（加挂零工市场）规范配备标准》常</w:t>
            </w:r>
            <w:r>
              <w:rPr>
                <w:rFonts w:hint="eastAsia" w:ascii="Arial" w:hAnsi="Arial" w:cs="Arial"/>
                <w:color w:val="auto"/>
                <w:kern w:val="0"/>
                <w:szCs w:val="21"/>
                <w:highlight w:val="none"/>
                <w:lang w:eastAsia="zh-CN" w:bidi="ar"/>
              </w:rPr>
              <w:t>态化</w:t>
            </w:r>
            <w:r>
              <w:rPr>
                <w:rFonts w:ascii="Arial" w:hAnsi="Arial" w:cs="Arial"/>
                <w:color w:val="auto"/>
                <w:kern w:val="0"/>
                <w:szCs w:val="21"/>
                <w:highlight w:val="none"/>
                <w:lang w:bidi="ar"/>
              </w:rPr>
              <w:t>配备专业的运营服务队伍，驻点主任1人，常态化在岗专职服务人员不少于2人，市场每周服务不少于6天、每天服务时长不少于8小时的服务要求。</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1.每多配1人，加1分；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2.站点常态化运营时间全年每天均多1个小时的，加0.5分；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3.每发现1次主任未履职的，扣0.5分；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4.每发现1次专职人员不在岗的，扣0.5分。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5.每发现服务天数少1天的，扣0.2分；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6.每发现服务时长少1个小时，扣0.1分。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本项合计最高加2分，最高扣20分。</w:t>
            </w:r>
          </w:p>
        </w:tc>
      </w:tr>
      <w:tr w14:paraId="1C4B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14A096BE">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6FC3B30A">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41B8736E">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5C3112E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服务标识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（4分）</w:t>
            </w:r>
          </w:p>
        </w:tc>
        <w:tc>
          <w:tcPr>
            <w:tcW w:w="4434" w:type="dxa"/>
            <w:tcBorders>
              <w:tl2br w:val="nil"/>
              <w:tr2bl w:val="nil"/>
            </w:tcBorders>
            <w:shd w:val="clear" w:color="auto" w:fill="auto"/>
            <w:vAlign w:val="center"/>
          </w:tcPr>
          <w:p w14:paraId="61AF4737">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统一命名规则、统一视觉识别、统一服务清单、统一服务规范。</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1.每发现1次标识标牌、徽标图案等损坏且不及时维修更换的，扣0.5分；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2.每发现1次命名规则、市场简介、服务背景、服务网点分布图、服务事项清单、服务标语、服务指引、服务时间、服务团队、管理服务规范等不符合要求或未及时更新内容的，扣0.1分。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3.制定管理服务规范（含首问负责制、限时办结制、一次性告知制等）、安全生产管理、卫生管理、人员管理、设施设备管理、保密管理等制度并遵照执行，每发现1项不符合要求的，扣0.1分；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4.每发现1次未在显眼位置张贴服务二维码的，扣0.1分。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5.每发现1次工作人员未统一着装或配挂工牌的，扣0.1分。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本项合计最高扣4分，</w:t>
            </w:r>
          </w:p>
        </w:tc>
      </w:tr>
      <w:tr w14:paraId="7C26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274098D7">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7434405A">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1395AB25">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6FD3540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服务台账</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（2分）</w:t>
            </w:r>
          </w:p>
        </w:tc>
        <w:tc>
          <w:tcPr>
            <w:tcW w:w="4434" w:type="dxa"/>
            <w:tcBorders>
              <w:tl2br w:val="nil"/>
              <w:tr2bl w:val="nil"/>
            </w:tcBorders>
            <w:shd w:val="clear" w:color="auto" w:fill="auto"/>
            <w:vAlign w:val="center"/>
          </w:tcPr>
          <w:p w14:paraId="194B631E">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通过信息平台（无信息平台的通过纸质材料）对业务开展过程中产生的求职人员、用人单位的服务台账（包括但不限于咨询、求职、用工、就业服务和活动组织等内容）进行及时、分类归档（关键档案需提供原始纸质或影像材料支撑），每发现1项不符合要求的，扣0.5分，最高扣2分</w:t>
            </w:r>
          </w:p>
        </w:tc>
      </w:tr>
      <w:tr w14:paraId="286EC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0" w:hRule="atLeast"/>
        </w:trPr>
        <w:tc>
          <w:tcPr>
            <w:tcW w:w="1055" w:type="dxa"/>
            <w:vMerge w:val="continue"/>
            <w:tcBorders>
              <w:tl2br w:val="nil"/>
              <w:tr2bl w:val="nil"/>
            </w:tcBorders>
            <w:shd w:val="clear" w:color="auto" w:fill="auto"/>
            <w:vAlign w:val="center"/>
          </w:tcPr>
          <w:p w14:paraId="600B0E2A">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232B4FC7">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4FA05C0F">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55F8925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服务系统</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（5分）</w:t>
            </w:r>
          </w:p>
        </w:tc>
        <w:tc>
          <w:tcPr>
            <w:tcW w:w="4434" w:type="dxa"/>
            <w:tcBorders>
              <w:tl2br w:val="nil"/>
              <w:tr2bl w:val="nil"/>
            </w:tcBorders>
            <w:shd w:val="clear" w:color="auto" w:fill="auto"/>
            <w:vAlign w:val="center"/>
          </w:tcPr>
          <w:p w14:paraId="3C12630D">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1.能统一接入南宁市人力资源和社会保障局指定或认可的线上公共就业服务平台，实时收集、更新、发布及跟踪招聘求职培训创业信息，未能接入的扣3分；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2.实现就业“一库一平台”数据互联互通，未能实现的扣3分；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3.建立多级调度监测机制，能远程监测和科学直观了解辖区服务网点的运营数据，实现分站点、分时段、分类型等服务数据监测、分析、统计、调度、展示，未能实现的，扣3分。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4.对属于提供中枢服务功能的， 能远程实时监控和调度本辖区运营方工作人员的服务状况和网点运行情况，并能接受上级（ 或中枢性） 网点监控和调度。未能实现的，扣3分。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本项合计最高扣12分。</w:t>
            </w:r>
          </w:p>
        </w:tc>
      </w:tr>
      <w:tr w14:paraId="0BAB3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3E062954">
            <w:pPr>
              <w:jc w:val="center"/>
              <w:rPr>
                <w:rFonts w:ascii="Arial" w:hAnsi="Arial" w:cs="Arial"/>
                <w:color w:val="auto"/>
                <w:szCs w:val="21"/>
                <w:highlight w:val="none"/>
              </w:rPr>
            </w:pPr>
          </w:p>
        </w:tc>
        <w:tc>
          <w:tcPr>
            <w:tcW w:w="582" w:type="dxa"/>
            <w:vMerge w:val="restart"/>
            <w:tcBorders>
              <w:tl2br w:val="nil"/>
              <w:tr2bl w:val="nil"/>
            </w:tcBorders>
            <w:shd w:val="clear" w:color="auto" w:fill="auto"/>
            <w:vAlign w:val="center"/>
          </w:tcPr>
          <w:p w14:paraId="0D6C4852">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21</w:t>
            </w:r>
          </w:p>
        </w:tc>
        <w:tc>
          <w:tcPr>
            <w:tcW w:w="1047" w:type="dxa"/>
            <w:vMerge w:val="restart"/>
            <w:tcBorders>
              <w:tl2br w:val="nil"/>
              <w:tr2bl w:val="nil"/>
            </w:tcBorders>
            <w:shd w:val="clear" w:color="auto" w:fill="auto"/>
            <w:vAlign w:val="center"/>
          </w:tcPr>
          <w:p w14:paraId="0E1F2C3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品牌建设（+15分）</w:t>
            </w:r>
          </w:p>
        </w:tc>
        <w:tc>
          <w:tcPr>
            <w:tcW w:w="2822" w:type="dxa"/>
            <w:tcBorders>
              <w:tl2br w:val="nil"/>
              <w:tr2bl w:val="nil"/>
            </w:tcBorders>
            <w:shd w:val="clear" w:color="auto" w:fill="auto"/>
            <w:vAlign w:val="center"/>
          </w:tcPr>
          <w:p w14:paraId="5CF0C75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经验推广</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（2分）</w:t>
            </w:r>
          </w:p>
        </w:tc>
        <w:tc>
          <w:tcPr>
            <w:tcW w:w="4434" w:type="dxa"/>
            <w:tcBorders>
              <w:tl2br w:val="nil"/>
              <w:tr2bl w:val="nil"/>
            </w:tcBorders>
            <w:shd w:val="clear" w:color="auto" w:fill="auto"/>
            <w:vAlign w:val="center"/>
          </w:tcPr>
          <w:p w14:paraId="1C1C7B19">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在县级及以上培训、会议、简报、文件做经验介绍或推广，国家级，加1分；省级，加0.5分；市级，加0.3分，县级，加0.1分。按次计算，最高加2分。</w:t>
            </w:r>
          </w:p>
        </w:tc>
      </w:tr>
      <w:tr w14:paraId="4939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42AE5488">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34EDB342">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1E02BA41">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69B009D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正面报道</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4434" w:type="dxa"/>
            <w:tcBorders>
              <w:tl2br w:val="nil"/>
              <w:tr2bl w:val="nil"/>
            </w:tcBorders>
            <w:shd w:val="clear" w:color="auto" w:fill="auto"/>
            <w:vAlign w:val="center"/>
          </w:tcPr>
          <w:p w14:paraId="21760F64">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获得县级及以上主流媒体（包括但不限于报刊、杂志、电视、广播、网络）正面报道的，国家级，加0.5分；省级，加0.3分；市级，加0.2分，县级，加0.1分。按次计算，最高加1分。</w:t>
            </w:r>
          </w:p>
        </w:tc>
      </w:tr>
      <w:tr w14:paraId="54FF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31D0754D">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2530CCB0">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5C293AE0">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34C4936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肯定表扬</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4434" w:type="dxa"/>
            <w:tcBorders>
              <w:tl2br w:val="nil"/>
              <w:tr2bl w:val="nil"/>
            </w:tcBorders>
            <w:shd w:val="clear" w:color="auto" w:fill="auto"/>
            <w:vAlign w:val="center"/>
          </w:tcPr>
          <w:p w14:paraId="7457525E">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获得上级部门主要领导肯定表扬的，国家级，加1分；省级，加0.5分；市级，加0.3分，县级，加0.1分，按次计算，最高加1分。</w:t>
            </w:r>
          </w:p>
        </w:tc>
      </w:tr>
      <w:tr w14:paraId="0C32E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786861C4">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577B8EB1">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3A1E0B1F">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2D9D708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现场观摩</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4434" w:type="dxa"/>
            <w:tcBorders>
              <w:tl2br w:val="nil"/>
              <w:tr2bl w:val="nil"/>
            </w:tcBorders>
            <w:shd w:val="clear" w:color="auto" w:fill="auto"/>
            <w:vAlign w:val="center"/>
          </w:tcPr>
          <w:p w14:paraId="0BF33487">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接待县级及以上单位现场观摩的，国家级，加1分；省级，加0.2分；市级，加0.1分，县级加0.05分，按次计算，最高加1分。</w:t>
            </w:r>
          </w:p>
        </w:tc>
      </w:tr>
      <w:tr w14:paraId="43D88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173E4D69">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4C2C7223">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60237D02">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4C7F9CD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孵化基地建设（5分）</w:t>
            </w:r>
          </w:p>
        </w:tc>
        <w:tc>
          <w:tcPr>
            <w:tcW w:w="4434" w:type="dxa"/>
            <w:tcBorders>
              <w:tl2br w:val="nil"/>
              <w:tr2bl w:val="nil"/>
            </w:tcBorders>
            <w:shd w:val="clear" w:color="auto" w:fill="auto"/>
            <w:vAlign w:val="center"/>
          </w:tcPr>
          <w:p w14:paraId="56B04875">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为我县成功创建一个及以上的创业孵化基地，可加5分</w:t>
            </w:r>
          </w:p>
        </w:tc>
      </w:tr>
      <w:tr w14:paraId="7C0A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651AC552">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4F10C363">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51249CAF">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049BB8C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劳务品牌培育（5分）</w:t>
            </w:r>
          </w:p>
        </w:tc>
        <w:tc>
          <w:tcPr>
            <w:tcW w:w="4434" w:type="dxa"/>
            <w:tcBorders>
              <w:tl2br w:val="nil"/>
              <w:tr2bl w:val="nil"/>
            </w:tcBorders>
            <w:shd w:val="clear" w:color="auto" w:fill="auto"/>
            <w:vAlign w:val="center"/>
          </w:tcPr>
          <w:p w14:paraId="650B42B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为我县成功培育一个及以上的劳务品牌，可加5分</w:t>
            </w:r>
          </w:p>
        </w:tc>
      </w:tr>
      <w:tr w14:paraId="2DAE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3198E6A0">
            <w:pPr>
              <w:jc w:val="center"/>
              <w:rPr>
                <w:rFonts w:ascii="Arial" w:hAnsi="Arial" w:cs="Arial"/>
                <w:color w:val="auto"/>
                <w:szCs w:val="21"/>
                <w:highlight w:val="none"/>
              </w:rPr>
            </w:pPr>
          </w:p>
        </w:tc>
        <w:tc>
          <w:tcPr>
            <w:tcW w:w="582" w:type="dxa"/>
            <w:vMerge w:val="restart"/>
            <w:tcBorders>
              <w:tl2br w:val="nil"/>
              <w:tr2bl w:val="nil"/>
            </w:tcBorders>
            <w:shd w:val="clear" w:color="auto" w:fill="auto"/>
            <w:vAlign w:val="center"/>
          </w:tcPr>
          <w:p w14:paraId="51D45A7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22</w:t>
            </w:r>
          </w:p>
        </w:tc>
        <w:tc>
          <w:tcPr>
            <w:tcW w:w="1047" w:type="dxa"/>
            <w:vMerge w:val="restart"/>
            <w:tcBorders>
              <w:tl2br w:val="nil"/>
              <w:tr2bl w:val="nil"/>
            </w:tcBorders>
            <w:shd w:val="clear" w:color="auto" w:fill="auto"/>
            <w:vAlign w:val="center"/>
          </w:tcPr>
          <w:p w14:paraId="5A9F9F5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风险管控（-10分）</w:t>
            </w:r>
          </w:p>
        </w:tc>
        <w:tc>
          <w:tcPr>
            <w:tcW w:w="2822" w:type="dxa"/>
            <w:tcBorders>
              <w:tl2br w:val="nil"/>
              <w:tr2bl w:val="nil"/>
            </w:tcBorders>
            <w:shd w:val="clear" w:color="auto" w:fill="auto"/>
            <w:vAlign w:val="center"/>
          </w:tcPr>
          <w:p w14:paraId="38B075B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安全生产</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（-2分）</w:t>
            </w:r>
          </w:p>
        </w:tc>
        <w:tc>
          <w:tcPr>
            <w:tcW w:w="4434" w:type="dxa"/>
            <w:tcBorders>
              <w:tl2br w:val="nil"/>
              <w:tr2bl w:val="nil"/>
            </w:tcBorders>
            <w:shd w:val="clear" w:color="auto" w:fill="auto"/>
            <w:vAlign w:val="center"/>
          </w:tcPr>
          <w:p w14:paraId="64A1C925">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经应急管理部门、行业主管安全生产监管部门定性为安全生产责任事故的，实行一票否决制（当年度考核不合格，下同）；一般安全生产隐患或轻微责任事故，视整改及时性和造成影响程度，扣1-2分。</w:t>
            </w:r>
          </w:p>
        </w:tc>
      </w:tr>
      <w:tr w14:paraId="7156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1BDBE808">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5E6139EB">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52F7E35B">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0ADA04F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违法乱纪</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（-2分）</w:t>
            </w:r>
          </w:p>
        </w:tc>
        <w:tc>
          <w:tcPr>
            <w:tcW w:w="4434" w:type="dxa"/>
            <w:tcBorders>
              <w:tl2br w:val="nil"/>
              <w:tr2bl w:val="nil"/>
            </w:tcBorders>
            <w:shd w:val="clear" w:color="auto" w:fill="auto"/>
            <w:vAlign w:val="center"/>
          </w:tcPr>
          <w:p w14:paraId="68FDF2BD">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经公安等部门定性存在违法犯罪行为或严重违法违规问题的，实行一票否决制；存在轻微违规行为且被相关部门通报批评的，视情节严重程度，扣1-2分。</w:t>
            </w:r>
          </w:p>
        </w:tc>
      </w:tr>
      <w:tr w14:paraId="7E99E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11841D54">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1465C79B">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1FA73F9B">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6E3FDCE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数据安全、信息规范</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（-2分）</w:t>
            </w:r>
          </w:p>
        </w:tc>
        <w:tc>
          <w:tcPr>
            <w:tcW w:w="4434" w:type="dxa"/>
            <w:tcBorders>
              <w:tl2br w:val="nil"/>
              <w:tr2bl w:val="nil"/>
            </w:tcBorders>
            <w:shd w:val="clear" w:color="auto" w:fill="auto"/>
            <w:vAlign w:val="center"/>
          </w:tcPr>
          <w:p w14:paraId="230B2BBE">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经网信部门、公安部门等定性存在重大数据泄露、违规处理数据等违反《</w:t>
            </w:r>
            <w:r>
              <w:rPr>
                <w:rFonts w:hint="eastAsia" w:ascii="Arial" w:hAnsi="Arial" w:cs="Arial"/>
                <w:color w:val="auto"/>
                <w:kern w:val="0"/>
                <w:szCs w:val="21"/>
                <w:highlight w:val="none"/>
                <w:lang w:eastAsia="zh-CN" w:bidi="ar"/>
              </w:rPr>
              <w:t>中华人民共和国数据安全法</w:t>
            </w:r>
            <w:r>
              <w:rPr>
                <w:rFonts w:ascii="Arial" w:hAnsi="Arial" w:cs="Arial"/>
                <w:color w:val="auto"/>
                <w:kern w:val="0"/>
                <w:szCs w:val="21"/>
                <w:highlight w:val="none"/>
                <w:lang w:bidi="ar"/>
              </w:rPr>
              <w:t>》《</w:t>
            </w:r>
            <w:r>
              <w:rPr>
                <w:rFonts w:hint="eastAsia" w:ascii="Arial" w:hAnsi="Arial" w:cs="Arial"/>
                <w:color w:val="auto"/>
                <w:kern w:val="0"/>
                <w:szCs w:val="21"/>
                <w:highlight w:val="none"/>
                <w:lang w:eastAsia="zh-CN" w:bidi="ar"/>
              </w:rPr>
              <w:t>中华人民共和国个人信息保护法</w:t>
            </w:r>
            <w:r>
              <w:rPr>
                <w:rFonts w:ascii="Arial" w:hAnsi="Arial" w:cs="Arial"/>
                <w:color w:val="auto"/>
                <w:kern w:val="0"/>
                <w:szCs w:val="21"/>
                <w:highlight w:val="none"/>
                <w:lang w:bidi="ar"/>
              </w:rPr>
              <w:t>》行为的，实行一票否决制；存在一般数据安全、信息发布不规范等问题且被相关部门责令整改的，视数据敏感程度和影响范围，扣1-2分。</w:t>
            </w:r>
          </w:p>
        </w:tc>
      </w:tr>
      <w:tr w14:paraId="048F1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707F185F">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56D6EBB9">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0E1DF1C0">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2DD0088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负面舆情</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（-2分）</w:t>
            </w:r>
          </w:p>
        </w:tc>
        <w:tc>
          <w:tcPr>
            <w:tcW w:w="4434" w:type="dxa"/>
            <w:tcBorders>
              <w:tl2br w:val="nil"/>
              <w:tr2bl w:val="nil"/>
            </w:tcBorders>
            <w:shd w:val="clear" w:color="auto" w:fill="auto"/>
            <w:vAlign w:val="center"/>
          </w:tcPr>
          <w:p w14:paraId="20E4CCBC">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经宣传部门、网信部门等定性因自身原因引发重大负面舆情，造成恶劣社会影响且处置不力的，实行一票否决制；引发一般负面舆情但及时有效处置的，视舆情传播范围和影响程度，扣1-2分。</w:t>
            </w:r>
          </w:p>
        </w:tc>
      </w:tr>
      <w:tr w14:paraId="1B58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55" w:type="dxa"/>
            <w:vMerge w:val="continue"/>
            <w:tcBorders>
              <w:tl2br w:val="nil"/>
              <w:tr2bl w:val="nil"/>
            </w:tcBorders>
            <w:shd w:val="clear" w:color="auto" w:fill="auto"/>
            <w:vAlign w:val="center"/>
          </w:tcPr>
          <w:p w14:paraId="00266106">
            <w:pPr>
              <w:jc w:val="center"/>
              <w:rPr>
                <w:rFonts w:ascii="Arial" w:hAnsi="Arial" w:cs="Arial"/>
                <w:color w:val="auto"/>
                <w:szCs w:val="21"/>
                <w:highlight w:val="none"/>
              </w:rPr>
            </w:pPr>
          </w:p>
        </w:tc>
        <w:tc>
          <w:tcPr>
            <w:tcW w:w="582" w:type="dxa"/>
            <w:vMerge w:val="continue"/>
            <w:tcBorders>
              <w:tl2br w:val="nil"/>
              <w:tr2bl w:val="nil"/>
            </w:tcBorders>
            <w:shd w:val="clear" w:color="auto" w:fill="auto"/>
            <w:vAlign w:val="center"/>
          </w:tcPr>
          <w:p w14:paraId="5B64CE7D">
            <w:pPr>
              <w:jc w:val="center"/>
              <w:rPr>
                <w:rFonts w:ascii="Arial" w:hAnsi="Arial" w:cs="Arial"/>
                <w:color w:val="auto"/>
                <w:szCs w:val="21"/>
                <w:highlight w:val="none"/>
              </w:rPr>
            </w:pPr>
          </w:p>
        </w:tc>
        <w:tc>
          <w:tcPr>
            <w:tcW w:w="1047" w:type="dxa"/>
            <w:vMerge w:val="continue"/>
            <w:tcBorders>
              <w:tl2br w:val="nil"/>
              <w:tr2bl w:val="nil"/>
            </w:tcBorders>
            <w:shd w:val="clear" w:color="auto" w:fill="auto"/>
            <w:vAlign w:val="center"/>
          </w:tcPr>
          <w:p w14:paraId="45526ACD">
            <w:pPr>
              <w:jc w:val="center"/>
              <w:rPr>
                <w:rFonts w:ascii="Arial" w:hAnsi="Arial" w:cs="Arial"/>
                <w:color w:val="auto"/>
                <w:szCs w:val="21"/>
                <w:highlight w:val="none"/>
              </w:rPr>
            </w:pPr>
          </w:p>
        </w:tc>
        <w:tc>
          <w:tcPr>
            <w:tcW w:w="2822" w:type="dxa"/>
            <w:tcBorders>
              <w:tl2br w:val="nil"/>
              <w:tr2bl w:val="nil"/>
            </w:tcBorders>
            <w:shd w:val="clear" w:color="auto" w:fill="auto"/>
            <w:vAlign w:val="center"/>
          </w:tcPr>
          <w:p w14:paraId="05D8171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违规收费</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（-2分）</w:t>
            </w:r>
          </w:p>
        </w:tc>
        <w:tc>
          <w:tcPr>
            <w:tcW w:w="4434" w:type="dxa"/>
            <w:tcBorders>
              <w:tl2br w:val="nil"/>
              <w:tr2bl w:val="nil"/>
            </w:tcBorders>
            <w:shd w:val="clear" w:color="auto" w:fill="auto"/>
            <w:vAlign w:val="center"/>
          </w:tcPr>
          <w:p w14:paraId="4DFA6DF3">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经人社部门定性存在超范围收费、超标准收费、乱收费等严重违规收费行为的，实行一票否决制；存在轻微违规收费行为且已整改的，视违规收费金额和涉及范围，扣1-2分。</w:t>
            </w:r>
          </w:p>
        </w:tc>
      </w:tr>
    </w:tbl>
    <w:p w14:paraId="3B3BB8AA">
      <w:pPr>
        <w:spacing w:line="240" w:lineRule="exact"/>
        <w:rPr>
          <w:rFonts w:ascii="Arial" w:hAnsi="Arial" w:cs="Arial"/>
          <w:color w:val="auto"/>
          <w:szCs w:val="21"/>
          <w:highlight w:val="none"/>
        </w:rPr>
      </w:pPr>
    </w:p>
    <w:p w14:paraId="7D2834A9">
      <w:pPr>
        <w:spacing w:line="240" w:lineRule="exact"/>
        <w:rPr>
          <w:rFonts w:ascii="Arial" w:hAnsi="Arial" w:cs="Arial"/>
          <w:color w:val="auto"/>
          <w:szCs w:val="21"/>
          <w:highlight w:val="none"/>
        </w:rPr>
      </w:pPr>
    </w:p>
    <w:p w14:paraId="0A792E9C">
      <w:pPr>
        <w:spacing w:line="240" w:lineRule="exact"/>
        <w:rPr>
          <w:rFonts w:ascii="Arial" w:hAnsi="Arial" w:cs="Arial"/>
          <w:color w:val="auto"/>
          <w:szCs w:val="21"/>
          <w:highlight w:val="none"/>
        </w:rPr>
      </w:pPr>
    </w:p>
    <w:p w14:paraId="65FDC9D9">
      <w:pPr>
        <w:spacing w:line="240" w:lineRule="exact"/>
        <w:rPr>
          <w:rFonts w:ascii="Arial" w:hAnsi="Arial" w:cs="Arial"/>
          <w:color w:val="auto"/>
          <w:szCs w:val="21"/>
          <w:highlight w:val="none"/>
        </w:rPr>
      </w:pPr>
    </w:p>
    <w:p w14:paraId="543565FE">
      <w:pPr>
        <w:spacing w:line="240" w:lineRule="exact"/>
        <w:rPr>
          <w:rFonts w:ascii="Arial" w:hAnsi="Arial" w:cs="Arial"/>
          <w:color w:val="auto"/>
          <w:szCs w:val="21"/>
          <w:highlight w:val="none"/>
        </w:rPr>
      </w:pPr>
    </w:p>
    <w:p w14:paraId="1F96AB26">
      <w:pPr>
        <w:spacing w:line="240" w:lineRule="exact"/>
        <w:rPr>
          <w:rFonts w:ascii="Arial" w:hAnsi="Arial" w:cs="Arial"/>
          <w:color w:val="auto"/>
          <w:szCs w:val="21"/>
          <w:highlight w:val="none"/>
        </w:rPr>
      </w:pPr>
    </w:p>
    <w:p w14:paraId="72309D87">
      <w:pPr>
        <w:spacing w:line="240" w:lineRule="exact"/>
        <w:rPr>
          <w:rFonts w:ascii="Arial" w:hAnsi="Arial" w:cs="Arial"/>
          <w:color w:val="auto"/>
          <w:szCs w:val="21"/>
          <w:highlight w:val="none"/>
        </w:rPr>
      </w:pPr>
    </w:p>
    <w:p w14:paraId="4E18443F">
      <w:pPr>
        <w:spacing w:line="240" w:lineRule="exact"/>
        <w:rPr>
          <w:rFonts w:ascii="Arial" w:hAnsi="Arial" w:cs="Arial"/>
          <w:color w:val="auto"/>
          <w:szCs w:val="21"/>
          <w:highlight w:val="none"/>
        </w:rPr>
      </w:pPr>
    </w:p>
    <w:p w14:paraId="13FEF6A3">
      <w:pPr>
        <w:spacing w:line="240" w:lineRule="exact"/>
        <w:rPr>
          <w:rFonts w:ascii="Arial" w:hAnsi="Arial" w:cs="Arial"/>
          <w:color w:val="auto"/>
          <w:szCs w:val="21"/>
          <w:highlight w:val="none"/>
        </w:rPr>
      </w:pPr>
    </w:p>
    <w:p w14:paraId="37488536">
      <w:pPr>
        <w:rPr>
          <w:rFonts w:ascii="Arial" w:hAnsi="Arial" w:cs="Arial"/>
          <w:color w:val="auto"/>
          <w:szCs w:val="21"/>
          <w:highlight w:val="none"/>
          <w:lang w:bidi="ar"/>
        </w:rPr>
      </w:pPr>
    </w:p>
    <w:p w14:paraId="742B32B8">
      <w:pPr>
        <w:rPr>
          <w:rFonts w:ascii="Arial" w:hAnsi="Arial" w:cs="Arial"/>
          <w:color w:val="auto"/>
          <w:sz w:val="32"/>
          <w:szCs w:val="32"/>
          <w:highlight w:val="none"/>
          <w:lang w:bidi="ar"/>
        </w:rPr>
      </w:pPr>
      <w:r>
        <w:rPr>
          <w:rFonts w:ascii="Arial" w:hAnsi="Arial" w:cs="Arial"/>
          <w:color w:val="auto"/>
          <w:sz w:val="32"/>
          <w:szCs w:val="32"/>
          <w:highlight w:val="none"/>
          <w:lang w:bidi="ar"/>
        </w:rPr>
        <w:br w:type="page"/>
      </w:r>
    </w:p>
    <w:p w14:paraId="3845AF56">
      <w:pPr>
        <w:spacing w:line="360" w:lineRule="exact"/>
        <w:rPr>
          <w:rFonts w:ascii="Arial" w:hAnsi="Arial" w:cs="Arial"/>
          <w:color w:val="auto"/>
          <w:sz w:val="32"/>
          <w:szCs w:val="32"/>
          <w:highlight w:val="none"/>
        </w:rPr>
      </w:pPr>
      <w:r>
        <w:rPr>
          <w:rFonts w:ascii="Arial" w:hAnsi="Arial" w:cs="Arial"/>
          <w:color w:val="auto"/>
          <w:sz w:val="32"/>
          <w:szCs w:val="32"/>
          <w:highlight w:val="none"/>
          <w:lang w:bidi="ar"/>
        </w:rPr>
        <w:t>附件9</w:t>
      </w:r>
    </w:p>
    <w:tbl>
      <w:tblPr>
        <w:tblStyle w:val="35"/>
        <w:tblW w:w="9940"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575"/>
        <w:gridCol w:w="1149"/>
        <w:gridCol w:w="2400"/>
        <w:gridCol w:w="5034"/>
      </w:tblGrid>
      <w:tr w14:paraId="74C6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9940" w:type="dxa"/>
            <w:gridSpan w:val="5"/>
            <w:tcBorders>
              <w:tl2br w:val="nil"/>
              <w:tr2bl w:val="nil"/>
            </w:tcBorders>
            <w:shd w:val="clear" w:color="auto" w:fill="auto"/>
            <w:noWrap/>
            <w:vAlign w:val="center"/>
          </w:tcPr>
          <w:p w14:paraId="64643EB2">
            <w:pPr>
              <w:widowControl/>
              <w:jc w:val="center"/>
              <w:textAlignment w:val="center"/>
              <w:rPr>
                <w:rFonts w:ascii="Arial" w:hAnsi="Arial" w:cs="Arial"/>
                <w:color w:val="auto"/>
                <w:sz w:val="32"/>
                <w:szCs w:val="32"/>
                <w:highlight w:val="none"/>
              </w:rPr>
            </w:pPr>
            <w:r>
              <w:rPr>
                <w:rFonts w:ascii="Arial" w:hAnsi="Arial" w:cs="Arial"/>
                <w:color w:val="auto"/>
                <w:kern w:val="0"/>
                <w:sz w:val="32"/>
                <w:szCs w:val="32"/>
                <w:highlight w:val="none"/>
                <w:lang w:bidi="ar"/>
              </w:rPr>
              <w:t>宾阳县一级就业服务站服务考核标准</w:t>
            </w:r>
          </w:p>
        </w:tc>
      </w:tr>
      <w:tr w14:paraId="7619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tcBorders>
              <w:tl2br w:val="nil"/>
              <w:tr2bl w:val="nil"/>
            </w:tcBorders>
            <w:shd w:val="clear" w:color="auto" w:fill="auto"/>
            <w:vAlign w:val="center"/>
          </w:tcPr>
          <w:p w14:paraId="7091F7BA">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服务类别</w:t>
            </w:r>
          </w:p>
        </w:tc>
        <w:tc>
          <w:tcPr>
            <w:tcW w:w="575" w:type="dxa"/>
            <w:tcBorders>
              <w:tl2br w:val="nil"/>
              <w:tr2bl w:val="nil"/>
            </w:tcBorders>
            <w:shd w:val="clear" w:color="auto" w:fill="auto"/>
            <w:vAlign w:val="center"/>
          </w:tcPr>
          <w:p w14:paraId="2AD9850C">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序号</w:t>
            </w:r>
          </w:p>
        </w:tc>
        <w:tc>
          <w:tcPr>
            <w:tcW w:w="1149" w:type="dxa"/>
            <w:tcBorders>
              <w:tl2br w:val="nil"/>
              <w:tr2bl w:val="nil"/>
            </w:tcBorders>
            <w:shd w:val="clear" w:color="auto" w:fill="auto"/>
            <w:vAlign w:val="center"/>
          </w:tcPr>
          <w:p w14:paraId="75D1D52E">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考核事项</w:t>
            </w:r>
          </w:p>
        </w:tc>
        <w:tc>
          <w:tcPr>
            <w:tcW w:w="2400" w:type="dxa"/>
            <w:tcBorders>
              <w:tl2br w:val="nil"/>
              <w:tr2bl w:val="nil"/>
            </w:tcBorders>
            <w:shd w:val="clear" w:color="auto" w:fill="auto"/>
            <w:vAlign w:val="center"/>
          </w:tcPr>
          <w:p w14:paraId="0DEC2BEB">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考核内容</w:t>
            </w:r>
          </w:p>
        </w:tc>
        <w:tc>
          <w:tcPr>
            <w:tcW w:w="5034" w:type="dxa"/>
            <w:tcBorders>
              <w:tl2br w:val="nil"/>
              <w:tr2bl w:val="nil"/>
            </w:tcBorders>
            <w:shd w:val="clear" w:color="auto" w:fill="auto"/>
            <w:vAlign w:val="center"/>
          </w:tcPr>
          <w:p w14:paraId="385D808E">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评分标准</w:t>
            </w:r>
          </w:p>
        </w:tc>
      </w:tr>
      <w:tr w14:paraId="2FAF8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atLeast"/>
        </w:trPr>
        <w:tc>
          <w:tcPr>
            <w:tcW w:w="782" w:type="dxa"/>
            <w:vMerge w:val="restart"/>
            <w:tcBorders>
              <w:tl2br w:val="nil"/>
              <w:tr2bl w:val="nil"/>
            </w:tcBorders>
            <w:shd w:val="clear" w:color="auto" w:fill="auto"/>
            <w:vAlign w:val="center"/>
          </w:tcPr>
          <w:p w14:paraId="51D6B2CF">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劳动者（15分）</w:t>
            </w:r>
          </w:p>
        </w:tc>
        <w:tc>
          <w:tcPr>
            <w:tcW w:w="575" w:type="dxa"/>
            <w:tcBorders>
              <w:tl2br w:val="nil"/>
              <w:tr2bl w:val="nil"/>
            </w:tcBorders>
            <w:shd w:val="clear" w:color="auto" w:fill="auto"/>
            <w:vAlign w:val="center"/>
          </w:tcPr>
          <w:p w14:paraId="34969BC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w:t>
            </w:r>
          </w:p>
        </w:tc>
        <w:tc>
          <w:tcPr>
            <w:tcW w:w="1149" w:type="dxa"/>
            <w:tcBorders>
              <w:tl2br w:val="nil"/>
              <w:tr2bl w:val="nil"/>
            </w:tcBorders>
            <w:shd w:val="clear" w:color="auto" w:fill="auto"/>
            <w:vAlign w:val="center"/>
          </w:tcPr>
          <w:p w14:paraId="10E2B5F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咨询服务（2分）</w:t>
            </w:r>
          </w:p>
        </w:tc>
        <w:tc>
          <w:tcPr>
            <w:tcW w:w="2400" w:type="dxa"/>
            <w:tcBorders>
              <w:tl2br w:val="nil"/>
              <w:tr2bl w:val="nil"/>
            </w:tcBorders>
            <w:shd w:val="clear" w:color="auto" w:fill="auto"/>
            <w:vAlign w:val="center"/>
          </w:tcPr>
          <w:p w14:paraId="646BF06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政策宣传、服务咨询、信息查询；就业失业登记、就业困难人员认定、就业创业补贴申领等业务办理指引（含序号6“劳动维权”的劳动者工资、社保等合法权益维权指引）（2分）</w:t>
            </w:r>
          </w:p>
        </w:tc>
        <w:tc>
          <w:tcPr>
            <w:tcW w:w="5034" w:type="dxa"/>
            <w:tcBorders>
              <w:tl2br w:val="nil"/>
              <w:tr2bl w:val="nil"/>
            </w:tcBorders>
            <w:shd w:val="clear" w:color="auto" w:fill="auto"/>
            <w:vAlign w:val="center"/>
          </w:tcPr>
          <w:p w14:paraId="1BF20B7D">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对前来咨询的人员，每发现（服务对象来电来信来访投诉且经核查属实的；或者管理方监督发现并确认的，下同）1次服务不到位的，扣0.1分，最高扣2分。</w:t>
            </w:r>
          </w:p>
        </w:tc>
      </w:tr>
      <w:tr w14:paraId="101DA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7C0581DF">
            <w:pPr>
              <w:jc w:val="center"/>
              <w:rPr>
                <w:rFonts w:ascii="Arial" w:hAnsi="Arial" w:cs="Arial"/>
                <w:color w:val="auto"/>
                <w:szCs w:val="21"/>
                <w:highlight w:val="none"/>
              </w:rPr>
            </w:pPr>
          </w:p>
        </w:tc>
        <w:tc>
          <w:tcPr>
            <w:tcW w:w="575" w:type="dxa"/>
            <w:vMerge w:val="restart"/>
            <w:tcBorders>
              <w:tl2br w:val="nil"/>
              <w:tr2bl w:val="nil"/>
            </w:tcBorders>
            <w:shd w:val="clear" w:color="auto" w:fill="auto"/>
            <w:vAlign w:val="center"/>
          </w:tcPr>
          <w:p w14:paraId="7A5430D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2</w:t>
            </w:r>
          </w:p>
        </w:tc>
        <w:tc>
          <w:tcPr>
            <w:tcW w:w="1149" w:type="dxa"/>
            <w:vMerge w:val="restart"/>
            <w:tcBorders>
              <w:tl2br w:val="nil"/>
              <w:tr2bl w:val="nil"/>
            </w:tcBorders>
            <w:shd w:val="clear" w:color="auto" w:fill="auto"/>
            <w:vAlign w:val="center"/>
          </w:tcPr>
          <w:p w14:paraId="0AE2601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求职服务（10分）</w:t>
            </w:r>
          </w:p>
        </w:tc>
        <w:tc>
          <w:tcPr>
            <w:tcW w:w="2400" w:type="dxa"/>
            <w:tcBorders>
              <w:tl2br w:val="nil"/>
              <w:tr2bl w:val="nil"/>
            </w:tcBorders>
            <w:shd w:val="clear" w:color="auto" w:fill="auto"/>
            <w:vAlign w:val="center"/>
          </w:tcPr>
          <w:p w14:paraId="298CAD1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求职登记（含找零工登记）（4分）</w:t>
            </w:r>
          </w:p>
        </w:tc>
        <w:tc>
          <w:tcPr>
            <w:tcW w:w="5034" w:type="dxa"/>
            <w:tcBorders>
              <w:tl2br w:val="nil"/>
              <w:tr2bl w:val="nil"/>
            </w:tcBorders>
            <w:shd w:val="clear" w:color="auto" w:fill="auto"/>
            <w:vAlign w:val="center"/>
          </w:tcPr>
          <w:p w14:paraId="14DA272D">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1.对前来求职并有登记需求的人员，引导做好求职登记，每发现1人未引导登记的，扣0.1分；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2.对已做求职登记的人员，每发现1人关键信息（姓名、身份证号、联系电话、就业需求、登记时间）登记不全或信息质量问题的，扣0.1分。本项合计最高扣4分。</w:t>
            </w:r>
          </w:p>
        </w:tc>
      </w:tr>
      <w:tr w14:paraId="310D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5C18D0AF">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3F0AAFB4">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180355F9">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5305F32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职业指导（1分）</w:t>
            </w:r>
          </w:p>
        </w:tc>
        <w:tc>
          <w:tcPr>
            <w:tcW w:w="5034" w:type="dxa"/>
            <w:tcBorders>
              <w:tl2br w:val="nil"/>
              <w:tr2bl w:val="nil"/>
            </w:tcBorders>
            <w:shd w:val="clear" w:color="auto" w:fill="auto"/>
            <w:vAlign w:val="center"/>
          </w:tcPr>
          <w:p w14:paraId="264E9DED">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对前来求职且有求职指导需求的人员，根据其实际情况，提供有针对性的就业方向及就业预期指导。每发现1名未按要求开展职业指导的，扣0.1分，最高扣1分。</w:t>
            </w:r>
          </w:p>
        </w:tc>
      </w:tr>
      <w:tr w14:paraId="3AF2F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67C5F2CB">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300036EE">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1348127E">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4EFA30EF">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岗位推荐（4分）</w:t>
            </w:r>
          </w:p>
        </w:tc>
        <w:tc>
          <w:tcPr>
            <w:tcW w:w="5034" w:type="dxa"/>
            <w:tcBorders>
              <w:tl2br w:val="nil"/>
              <w:tr2bl w:val="nil"/>
            </w:tcBorders>
            <w:shd w:val="clear" w:color="auto" w:fill="auto"/>
            <w:vAlign w:val="center"/>
          </w:tcPr>
          <w:p w14:paraId="6F340D66">
            <w:pPr>
              <w:widowControl/>
              <w:textAlignment w:val="center"/>
              <w:rPr>
                <w:rFonts w:ascii="Arial" w:hAnsi="Arial" w:cs="Arial"/>
                <w:color w:val="auto"/>
                <w:szCs w:val="21"/>
                <w:highlight w:val="none"/>
              </w:rPr>
            </w:pPr>
            <w:r>
              <w:rPr>
                <w:rFonts w:ascii="Arial" w:hAnsi="Arial" w:cs="Arial"/>
                <w:color w:val="auto"/>
                <w:kern w:val="0"/>
                <w:szCs w:val="21"/>
                <w:highlight w:val="none"/>
                <w:lang w:bidi="ar"/>
              </w:rPr>
              <w:t>1.对已做求职登记的人员，按照就业意愿每月推荐不少于3个就业岗位（不同用人单位），直至实现就业（或本人表示不再接受岗位推荐），并做好服务记录台账；在同一年度内向同一个求职人员推荐同一用人单位同一岗位不超过3次。每发现1次不符合要求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2.全年推荐并成功实现就业，镇不少于300人次，园区不少于500人次，每少1个百分点扣0.1分。（注：实现就业情况需录入广西数智人社系统，以系统登记数为准）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本项合计最高扣4分。</w:t>
            </w:r>
          </w:p>
        </w:tc>
      </w:tr>
      <w:tr w14:paraId="7F00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1593C7C8">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6163FCE6">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53E9FB10">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52518A2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招聘会信息推送 （1分）</w:t>
            </w:r>
          </w:p>
        </w:tc>
        <w:tc>
          <w:tcPr>
            <w:tcW w:w="5034" w:type="dxa"/>
            <w:tcBorders>
              <w:tl2br w:val="nil"/>
              <w:tr2bl w:val="nil"/>
            </w:tcBorders>
            <w:shd w:val="clear" w:color="auto" w:fill="auto"/>
            <w:vAlign w:val="center"/>
          </w:tcPr>
          <w:p w14:paraId="1D2DBEE1">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对已做求职登记的人员，按照就业意愿每月推荐不少于1场招聘会信息或直播带岗活动信息，每发现1次未做推荐的，扣0.1分，最高扣1分。</w:t>
            </w:r>
          </w:p>
        </w:tc>
      </w:tr>
      <w:tr w14:paraId="0D7B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5242D747">
            <w:pPr>
              <w:jc w:val="center"/>
              <w:rPr>
                <w:rFonts w:ascii="Arial" w:hAnsi="Arial" w:cs="Arial"/>
                <w:color w:val="auto"/>
                <w:szCs w:val="21"/>
                <w:highlight w:val="none"/>
              </w:rPr>
            </w:pPr>
          </w:p>
        </w:tc>
        <w:tc>
          <w:tcPr>
            <w:tcW w:w="575" w:type="dxa"/>
            <w:vMerge w:val="restart"/>
            <w:tcBorders>
              <w:tl2br w:val="nil"/>
              <w:tr2bl w:val="nil"/>
            </w:tcBorders>
            <w:shd w:val="clear" w:color="auto" w:fill="auto"/>
            <w:vAlign w:val="center"/>
          </w:tcPr>
          <w:p w14:paraId="6949968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3</w:t>
            </w:r>
          </w:p>
        </w:tc>
        <w:tc>
          <w:tcPr>
            <w:tcW w:w="1149" w:type="dxa"/>
            <w:vMerge w:val="restart"/>
            <w:tcBorders>
              <w:tl2br w:val="nil"/>
              <w:tr2bl w:val="nil"/>
            </w:tcBorders>
            <w:shd w:val="clear" w:color="auto" w:fill="auto"/>
            <w:vAlign w:val="center"/>
          </w:tcPr>
          <w:p w14:paraId="4720D42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技能培训（1.5分）</w:t>
            </w:r>
          </w:p>
        </w:tc>
        <w:tc>
          <w:tcPr>
            <w:tcW w:w="2400" w:type="dxa"/>
            <w:tcBorders>
              <w:tl2br w:val="nil"/>
              <w:tr2bl w:val="nil"/>
            </w:tcBorders>
            <w:shd w:val="clear" w:color="auto" w:fill="auto"/>
            <w:vAlign w:val="center"/>
          </w:tcPr>
          <w:p w14:paraId="5177692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培训需求登记   （0.5分）</w:t>
            </w:r>
          </w:p>
        </w:tc>
        <w:tc>
          <w:tcPr>
            <w:tcW w:w="5034" w:type="dxa"/>
            <w:tcBorders>
              <w:tl2br w:val="nil"/>
              <w:tr2bl w:val="nil"/>
            </w:tcBorders>
            <w:shd w:val="clear" w:color="auto" w:fill="auto"/>
            <w:vAlign w:val="center"/>
          </w:tcPr>
          <w:p w14:paraId="6D090116">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1.对前来且有培训需求并愿意登记的人员，每发现1人未引导登记的，扣0.1分；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2.对已做培训需求登记的人员，每发现1人关键信息（姓名、身份证号、联系电话、培训意向、登记时间）登记不全或信息质量问题的，扣0.1分；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3.全年服务量不少于100人次，每少1个百分点扣0.1分。本项合计最高扣1分。</w:t>
            </w:r>
          </w:p>
        </w:tc>
      </w:tr>
      <w:tr w14:paraId="54AD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5781E9AD">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2DEE6B9D">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2EA330BD">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4591A02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培训机构信息查询（0.1分）</w:t>
            </w:r>
          </w:p>
        </w:tc>
        <w:tc>
          <w:tcPr>
            <w:tcW w:w="5034" w:type="dxa"/>
            <w:tcBorders>
              <w:tl2br w:val="nil"/>
              <w:tr2bl w:val="nil"/>
            </w:tcBorders>
            <w:shd w:val="clear" w:color="auto" w:fill="auto"/>
            <w:vAlign w:val="center"/>
          </w:tcPr>
          <w:p w14:paraId="7EBA85D5">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对前来查询的人员提供培训机构信息查询服务，每发现1人未提供服务的，扣0.1分，最高扣0.5分。</w:t>
            </w:r>
          </w:p>
        </w:tc>
      </w:tr>
      <w:tr w14:paraId="2DBE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1364A430">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16FB8C06">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4B3779B4">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2A44B8B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培训项目推荐   （0.5分）</w:t>
            </w:r>
          </w:p>
        </w:tc>
        <w:tc>
          <w:tcPr>
            <w:tcW w:w="5034" w:type="dxa"/>
            <w:tcBorders>
              <w:tl2br w:val="nil"/>
              <w:tr2bl w:val="nil"/>
            </w:tcBorders>
            <w:shd w:val="clear" w:color="auto" w:fill="auto"/>
            <w:vAlign w:val="center"/>
          </w:tcPr>
          <w:p w14:paraId="296F4BE1">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对已做培训需求登记的人员按照培训需求或就业意向半年内至少推荐1个纳入开班计划的培训项目，并做好服务记录台账，每发现1人次未推荐的，扣0.1分，最高扣1.5分。</w:t>
            </w:r>
          </w:p>
        </w:tc>
      </w:tr>
      <w:tr w14:paraId="1AA3A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07DF62C9">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1FDD5E7C">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0A7E8DFF">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341A260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培训开班计划查询（0.1分）</w:t>
            </w:r>
          </w:p>
        </w:tc>
        <w:tc>
          <w:tcPr>
            <w:tcW w:w="5034" w:type="dxa"/>
            <w:tcBorders>
              <w:tl2br w:val="nil"/>
              <w:tr2bl w:val="nil"/>
            </w:tcBorders>
            <w:shd w:val="clear" w:color="auto" w:fill="auto"/>
            <w:vAlign w:val="center"/>
          </w:tcPr>
          <w:p w14:paraId="6A31FC29">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对前来查询的人员提供培训开班计划查询服务，每发现1人未提供服务的，扣0.1分，最高扣0.5分。</w:t>
            </w:r>
          </w:p>
        </w:tc>
      </w:tr>
      <w:tr w14:paraId="2E575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782" w:type="dxa"/>
            <w:vMerge w:val="continue"/>
            <w:tcBorders>
              <w:tl2br w:val="nil"/>
              <w:tr2bl w:val="nil"/>
            </w:tcBorders>
            <w:shd w:val="clear" w:color="auto" w:fill="auto"/>
            <w:vAlign w:val="center"/>
          </w:tcPr>
          <w:p w14:paraId="13A5CB14">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5A6C73C3">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0DA1F435">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19224C1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组织参加补贴性技能培训</w:t>
            </w:r>
          </w:p>
        </w:tc>
        <w:tc>
          <w:tcPr>
            <w:tcW w:w="5034" w:type="dxa"/>
            <w:tcBorders>
              <w:tl2br w:val="nil"/>
              <w:tr2bl w:val="nil"/>
            </w:tcBorders>
            <w:shd w:val="clear" w:color="auto" w:fill="auto"/>
            <w:vAlign w:val="center"/>
          </w:tcPr>
          <w:p w14:paraId="53CE59C9">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统筹到考核事项（序号16）的“活动组织”进行考核</w:t>
            </w:r>
          </w:p>
        </w:tc>
      </w:tr>
      <w:tr w14:paraId="6055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6735D860">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17BAC7F9">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739660EA">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6B10D97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培训补贴申领指引（0.3分）</w:t>
            </w:r>
          </w:p>
        </w:tc>
        <w:tc>
          <w:tcPr>
            <w:tcW w:w="5034" w:type="dxa"/>
            <w:tcBorders>
              <w:tl2br w:val="nil"/>
              <w:tr2bl w:val="nil"/>
            </w:tcBorders>
            <w:shd w:val="clear" w:color="auto" w:fill="auto"/>
            <w:vAlign w:val="center"/>
          </w:tcPr>
          <w:p w14:paraId="00733F7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对前来咨询的人员提供培训补贴申领指引服务，每发现1人未提供服务的，扣0.1分，最高扣0.5分。</w:t>
            </w:r>
          </w:p>
        </w:tc>
      </w:tr>
      <w:tr w14:paraId="3F90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48868508">
            <w:pPr>
              <w:jc w:val="center"/>
              <w:rPr>
                <w:rFonts w:ascii="Arial" w:hAnsi="Arial" w:cs="Arial"/>
                <w:color w:val="auto"/>
                <w:szCs w:val="21"/>
                <w:highlight w:val="none"/>
              </w:rPr>
            </w:pPr>
          </w:p>
        </w:tc>
        <w:tc>
          <w:tcPr>
            <w:tcW w:w="575" w:type="dxa"/>
            <w:vMerge w:val="restart"/>
            <w:tcBorders>
              <w:tl2br w:val="nil"/>
              <w:tr2bl w:val="nil"/>
            </w:tcBorders>
            <w:shd w:val="clear" w:color="auto" w:fill="auto"/>
            <w:vAlign w:val="center"/>
          </w:tcPr>
          <w:p w14:paraId="6BAA5B92">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4</w:t>
            </w:r>
          </w:p>
        </w:tc>
        <w:tc>
          <w:tcPr>
            <w:tcW w:w="1149" w:type="dxa"/>
            <w:vMerge w:val="restart"/>
            <w:tcBorders>
              <w:tl2br w:val="nil"/>
              <w:tr2bl w:val="nil"/>
            </w:tcBorders>
            <w:shd w:val="clear" w:color="auto" w:fill="auto"/>
            <w:vAlign w:val="center"/>
          </w:tcPr>
          <w:p w14:paraId="0187DDD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创业指导</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（1.5 分）</w:t>
            </w:r>
          </w:p>
        </w:tc>
        <w:tc>
          <w:tcPr>
            <w:tcW w:w="2400" w:type="dxa"/>
            <w:tcBorders>
              <w:tl2br w:val="nil"/>
              <w:tr2bl w:val="nil"/>
            </w:tcBorders>
            <w:shd w:val="clear" w:color="auto" w:fill="auto"/>
            <w:vAlign w:val="center"/>
          </w:tcPr>
          <w:p w14:paraId="54552C1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创业担保贷款申请指导（1分）</w:t>
            </w:r>
          </w:p>
        </w:tc>
        <w:tc>
          <w:tcPr>
            <w:tcW w:w="5034" w:type="dxa"/>
            <w:tcBorders>
              <w:tl2br w:val="nil"/>
              <w:tr2bl w:val="nil"/>
            </w:tcBorders>
            <w:shd w:val="clear" w:color="auto" w:fill="auto"/>
            <w:vAlign w:val="center"/>
          </w:tcPr>
          <w:p w14:paraId="62891252">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1.对前来咨询且有创业意愿的人员指引办理创业担保贷款申请，每发现1人未提供指导服务的，扣0.1分。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2.黎塘镇站点全年指引符合条件的办理创业担保贷款申请人数不少于20人；其余15个镇的站点全年指引符合条件的办理创业担保贷款申请人数不少于10人，每少1人扣0.1分。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本项合计最高扣1分。</w:t>
            </w:r>
          </w:p>
        </w:tc>
      </w:tr>
      <w:tr w14:paraId="2795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2F2D8AF6">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0138BC10">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78936A3B">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4A5F510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创业项目推介 （0.1分）</w:t>
            </w:r>
          </w:p>
        </w:tc>
        <w:tc>
          <w:tcPr>
            <w:tcW w:w="5034" w:type="dxa"/>
            <w:tcBorders>
              <w:tl2br w:val="nil"/>
              <w:tr2bl w:val="nil"/>
            </w:tcBorders>
            <w:shd w:val="clear" w:color="auto" w:fill="auto"/>
            <w:vAlign w:val="center"/>
          </w:tcPr>
          <w:p w14:paraId="45B40E4C">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对前来咨询且有创业意愿的人员提供创业项目推介服务，每发现1人未提供服务的，扣0.1分，最高扣0.1分。</w:t>
            </w:r>
          </w:p>
        </w:tc>
      </w:tr>
      <w:tr w14:paraId="4401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287DFFA1">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04C49191">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0411257F">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20D826FF">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创业扶持补贴申领指引（0.4分）</w:t>
            </w:r>
          </w:p>
        </w:tc>
        <w:tc>
          <w:tcPr>
            <w:tcW w:w="5034" w:type="dxa"/>
            <w:tcBorders>
              <w:tl2br w:val="nil"/>
              <w:tr2bl w:val="nil"/>
            </w:tcBorders>
            <w:shd w:val="clear" w:color="auto" w:fill="auto"/>
            <w:vAlign w:val="center"/>
          </w:tcPr>
          <w:p w14:paraId="1F5CBE69">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 对前来咨询且有创业意愿的人员提供创业扶持补贴申领指引服务，每发现1人未提供服务的，扣0.1分。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2.建立本镇创业信息数据库（近三年），数据库信息准确率达到95%。准确率每低于1个百分点，扣0.1分；本项合计最高扣0.4分。</w:t>
            </w:r>
          </w:p>
        </w:tc>
      </w:tr>
      <w:tr w14:paraId="5E01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074C4376">
            <w:pPr>
              <w:jc w:val="center"/>
              <w:rPr>
                <w:rFonts w:ascii="Arial" w:hAnsi="Arial" w:cs="Arial"/>
                <w:color w:val="auto"/>
                <w:szCs w:val="21"/>
                <w:highlight w:val="none"/>
              </w:rPr>
            </w:pPr>
          </w:p>
        </w:tc>
        <w:tc>
          <w:tcPr>
            <w:tcW w:w="575" w:type="dxa"/>
            <w:tcBorders>
              <w:tl2br w:val="nil"/>
              <w:tr2bl w:val="nil"/>
            </w:tcBorders>
            <w:shd w:val="clear" w:color="auto" w:fill="auto"/>
            <w:vAlign w:val="center"/>
          </w:tcPr>
          <w:p w14:paraId="13C4CD3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5</w:t>
            </w:r>
          </w:p>
        </w:tc>
        <w:tc>
          <w:tcPr>
            <w:tcW w:w="1149" w:type="dxa"/>
            <w:tcBorders>
              <w:tl2br w:val="nil"/>
              <w:tr2bl w:val="nil"/>
            </w:tcBorders>
            <w:shd w:val="clear" w:color="auto" w:fill="auto"/>
            <w:vAlign w:val="center"/>
          </w:tcPr>
          <w:p w14:paraId="0000F46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就业援助</w:t>
            </w:r>
          </w:p>
        </w:tc>
        <w:tc>
          <w:tcPr>
            <w:tcW w:w="2400" w:type="dxa"/>
            <w:tcBorders>
              <w:tl2br w:val="nil"/>
              <w:tr2bl w:val="nil"/>
            </w:tcBorders>
            <w:shd w:val="clear" w:color="auto" w:fill="auto"/>
            <w:vAlign w:val="center"/>
          </w:tcPr>
          <w:p w14:paraId="3FABA7F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对城镇零就业家庭劳动者、防止返贫监测对象家庭劳动者等特殊困难人群开展就业跟踪帮扶</w:t>
            </w:r>
          </w:p>
        </w:tc>
        <w:tc>
          <w:tcPr>
            <w:tcW w:w="5034" w:type="dxa"/>
            <w:tcBorders>
              <w:tl2br w:val="nil"/>
              <w:tr2bl w:val="nil"/>
            </w:tcBorders>
            <w:shd w:val="clear" w:color="auto" w:fill="auto"/>
            <w:vAlign w:val="center"/>
          </w:tcPr>
          <w:p w14:paraId="3758A00E">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统筹到考核事项（序号12）的“就业服务”进行考核</w:t>
            </w:r>
          </w:p>
        </w:tc>
      </w:tr>
      <w:tr w14:paraId="33931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685455E2">
            <w:pPr>
              <w:jc w:val="center"/>
              <w:rPr>
                <w:rFonts w:ascii="Arial" w:hAnsi="Arial" w:cs="Arial"/>
                <w:color w:val="auto"/>
                <w:szCs w:val="21"/>
                <w:highlight w:val="none"/>
              </w:rPr>
            </w:pPr>
          </w:p>
        </w:tc>
        <w:tc>
          <w:tcPr>
            <w:tcW w:w="575" w:type="dxa"/>
            <w:tcBorders>
              <w:tl2br w:val="nil"/>
              <w:tr2bl w:val="nil"/>
            </w:tcBorders>
            <w:shd w:val="clear" w:color="auto" w:fill="auto"/>
            <w:vAlign w:val="center"/>
          </w:tcPr>
          <w:p w14:paraId="066FA6A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6</w:t>
            </w:r>
          </w:p>
        </w:tc>
        <w:tc>
          <w:tcPr>
            <w:tcW w:w="1149" w:type="dxa"/>
            <w:tcBorders>
              <w:tl2br w:val="nil"/>
              <w:tr2bl w:val="nil"/>
            </w:tcBorders>
            <w:shd w:val="clear" w:color="auto" w:fill="auto"/>
            <w:vAlign w:val="center"/>
          </w:tcPr>
          <w:p w14:paraId="04592F8F">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劳动维权</w:t>
            </w:r>
          </w:p>
        </w:tc>
        <w:tc>
          <w:tcPr>
            <w:tcW w:w="2400" w:type="dxa"/>
            <w:tcBorders>
              <w:tl2br w:val="nil"/>
              <w:tr2bl w:val="nil"/>
            </w:tcBorders>
            <w:shd w:val="clear" w:color="auto" w:fill="auto"/>
            <w:vAlign w:val="center"/>
          </w:tcPr>
          <w:p w14:paraId="6C82411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劳动者工资、社保等权益侵害维权指引</w:t>
            </w:r>
          </w:p>
        </w:tc>
        <w:tc>
          <w:tcPr>
            <w:tcW w:w="5034" w:type="dxa"/>
            <w:tcBorders>
              <w:tl2br w:val="nil"/>
              <w:tr2bl w:val="nil"/>
            </w:tcBorders>
            <w:shd w:val="clear" w:color="auto" w:fill="auto"/>
            <w:vAlign w:val="center"/>
          </w:tcPr>
          <w:p w14:paraId="5C07D569">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统筹到考核事项（序号1）的“咨询服务”进行考核</w:t>
            </w:r>
          </w:p>
        </w:tc>
      </w:tr>
      <w:tr w14:paraId="0577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restart"/>
            <w:tcBorders>
              <w:tl2br w:val="nil"/>
              <w:tr2bl w:val="nil"/>
            </w:tcBorders>
            <w:shd w:val="clear" w:color="auto" w:fill="auto"/>
            <w:vAlign w:val="center"/>
          </w:tcPr>
          <w:p w14:paraId="2CE83BD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用人单位（15分）</w:t>
            </w:r>
          </w:p>
        </w:tc>
        <w:tc>
          <w:tcPr>
            <w:tcW w:w="575" w:type="dxa"/>
            <w:tcBorders>
              <w:tl2br w:val="nil"/>
              <w:tr2bl w:val="nil"/>
            </w:tcBorders>
            <w:shd w:val="clear" w:color="auto" w:fill="auto"/>
            <w:vAlign w:val="center"/>
          </w:tcPr>
          <w:p w14:paraId="644D8DEF">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7</w:t>
            </w:r>
          </w:p>
        </w:tc>
        <w:tc>
          <w:tcPr>
            <w:tcW w:w="1149" w:type="dxa"/>
            <w:tcBorders>
              <w:tl2br w:val="nil"/>
              <w:tr2bl w:val="nil"/>
            </w:tcBorders>
            <w:shd w:val="clear" w:color="auto" w:fill="auto"/>
            <w:vAlign w:val="center"/>
          </w:tcPr>
          <w:p w14:paraId="0E4B054F">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咨询服务</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（2分）</w:t>
            </w:r>
          </w:p>
        </w:tc>
        <w:tc>
          <w:tcPr>
            <w:tcW w:w="2400" w:type="dxa"/>
            <w:tcBorders>
              <w:tl2br w:val="nil"/>
              <w:tr2bl w:val="nil"/>
            </w:tcBorders>
            <w:shd w:val="clear" w:color="auto" w:fill="auto"/>
            <w:vAlign w:val="center"/>
          </w:tcPr>
          <w:p w14:paraId="6F17685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政策宣传、服务咨询、信息查询；吸纳重点人群就业有关稳岗、培训、社保等补贴申领指引（2分）</w:t>
            </w:r>
          </w:p>
        </w:tc>
        <w:tc>
          <w:tcPr>
            <w:tcW w:w="5034" w:type="dxa"/>
            <w:tcBorders>
              <w:tl2br w:val="nil"/>
              <w:tr2bl w:val="nil"/>
            </w:tcBorders>
            <w:shd w:val="clear" w:color="auto" w:fill="auto"/>
            <w:vAlign w:val="center"/>
          </w:tcPr>
          <w:p w14:paraId="700B8841">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对前来咨询的用人单位，每发现1次服务不到位的，扣0.1分，最高扣2分。</w:t>
            </w:r>
          </w:p>
        </w:tc>
      </w:tr>
      <w:tr w14:paraId="24BB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47710EFB">
            <w:pPr>
              <w:jc w:val="center"/>
              <w:rPr>
                <w:rFonts w:ascii="Arial" w:hAnsi="Arial" w:cs="Arial"/>
                <w:color w:val="auto"/>
                <w:szCs w:val="21"/>
                <w:highlight w:val="none"/>
              </w:rPr>
            </w:pPr>
          </w:p>
        </w:tc>
        <w:tc>
          <w:tcPr>
            <w:tcW w:w="575" w:type="dxa"/>
            <w:vMerge w:val="restart"/>
            <w:tcBorders>
              <w:tl2br w:val="nil"/>
              <w:tr2bl w:val="nil"/>
            </w:tcBorders>
            <w:shd w:val="clear" w:color="auto" w:fill="auto"/>
            <w:vAlign w:val="center"/>
          </w:tcPr>
          <w:p w14:paraId="57589E0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8</w:t>
            </w:r>
          </w:p>
        </w:tc>
        <w:tc>
          <w:tcPr>
            <w:tcW w:w="1149" w:type="dxa"/>
            <w:vMerge w:val="restart"/>
            <w:tcBorders>
              <w:tl2br w:val="nil"/>
              <w:tr2bl w:val="nil"/>
            </w:tcBorders>
            <w:shd w:val="clear" w:color="auto" w:fill="auto"/>
            <w:vAlign w:val="center"/>
          </w:tcPr>
          <w:p w14:paraId="7DB3737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招工服务（10分）</w:t>
            </w:r>
          </w:p>
        </w:tc>
        <w:tc>
          <w:tcPr>
            <w:tcW w:w="2400" w:type="dxa"/>
            <w:tcBorders>
              <w:tl2br w:val="nil"/>
              <w:tr2bl w:val="nil"/>
            </w:tcBorders>
            <w:shd w:val="clear" w:color="auto" w:fill="auto"/>
            <w:vAlign w:val="center"/>
          </w:tcPr>
          <w:p w14:paraId="686299C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用工信息登记（含招零工登记）</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（3分）</w:t>
            </w:r>
          </w:p>
        </w:tc>
        <w:tc>
          <w:tcPr>
            <w:tcW w:w="5034" w:type="dxa"/>
            <w:tcBorders>
              <w:tl2br w:val="nil"/>
              <w:tr2bl w:val="nil"/>
            </w:tcBorders>
            <w:shd w:val="clear" w:color="auto" w:fill="auto"/>
            <w:vAlign w:val="center"/>
          </w:tcPr>
          <w:p w14:paraId="29B1CAB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1.对前来招工并愿意登记的用人单位，每发现1家未引导登记的，扣0.1分；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2.对已做用工信息登记的用人单位，每发现1家关键信息（单位名称、统一社会信用代码、联系人、联系方式、招工意向、登记时间）登记不全或信息质量问题的，扣0.1分。本项合计最高扣3分。</w:t>
            </w:r>
          </w:p>
        </w:tc>
      </w:tr>
      <w:tr w14:paraId="05E9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54A83F52">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559210E4">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5F9EEE71">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6F2E494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用工信息发布</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5034" w:type="dxa"/>
            <w:tcBorders>
              <w:tl2br w:val="nil"/>
              <w:tr2bl w:val="nil"/>
            </w:tcBorders>
            <w:shd w:val="clear" w:color="auto" w:fill="auto"/>
            <w:vAlign w:val="center"/>
          </w:tcPr>
          <w:p w14:paraId="5DBF1086">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对已做用工信息登记且有发布需求的用人单位，每发现1次未开展用工信息发布服务的，扣0.1分，最高扣1分。</w:t>
            </w:r>
          </w:p>
        </w:tc>
      </w:tr>
      <w:tr w14:paraId="1146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7395021B">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367EBD05">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3726425B">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51CC793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求职人员推荐</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（3分）</w:t>
            </w:r>
          </w:p>
        </w:tc>
        <w:tc>
          <w:tcPr>
            <w:tcW w:w="5034" w:type="dxa"/>
            <w:tcBorders>
              <w:tl2br w:val="nil"/>
              <w:tr2bl w:val="nil"/>
            </w:tcBorders>
            <w:shd w:val="clear" w:color="auto" w:fill="auto"/>
            <w:vAlign w:val="center"/>
          </w:tcPr>
          <w:p w14:paraId="2C534338">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用工信息登记的用人单位，按照招工需求开展求职人员推荐，宾州镇园区站全年推荐不少于500人，除宾州镇外其他镇站点全年内推荐不少于300人，并做好服务记录台账，每少1个百分点，扣0.1分，最高扣10分。（各就业服务网点推荐人员不能相同）</w:t>
            </w:r>
          </w:p>
        </w:tc>
      </w:tr>
      <w:tr w14:paraId="07296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59DEF460">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5951FEE9">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39AD0A09">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3E66C97F">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求职简历代收</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5034" w:type="dxa"/>
            <w:tcBorders>
              <w:tl2br w:val="nil"/>
              <w:tr2bl w:val="nil"/>
            </w:tcBorders>
            <w:shd w:val="clear" w:color="auto" w:fill="auto"/>
            <w:vAlign w:val="center"/>
          </w:tcPr>
          <w:p w14:paraId="084CD8E5">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对已做用工信息登记且有简历代收需求的用人单位，每发现1次未开展代收服务的，扣0.1分，最高扣1分。</w:t>
            </w:r>
          </w:p>
        </w:tc>
      </w:tr>
      <w:tr w14:paraId="2B03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5B8CB5B8">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4024285D">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462D4D6E">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5300400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面试洽谈辅助</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5034" w:type="dxa"/>
            <w:tcBorders>
              <w:tl2br w:val="nil"/>
              <w:tr2bl w:val="nil"/>
            </w:tcBorders>
            <w:shd w:val="clear" w:color="auto" w:fill="auto"/>
            <w:vAlign w:val="center"/>
          </w:tcPr>
          <w:p w14:paraId="4BA5999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对已做用工信息登记且有面试洽谈辅助需求的用人单位，每发现1次未开展面试洽谈辅助服务的，扣0.1分，最高扣1分。</w:t>
            </w:r>
          </w:p>
        </w:tc>
      </w:tr>
      <w:tr w14:paraId="5C81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37FC35A9">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61A3635E">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5427F838">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1C6A6BD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招聘会等公共就业服务活动推荐</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5034" w:type="dxa"/>
            <w:tcBorders>
              <w:tl2br w:val="nil"/>
              <w:tr2bl w:val="nil"/>
            </w:tcBorders>
            <w:shd w:val="clear" w:color="auto" w:fill="auto"/>
            <w:vAlign w:val="center"/>
          </w:tcPr>
          <w:p w14:paraId="39B7D55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对已做用工信息登记的用人单位，按照招工需求每月推荐不少于1场招聘会信息或直播带岗活动信息，每发现1次未做推荐的，扣0.1分，最高扣1分。</w:t>
            </w:r>
          </w:p>
        </w:tc>
      </w:tr>
      <w:tr w14:paraId="2DD91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6D792D1D">
            <w:pPr>
              <w:jc w:val="center"/>
              <w:rPr>
                <w:rFonts w:ascii="Arial" w:hAnsi="Arial" w:cs="Arial"/>
                <w:color w:val="auto"/>
                <w:szCs w:val="21"/>
                <w:highlight w:val="none"/>
              </w:rPr>
            </w:pPr>
          </w:p>
        </w:tc>
        <w:tc>
          <w:tcPr>
            <w:tcW w:w="575" w:type="dxa"/>
            <w:vMerge w:val="restart"/>
            <w:tcBorders>
              <w:tl2br w:val="nil"/>
              <w:tr2bl w:val="nil"/>
            </w:tcBorders>
            <w:shd w:val="clear" w:color="auto" w:fill="auto"/>
            <w:vAlign w:val="center"/>
          </w:tcPr>
          <w:p w14:paraId="5CC4B5B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9</w:t>
            </w:r>
          </w:p>
        </w:tc>
        <w:tc>
          <w:tcPr>
            <w:tcW w:w="1149" w:type="dxa"/>
            <w:vMerge w:val="restart"/>
            <w:tcBorders>
              <w:tl2br w:val="nil"/>
              <w:tr2bl w:val="nil"/>
            </w:tcBorders>
            <w:shd w:val="clear" w:color="auto" w:fill="auto"/>
            <w:vAlign w:val="center"/>
          </w:tcPr>
          <w:p w14:paraId="017BCA7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创业服务（1.5分）</w:t>
            </w:r>
          </w:p>
        </w:tc>
        <w:tc>
          <w:tcPr>
            <w:tcW w:w="2400" w:type="dxa"/>
            <w:tcBorders>
              <w:tl2br w:val="nil"/>
              <w:tr2bl w:val="nil"/>
            </w:tcBorders>
            <w:shd w:val="clear" w:color="auto" w:fill="auto"/>
            <w:vAlign w:val="center"/>
          </w:tcPr>
          <w:p w14:paraId="05138F7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创业担保贷款办理指引（1分）</w:t>
            </w:r>
          </w:p>
        </w:tc>
        <w:tc>
          <w:tcPr>
            <w:tcW w:w="5034" w:type="dxa"/>
            <w:tcBorders>
              <w:tl2br w:val="nil"/>
              <w:tr2bl w:val="nil"/>
            </w:tcBorders>
            <w:shd w:val="clear" w:color="auto" w:fill="auto"/>
            <w:vAlign w:val="center"/>
          </w:tcPr>
          <w:p w14:paraId="5A73F70A">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1.对前来咨询且有创业意愿的用人单位，指引办理创业担保贷款申请，每发现1家未提供指导服务的，扣0.1分；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2.全年指引符合条件的办理创业担保贷款申请的小微企业不少于2家，每少1家，扣0.5分；本项合计最高扣1分。</w:t>
            </w:r>
          </w:p>
        </w:tc>
      </w:tr>
      <w:tr w14:paraId="2ABFE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7C563532">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1243B973">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4B2E3509">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46B5865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创业补贴申领指引（0.5分）</w:t>
            </w:r>
          </w:p>
        </w:tc>
        <w:tc>
          <w:tcPr>
            <w:tcW w:w="5034" w:type="dxa"/>
            <w:tcBorders>
              <w:tl2br w:val="nil"/>
              <w:tr2bl w:val="nil"/>
            </w:tcBorders>
            <w:shd w:val="clear" w:color="auto" w:fill="auto"/>
            <w:vAlign w:val="center"/>
          </w:tcPr>
          <w:p w14:paraId="3CEEA86B">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对前来咨询且有补贴申领需求的用人单位，提供补贴申领指引服务，每发现1家未提供服务的，扣0.1分，最高扣0.5分。</w:t>
            </w:r>
          </w:p>
        </w:tc>
      </w:tr>
      <w:tr w14:paraId="620A8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1EF2816C">
            <w:pPr>
              <w:jc w:val="center"/>
              <w:rPr>
                <w:rFonts w:ascii="Arial" w:hAnsi="Arial" w:cs="Arial"/>
                <w:color w:val="auto"/>
                <w:szCs w:val="21"/>
                <w:highlight w:val="none"/>
              </w:rPr>
            </w:pPr>
          </w:p>
        </w:tc>
        <w:tc>
          <w:tcPr>
            <w:tcW w:w="575" w:type="dxa"/>
            <w:vMerge w:val="restart"/>
            <w:tcBorders>
              <w:tl2br w:val="nil"/>
              <w:tr2bl w:val="nil"/>
            </w:tcBorders>
            <w:shd w:val="clear" w:color="auto" w:fill="auto"/>
            <w:vAlign w:val="center"/>
          </w:tcPr>
          <w:p w14:paraId="585BCC3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10</w:t>
            </w:r>
          </w:p>
        </w:tc>
        <w:tc>
          <w:tcPr>
            <w:tcW w:w="1149" w:type="dxa"/>
            <w:vMerge w:val="restart"/>
            <w:tcBorders>
              <w:tl2br w:val="nil"/>
              <w:tr2bl w:val="nil"/>
            </w:tcBorders>
            <w:shd w:val="clear" w:color="auto" w:fill="auto"/>
            <w:vAlign w:val="center"/>
          </w:tcPr>
          <w:p w14:paraId="54B6853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技能培训（1.5分）</w:t>
            </w:r>
          </w:p>
        </w:tc>
        <w:tc>
          <w:tcPr>
            <w:tcW w:w="2400" w:type="dxa"/>
            <w:tcBorders>
              <w:tl2br w:val="nil"/>
              <w:tr2bl w:val="nil"/>
            </w:tcBorders>
            <w:shd w:val="clear" w:color="auto" w:fill="auto"/>
            <w:vAlign w:val="center"/>
          </w:tcPr>
          <w:p w14:paraId="7920848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培训需求登记（0.5分）</w:t>
            </w:r>
          </w:p>
        </w:tc>
        <w:tc>
          <w:tcPr>
            <w:tcW w:w="5034" w:type="dxa"/>
            <w:tcBorders>
              <w:tl2br w:val="nil"/>
              <w:tr2bl w:val="nil"/>
            </w:tcBorders>
            <w:shd w:val="clear" w:color="auto" w:fill="auto"/>
            <w:vAlign w:val="center"/>
          </w:tcPr>
          <w:p w14:paraId="6F887C04">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 对前来咨询且有培训需求并愿意登记的用人单位，每发现1家未引导登记的，扣0.5分；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2.全年服务量不少于10家。每少1家扣0.1分，最高扣1分；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3.对已做培训需求登记的用人单位，每发现1家关键信息（单位名称、联系人、联系方式、培训意向、登记时间）登记不全或信息质量问题的，扣0.1分。本项合计最高扣1.5分。</w:t>
            </w:r>
          </w:p>
        </w:tc>
      </w:tr>
      <w:tr w14:paraId="7548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49829DD1">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32ED4493">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536C9996">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084CF5B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培训机构信息查询（0.1分）</w:t>
            </w:r>
          </w:p>
        </w:tc>
        <w:tc>
          <w:tcPr>
            <w:tcW w:w="5034" w:type="dxa"/>
            <w:tcBorders>
              <w:tl2br w:val="nil"/>
              <w:tr2bl w:val="nil"/>
            </w:tcBorders>
            <w:shd w:val="clear" w:color="auto" w:fill="auto"/>
            <w:vAlign w:val="center"/>
          </w:tcPr>
          <w:p w14:paraId="0B7A7E37">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对前来查询的用人单位提供培训机构信息查询服务，每发现1次未提供服务的，扣0.1分，最高扣0.5分。</w:t>
            </w:r>
          </w:p>
        </w:tc>
      </w:tr>
      <w:tr w14:paraId="5C0E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0336E3B9">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6BCAD00D">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5E9C6421">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30BA3C0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培训项目推荐（0.5分）</w:t>
            </w:r>
          </w:p>
        </w:tc>
        <w:tc>
          <w:tcPr>
            <w:tcW w:w="5034" w:type="dxa"/>
            <w:tcBorders>
              <w:tl2br w:val="nil"/>
              <w:tr2bl w:val="nil"/>
            </w:tcBorders>
            <w:shd w:val="clear" w:color="auto" w:fill="auto"/>
            <w:vAlign w:val="center"/>
          </w:tcPr>
          <w:p w14:paraId="739CA90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对已做培训需求登记的用人单位，按照培训需求半年内至少推荐1个纳入开班计划的培训项目，并做好服务记录台账，每发现1家未推荐的，扣0.1分，最高扣1.5分。</w:t>
            </w:r>
          </w:p>
        </w:tc>
      </w:tr>
      <w:tr w14:paraId="6B7F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367F470F">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4BD5C963">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639BCAFB">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6AC6EE3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培训开班计划查询（0.1分）</w:t>
            </w:r>
          </w:p>
        </w:tc>
        <w:tc>
          <w:tcPr>
            <w:tcW w:w="5034" w:type="dxa"/>
            <w:tcBorders>
              <w:tl2br w:val="nil"/>
              <w:tr2bl w:val="nil"/>
            </w:tcBorders>
            <w:shd w:val="clear" w:color="auto" w:fill="auto"/>
            <w:vAlign w:val="center"/>
          </w:tcPr>
          <w:p w14:paraId="6CAE084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对前来咨询且有需求的用人单位，提供培训开班计划查询服务，每发现1家未提供服务的，扣0.1分，最高扣0.5分。</w:t>
            </w:r>
          </w:p>
        </w:tc>
      </w:tr>
      <w:tr w14:paraId="421A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12EDB20D">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43D445DC">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4188D80C">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39D51702">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组织参加补贴性技能培训</w:t>
            </w:r>
          </w:p>
        </w:tc>
        <w:tc>
          <w:tcPr>
            <w:tcW w:w="5034" w:type="dxa"/>
            <w:tcBorders>
              <w:tl2br w:val="nil"/>
              <w:tr2bl w:val="nil"/>
            </w:tcBorders>
            <w:shd w:val="clear" w:color="auto" w:fill="auto"/>
            <w:vAlign w:val="center"/>
          </w:tcPr>
          <w:p w14:paraId="3EE0689D">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统筹到考核事项（序号16）的“活动组织”进行考核</w:t>
            </w:r>
            <w:r>
              <w:rPr>
                <w:rFonts w:hint="eastAsia" w:ascii="Arial" w:hAnsi="Arial" w:cs="Arial"/>
                <w:color w:val="auto"/>
                <w:kern w:val="0"/>
                <w:szCs w:val="21"/>
                <w:highlight w:val="none"/>
                <w:lang w:eastAsia="zh-CN" w:bidi="ar"/>
              </w:rPr>
              <w:t>。</w:t>
            </w:r>
          </w:p>
        </w:tc>
      </w:tr>
      <w:tr w14:paraId="66E3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02599722">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4207B7E9">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3D274734">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26E3736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培训补贴申领指引（0.3分）</w:t>
            </w:r>
          </w:p>
        </w:tc>
        <w:tc>
          <w:tcPr>
            <w:tcW w:w="5034" w:type="dxa"/>
            <w:tcBorders>
              <w:tl2br w:val="nil"/>
              <w:tr2bl w:val="nil"/>
            </w:tcBorders>
            <w:shd w:val="clear" w:color="auto" w:fill="auto"/>
            <w:vAlign w:val="center"/>
          </w:tcPr>
          <w:p w14:paraId="7ECF0444">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对前来咨询且有需求的用人单位，提供培训补贴申领指引服务，每发现1家未提供服务的，扣0.1分，最高扣0.5分。</w:t>
            </w:r>
          </w:p>
        </w:tc>
      </w:tr>
      <w:tr w14:paraId="00F1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restart"/>
            <w:tcBorders>
              <w:tl2br w:val="nil"/>
              <w:tr2bl w:val="nil"/>
            </w:tcBorders>
            <w:shd w:val="clear" w:color="auto" w:fill="auto"/>
            <w:vAlign w:val="center"/>
          </w:tcPr>
          <w:p w14:paraId="44A4DC5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基础运行（70-80分）</w:t>
            </w:r>
          </w:p>
        </w:tc>
        <w:tc>
          <w:tcPr>
            <w:tcW w:w="575" w:type="dxa"/>
            <w:tcBorders>
              <w:tl2br w:val="nil"/>
              <w:tr2bl w:val="nil"/>
            </w:tcBorders>
            <w:shd w:val="clear" w:color="auto" w:fill="auto"/>
            <w:vAlign w:val="center"/>
          </w:tcPr>
          <w:p w14:paraId="03A5BC3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11</w:t>
            </w:r>
          </w:p>
        </w:tc>
        <w:tc>
          <w:tcPr>
            <w:tcW w:w="1149" w:type="dxa"/>
            <w:tcBorders>
              <w:tl2br w:val="nil"/>
              <w:tr2bl w:val="nil"/>
            </w:tcBorders>
            <w:shd w:val="clear" w:color="auto" w:fill="auto"/>
            <w:vAlign w:val="center"/>
          </w:tcPr>
          <w:p w14:paraId="08315B5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就业摸排</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（8分）</w:t>
            </w:r>
          </w:p>
        </w:tc>
        <w:tc>
          <w:tcPr>
            <w:tcW w:w="2400" w:type="dxa"/>
            <w:tcBorders>
              <w:tl2br w:val="nil"/>
              <w:tr2bl w:val="nil"/>
            </w:tcBorders>
            <w:shd w:val="clear" w:color="auto" w:fill="auto"/>
            <w:vAlign w:val="center"/>
          </w:tcPr>
          <w:p w14:paraId="6889497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对辖区城乡劳动力资源摸排登记</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（8分）</w:t>
            </w:r>
          </w:p>
        </w:tc>
        <w:tc>
          <w:tcPr>
            <w:tcW w:w="5034" w:type="dxa"/>
            <w:tcBorders>
              <w:tl2br w:val="nil"/>
              <w:tr2bl w:val="nil"/>
            </w:tcBorders>
            <w:shd w:val="clear" w:color="auto" w:fill="auto"/>
            <w:vAlign w:val="center"/>
          </w:tcPr>
          <w:p w14:paraId="75D4D4B6">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1.乡镇摸排辖区内农村劳动力就业信息，完成农村劳动力数据更新率达90%以上，每少1个百分点，扣0.5分。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 xml:space="preserve">2.全年摸排辖区内城镇劳动力就业信息，完成辖区内城镇户籍人口总数20%的劳动力信息摸排并录入系统，每少1个百分点，扣0.5分。 </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本项合计最高扣8分</w:t>
            </w:r>
          </w:p>
        </w:tc>
      </w:tr>
      <w:tr w14:paraId="181A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trPr>
        <w:tc>
          <w:tcPr>
            <w:tcW w:w="782" w:type="dxa"/>
            <w:vMerge w:val="continue"/>
            <w:tcBorders>
              <w:tl2br w:val="nil"/>
              <w:tr2bl w:val="nil"/>
            </w:tcBorders>
            <w:shd w:val="clear" w:color="auto" w:fill="auto"/>
            <w:vAlign w:val="center"/>
          </w:tcPr>
          <w:p w14:paraId="45078EBD">
            <w:pPr>
              <w:jc w:val="center"/>
              <w:rPr>
                <w:rFonts w:ascii="Arial" w:hAnsi="Arial" w:cs="Arial"/>
                <w:color w:val="auto"/>
                <w:szCs w:val="21"/>
                <w:highlight w:val="none"/>
              </w:rPr>
            </w:pPr>
          </w:p>
        </w:tc>
        <w:tc>
          <w:tcPr>
            <w:tcW w:w="575" w:type="dxa"/>
            <w:tcBorders>
              <w:tl2br w:val="nil"/>
              <w:tr2bl w:val="nil"/>
            </w:tcBorders>
            <w:shd w:val="clear" w:color="auto" w:fill="auto"/>
            <w:vAlign w:val="center"/>
          </w:tcPr>
          <w:p w14:paraId="4DFBC26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12</w:t>
            </w:r>
          </w:p>
        </w:tc>
        <w:tc>
          <w:tcPr>
            <w:tcW w:w="1149" w:type="dxa"/>
            <w:tcBorders>
              <w:tl2br w:val="nil"/>
              <w:tr2bl w:val="nil"/>
            </w:tcBorders>
            <w:shd w:val="clear" w:color="auto" w:fill="auto"/>
            <w:vAlign w:val="center"/>
          </w:tcPr>
          <w:p w14:paraId="4E5EA5C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就业服务（10分）</w:t>
            </w:r>
          </w:p>
        </w:tc>
        <w:tc>
          <w:tcPr>
            <w:tcW w:w="2400" w:type="dxa"/>
            <w:tcBorders>
              <w:tl2br w:val="nil"/>
              <w:tr2bl w:val="nil"/>
            </w:tcBorders>
            <w:shd w:val="clear" w:color="auto" w:fill="auto"/>
            <w:vAlign w:val="center"/>
          </w:tcPr>
          <w:p w14:paraId="200A25B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对辖区登记失业人员、就业困难人员、退役军人、离校两年未就业高校毕业生、脱贫劳动力、防止返贫致贫对象、农村返乡回流人员、雨露计划毕业生等重点群体提供就业跟踪帮扶（含序号5“就业援助”的对城镇零就业家庭劳动者、防止返贫致贫对象家庭劳动者等特殊困难人群开展就业跟踪帮扶）（10分）</w:t>
            </w:r>
          </w:p>
        </w:tc>
        <w:tc>
          <w:tcPr>
            <w:tcW w:w="5034" w:type="dxa"/>
            <w:tcBorders>
              <w:tl2br w:val="nil"/>
              <w:tr2bl w:val="nil"/>
            </w:tcBorders>
            <w:shd w:val="clear" w:color="auto" w:fill="auto"/>
            <w:vAlign w:val="center"/>
          </w:tcPr>
          <w:p w14:paraId="4055012B">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乡镇对摸排收集和前来登记的辖区内登记失业人员、就业困难人员（大龄失业、长期失业、低保家庭、参加人员、零就业家庭、失地人员，下同）、退役军人、离校两年内未就业高校毕业生、防止返贫致贫对象、农村返乡回流人员、雨露计划毕业生等重点群体进行身份标识，标识率达100%，每少1个百分点，扣0.1分；并按要求对重点群体开展“251”“1131”就业帮扶，就业帮扶率达100%，每少1个百分点，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辖区内脱贫劳动力就业率60%以上，登记失业人员再就业率70%以上，就业困难人员就业率80%以上，离校两年内未就业高校毕业生和雨露计划毕业生就业率90%以上。以上每一项任务每少1个百分点，扣0.1分。本项合计最高扣10分。</w:t>
            </w:r>
          </w:p>
        </w:tc>
      </w:tr>
      <w:tr w14:paraId="15B24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9" w:hRule="atLeast"/>
        </w:trPr>
        <w:tc>
          <w:tcPr>
            <w:tcW w:w="782" w:type="dxa"/>
            <w:vMerge w:val="continue"/>
            <w:tcBorders>
              <w:tl2br w:val="nil"/>
              <w:tr2bl w:val="nil"/>
            </w:tcBorders>
            <w:shd w:val="clear" w:color="auto" w:fill="auto"/>
            <w:vAlign w:val="center"/>
          </w:tcPr>
          <w:p w14:paraId="52FF7A0E">
            <w:pPr>
              <w:jc w:val="center"/>
              <w:rPr>
                <w:rFonts w:ascii="Arial" w:hAnsi="Arial" w:cs="Arial"/>
                <w:color w:val="auto"/>
                <w:szCs w:val="21"/>
                <w:highlight w:val="none"/>
              </w:rPr>
            </w:pPr>
          </w:p>
        </w:tc>
        <w:tc>
          <w:tcPr>
            <w:tcW w:w="575" w:type="dxa"/>
            <w:tcBorders>
              <w:tl2br w:val="nil"/>
              <w:tr2bl w:val="nil"/>
            </w:tcBorders>
            <w:shd w:val="clear" w:color="auto" w:fill="auto"/>
            <w:vAlign w:val="center"/>
          </w:tcPr>
          <w:p w14:paraId="2DFA434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13</w:t>
            </w:r>
          </w:p>
        </w:tc>
        <w:tc>
          <w:tcPr>
            <w:tcW w:w="1149" w:type="dxa"/>
            <w:tcBorders>
              <w:tl2br w:val="nil"/>
              <w:tr2bl w:val="nil"/>
            </w:tcBorders>
            <w:shd w:val="clear" w:color="auto" w:fill="auto"/>
            <w:vAlign w:val="center"/>
          </w:tcPr>
          <w:p w14:paraId="74F3CC9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用工摸排</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（8分）</w:t>
            </w:r>
          </w:p>
        </w:tc>
        <w:tc>
          <w:tcPr>
            <w:tcW w:w="2400" w:type="dxa"/>
            <w:tcBorders>
              <w:tl2br w:val="nil"/>
              <w:tr2bl w:val="nil"/>
            </w:tcBorders>
            <w:shd w:val="clear" w:color="auto" w:fill="auto"/>
            <w:vAlign w:val="center"/>
          </w:tcPr>
          <w:p w14:paraId="47FD8A5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对用人单位用工需求摸排登记（8分）</w:t>
            </w:r>
          </w:p>
        </w:tc>
        <w:tc>
          <w:tcPr>
            <w:tcW w:w="5034" w:type="dxa"/>
            <w:tcBorders>
              <w:tl2br w:val="nil"/>
              <w:tr2bl w:val="nil"/>
            </w:tcBorders>
            <w:shd w:val="clear" w:color="auto" w:fill="auto"/>
            <w:vAlign w:val="center"/>
          </w:tcPr>
          <w:p w14:paraId="64B1D7D7">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1.全年新增登记的用人单位不少于1000家（含辖区外），每少1个百分点，扣0.1分；有用工需求的用人单位不少于1000家次（含辖区外），每少1个百分点，扣0.1分；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2.宾州镇园区站点在宾州镇辖区内新增登记的用人单位不少于200家，每少1个百分点，扣0.1分；其中有用工需求的用人单位不少于300家次，每少1个百分点，扣0.1分；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黎塘镇在辖区内新增登记的用人单位不少于150家，每少1个百分点，扣0.1分；其中有用工需求的用人单位不少于200家次，每少1个百分点，扣0.1分；甘棠镇、思陇镇、新桥镇、邹圩镇、大桥镇、武陵镇、古辣镇、露圩镇、洋桥镇各站点在辖区内新增登记的用人单位不少于30家，每少1个百分点，扣0.1分；其中有用工需求的用人单位不少于50家次，每少1个百分点，扣0.1分；新圩镇、中华镇、王灵镇、和吉镇、陈平镇各站点在辖区内新增登记的用人单位不少于20家，每少1个百分点，扣0.1分；其中有用工需求的用人单位不少于30家次，每少1个百分点，扣0.1分</w:t>
            </w:r>
            <w:r>
              <w:rPr>
                <w:rFonts w:hint="eastAsia" w:ascii="Arial" w:hAnsi="Arial" w:cs="Arial"/>
                <w:color w:val="auto"/>
                <w:kern w:val="0"/>
                <w:szCs w:val="21"/>
                <w:highlight w:val="none"/>
                <w:lang w:eastAsia="zh-CN" w:bidi="ar"/>
              </w:rPr>
              <w:t>。</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4.全年登记的用工需求不少于10000人次（含辖区外），每少1个百分点，扣0.1分；其中宾州镇站点在辖区内用工需求不少于2000人次，每少1个百分点，扣0.1分</w:t>
            </w:r>
            <w:r>
              <w:rPr>
                <w:rFonts w:hint="eastAsia" w:ascii="Arial" w:hAnsi="Arial" w:cs="Arial"/>
                <w:color w:val="auto"/>
                <w:kern w:val="0"/>
                <w:szCs w:val="21"/>
                <w:highlight w:val="none"/>
                <w:lang w:eastAsia="zh-CN" w:bidi="ar"/>
              </w:rPr>
              <w:t>；</w:t>
            </w:r>
            <w:r>
              <w:rPr>
                <w:rFonts w:ascii="Arial" w:hAnsi="Arial" w:cs="Arial"/>
                <w:color w:val="auto"/>
                <w:kern w:val="0"/>
                <w:szCs w:val="21"/>
                <w:highlight w:val="none"/>
                <w:lang w:bidi="ar"/>
              </w:rPr>
              <w:t>黎塘镇站点在辖区内用工需求不少于1600人次，每少1个百分点，扣0.1分；甘棠镇、思陇镇、新桥镇、邹圩镇、大桥镇、武陵镇、古辣镇、露圩镇、洋桥镇各站点在辖区内用工需求不少于300人次，每少1个百分点，扣0.1分。新圩镇、中华镇、王灵镇、和吉镇、陈平镇各站点在辖区内用工需求不少于100人次，每少1个百分点，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本项合计最高扣8分。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（新增登记以年度服务周期内首次登记为准）</w:t>
            </w:r>
          </w:p>
        </w:tc>
      </w:tr>
      <w:tr w14:paraId="0C14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743E7A5C">
            <w:pPr>
              <w:jc w:val="center"/>
              <w:rPr>
                <w:rFonts w:ascii="Arial" w:hAnsi="Arial" w:cs="Arial"/>
                <w:color w:val="auto"/>
                <w:szCs w:val="21"/>
                <w:highlight w:val="none"/>
              </w:rPr>
            </w:pPr>
          </w:p>
        </w:tc>
        <w:tc>
          <w:tcPr>
            <w:tcW w:w="575" w:type="dxa"/>
            <w:vMerge w:val="restart"/>
            <w:tcBorders>
              <w:tl2br w:val="nil"/>
              <w:tr2bl w:val="nil"/>
            </w:tcBorders>
            <w:shd w:val="clear" w:color="auto" w:fill="auto"/>
            <w:vAlign w:val="center"/>
          </w:tcPr>
          <w:p w14:paraId="1BE9203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14</w:t>
            </w:r>
          </w:p>
        </w:tc>
        <w:tc>
          <w:tcPr>
            <w:tcW w:w="1149" w:type="dxa"/>
            <w:vMerge w:val="restart"/>
            <w:tcBorders>
              <w:tl2br w:val="nil"/>
              <w:tr2bl w:val="nil"/>
            </w:tcBorders>
            <w:shd w:val="clear" w:color="auto" w:fill="auto"/>
            <w:vAlign w:val="center"/>
          </w:tcPr>
          <w:p w14:paraId="5984F2E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用工服务</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（8 分）</w:t>
            </w:r>
          </w:p>
        </w:tc>
        <w:tc>
          <w:tcPr>
            <w:tcW w:w="2400" w:type="dxa"/>
            <w:tcBorders>
              <w:tl2br w:val="nil"/>
              <w:tr2bl w:val="nil"/>
            </w:tcBorders>
            <w:shd w:val="clear" w:color="auto" w:fill="auto"/>
            <w:vAlign w:val="center"/>
          </w:tcPr>
          <w:p w14:paraId="5C6798D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对本县承接的市级重点企业送工任务提供送工服务</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（6分）</w:t>
            </w:r>
          </w:p>
        </w:tc>
        <w:tc>
          <w:tcPr>
            <w:tcW w:w="5034" w:type="dxa"/>
            <w:tcBorders>
              <w:tl2br w:val="nil"/>
              <w:tr2bl w:val="nil"/>
            </w:tcBorders>
            <w:shd w:val="clear" w:color="auto" w:fill="auto"/>
            <w:vAlign w:val="center"/>
          </w:tcPr>
          <w:p w14:paraId="0D5EE219">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配合人力资源市场为我县承接的市级重点企业送工任务提供送工服务，并顺利完成服务期内涉及的年度的送工任务[具体任务由当年上级下达我县的任务数确定]，]，每少1个百分点，扣0.1分，最高扣6分。</w:t>
            </w:r>
          </w:p>
        </w:tc>
      </w:tr>
      <w:tr w14:paraId="20FB1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0B91F96D">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7A1A844A">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665205D7">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73B6E5C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对本县重点企业送工任务提供送工服务（2分）</w:t>
            </w:r>
          </w:p>
        </w:tc>
        <w:tc>
          <w:tcPr>
            <w:tcW w:w="5034" w:type="dxa"/>
            <w:tcBorders>
              <w:tl2br w:val="nil"/>
              <w:tr2bl w:val="nil"/>
            </w:tcBorders>
            <w:shd w:val="clear" w:color="auto" w:fill="auto"/>
            <w:vAlign w:val="center"/>
          </w:tcPr>
          <w:p w14:paraId="4A9A6AAC">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1.对本县的企业、帮扶车间提供送工服务，累计完成年度送工并入职100人以上。每少1个百分点，扣0.1分，最高扣2分。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2.入职人员身份属于防止返贫致贫对象、高校毕业生、就业困难人员等重点群体的数量达到10人以上的，按照每完成10人可加分0.5，最高加分不高于2分。</w:t>
            </w:r>
          </w:p>
        </w:tc>
      </w:tr>
      <w:tr w14:paraId="5577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5CD6A208">
            <w:pPr>
              <w:jc w:val="center"/>
              <w:rPr>
                <w:rFonts w:ascii="Arial" w:hAnsi="Arial" w:cs="Arial"/>
                <w:color w:val="auto"/>
                <w:szCs w:val="21"/>
                <w:highlight w:val="none"/>
              </w:rPr>
            </w:pPr>
          </w:p>
        </w:tc>
        <w:tc>
          <w:tcPr>
            <w:tcW w:w="575" w:type="dxa"/>
            <w:tcBorders>
              <w:tl2br w:val="nil"/>
              <w:tr2bl w:val="nil"/>
            </w:tcBorders>
            <w:shd w:val="clear" w:color="auto" w:fill="auto"/>
            <w:vAlign w:val="center"/>
          </w:tcPr>
          <w:p w14:paraId="3112EC4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15</w:t>
            </w:r>
          </w:p>
        </w:tc>
        <w:tc>
          <w:tcPr>
            <w:tcW w:w="1149" w:type="dxa"/>
            <w:tcBorders>
              <w:tl2br w:val="nil"/>
              <w:tr2bl w:val="nil"/>
            </w:tcBorders>
            <w:shd w:val="clear" w:color="auto" w:fill="auto"/>
            <w:vAlign w:val="center"/>
          </w:tcPr>
          <w:p w14:paraId="3DFFB57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培训跟踪</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2400" w:type="dxa"/>
            <w:tcBorders>
              <w:tl2br w:val="nil"/>
              <w:tr2bl w:val="nil"/>
            </w:tcBorders>
            <w:shd w:val="clear" w:color="auto" w:fill="auto"/>
            <w:vAlign w:val="center"/>
          </w:tcPr>
          <w:p w14:paraId="15E257C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对前来登记培训需求并推荐培训项目的服务对象进行培训、就业情况跟踪登记（1分）</w:t>
            </w:r>
          </w:p>
        </w:tc>
        <w:tc>
          <w:tcPr>
            <w:tcW w:w="5034" w:type="dxa"/>
            <w:tcBorders>
              <w:tl2br w:val="nil"/>
              <w:tr2bl w:val="nil"/>
            </w:tcBorders>
            <w:shd w:val="clear" w:color="auto" w:fill="auto"/>
            <w:vAlign w:val="center"/>
          </w:tcPr>
          <w:p w14:paraId="274D2456">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对前来登记培训需求并推荐培训项目的服务对象进行培训、就业情况跟踪登记，半年内跟踪率达100%，每少1个百分点，扣0.1分，最高扣1分。</w:t>
            </w:r>
          </w:p>
        </w:tc>
      </w:tr>
      <w:tr w14:paraId="3F3DB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6FB12EE7">
            <w:pPr>
              <w:jc w:val="center"/>
              <w:rPr>
                <w:rFonts w:ascii="Arial" w:hAnsi="Arial" w:cs="Arial"/>
                <w:color w:val="auto"/>
                <w:szCs w:val="21"/>
                <w:highlight w:val="none"/>
              </w:rPr>
            </w:pPr>
          </w:p>
        </w:tc>
        <w:tc>
          <w:tcPr>
            <w:tcW w:w="575" w:type="dxa"/>
            <w:vMerge w:val="restart"/>
            <w:tcBorders>
              <w:tl2br w:val="nil"/>
              <w:tr2bl w:val="nil"/>
            </w:tcBorders>
            <w:shd w:val="clear" w:color="auto" w:fill="auto"/>
            <w:vAlign w:val="center"/>
          </w:tcPr>
          <w:p w14:paraId="7B614C5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16</w:t>
            </w:r>
          </w:p>
        </w:tc>
        <w:tc>
          <w:tcPr>
            <w:tcW w:w="1149" w:type="dxa"/>
            <w:vMerge w:val="restart"/>
            <w:tcBorders>
              <w:tl2br w:val="nil"/>
              <w:tr2bl w:val="nil"/>
            </w:tcBorders>
            <w:shd w:val="clear" w:color="auto" w:fill="auto"/>
            <w:vAlign w:val="center"/>
          </w:tcPr>
          <w:p w14:paraId="5EBA087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活动组织（11分）</w:t>
            </w:r>
          </w:p>
        </w:tc>
        <w:tc>
          <w:tcPr>
            <w:tcW w:w="2400" w:type="dxa"/>
            <w:tcBorders>
              <w:tl2br w:val="nil"/>
              <w:tr2bl w:val="nil"/>
            </w:tcBorders>
            <w:shd w:val="clear" w:color="auto" w:fill="auto"/>
            <w:vAlign w:val="center"/>
          </w:tcPr>
          <w:p w14:paraId="21E3578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组织招聘会，并开展就业大篷车送岗活动 （5分）</w:t>
            </w:r>
          </w:p>
        </w:tc>
        <w:tc>
          <w:tcPr>
            <w:tcW w:w="5034" w:type="dxa"/>
            <w:tcBorders>
              <w:tl2br w:val="nil"/>
              <w:tr2bl w:val="nil"/>
            </w:tcBorders>
            <w:shd w:val="clear" w:color="auto" w:fill="auto"/>
            <w:vAlign w:val="center"/>
          </w:tcPr>
          <w:p w14:paraId="29A1CCE2">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按县人社部门的要求，全年在辖区内举行招聘会活动不少于12次（其中开展就业大篷车巡回招聘活动不少于6次，每次送岗到村委（社区）不少于3个，确保全年内对辖区全部村委（社区）巡回），每少1次活动扣0.5分；每少一个村委未开展就业大篷车送岗活动，扣0.5分，本项最高扣10分。</w:t>
            </w:r>
          </w:p>
        </w:tc>
      </w:tr>
      <w:tr w14:paraId="452C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3CB19302">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0361797D">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4D7E6802">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0568E60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举办公益性技能培训 （1分）</w:t>
            </w:r>
          </w:p>
        </w:tc>
        <w:tc>
          <w:tcPr>
            <w:tcW w:w="5034" w:type="dxa"/>
            <w:tcBorders>
              <w:tl2br w:val="nil"/>
              <w:tr2bl w:val="nil"/>
            </w:tcBorders>
            <w:shd w:val="clear" w:color="auto" w:fill="auto"/>
            <w:vAlign w:val="center"/>
          </w:tcPr>
          <w:p w14:paraId="244D5118">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除宾州园区站外，其余15个站点按县人社部门的要求，举办公益性技能培训活动，全年举办公益性技能培训活动不少于4期，每少1期扣0.5分，最高扣2分。</w:t>
            </w:r>
          </w:p>
        </w:tc>
      </w:tr>
      <w:tr w14:paraId="07D04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61227551">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01FB8204">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28B781E9">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22FF92C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组织参加补贴性技能培训（含序号3“技能补贴”的组织参加补贴性技能培训4分）</w:t>
            </w:r>
          </w:p>
        </w:tc>
        <w:tc>
          <w:tcPr>
            <w:tcW w:w="5034" w:type="dxa"/>
            <w:tcBorders>
              <w:tl2br w:val="nil"/>
              <w:tr2bl w:val="nil"/>
            </w:tcBorders>
            <w:shd w:val="clear" w:color="auto" w:fill="auto"/>
            <w:vAlign w:val="center"/>
          </w:tcPr>
          <w:p w14:paraId="41AF9412">
            <w:pPr>
              <w:widowControl/>
              <w:jc w:val="left"/>
              <w:textAlignment w:val="center"/>
              <w:rPr>
                <w:rFonts w:ascii="Arial" w:hAnsi="Arial" w:cs="Arial"/>
                <w:color w:val="auto"/>
                <w:szCs w:val="21"/>
                <w:highlight w:val="none"/>
              </w:rPr>
            </w:pPr>
            <w:r>
              <w:rPr>
                <w:rFonts w:hint="eastAsia" w:ascii="Arial" w:hAnsi="Arial" w:cs="Arial"/>
                <w:color w:val="auto"/>
                <w:kern w:val="0"/>
                <w:szCs w:val="21"/>
                <w:highlight w:val="none"/>
                <w:lang w:eastAsia="zh-CN" w:bidi="ar"/>
              </w:rPr>
              <w:t>1.</w:t>
            </w:r>
            <w:r>
              <w:rPr>
                <w:rFonts w:ascii="Arial" w:hAnsi="Arial" w:cs="Arial"/>
                <w:color w:val="auto"/>
                <w:kern w:val="0"/>
                <w:szCs w:val="21"/>
                <w:highlight w:val="none"/>
                <w:lang w:bidi="ar"/>
              </w:rPr>
              <w:t>除宾州镇站点外，其余15个镇站点组织已在本站登记培训需求的“五类人员”参加补贴性培训， 全年组织人数不低于 30人， 每少1个百分点扣 0.1 分， 最高扣 3 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2.宾州镇、黎塘镇各站点组织已在本站登记培训需求的企业职工参加补贴性培训， 全年组织人数不低于 30 人， 每少1个百分点扣 0.1 分， 最高扣 5 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3.严禁联合培训机构等主体，引导已在培训机构明确参训意向的人员，转移至本站完成培训需求登记后再组织其参训。 经县人社部门抽查确认的， 每发现 1 例扣 1 分， 最高扣 5 分。</w:t>
            </w:r>
          </w:p>
        </w:tc>
      </w:tr>
      <w:tr w14:paraId="141E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5C8BD7B6">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7BDF52DB">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417A916C">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1629AB7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开展政策宣讲</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5034" w:type="dxa"/>
            <w:tcBorders>
              <w:tl2br w:val="nil"/>
              <w:tr2bl w:val="nil"/>
            </w:tcBorders>
            <w:shd w:val="clear" w:color="auto" w:fill="auto"/>
            <w:vAlign w:val="center"/>
          </w:tcPr>
          <w:p w14:paraId="57A29AF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按当地人社部门要求，举办政策宣讲活动，全年举办政策宣讲活动不少于4次，每少1场扣0.5分，最高扣2分。</w:t>
            </w:r>
          </w:p>
        </w:tc>
      </w:tr>
      <w:tr w14:paraId="2946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7C91252D">
            <w:pPr>
              <w:jc w:val="center"/>
              <w:rPr>
                <w:rFonts w:ascii="Arial" w:hAnsi="Arial" w:cs="Arial"/>
                <w:color w:val="auto"/>
                <w:szCs w:val="21"/>
                <w:highlight w:val="none"/>
              </w:rPr>
            </w:pPr>
          </w:p>
        </w:tc>
        <w:tc>
          <w:tcPr>
            <w:tcW w:w="575" w:type="dxa"/>
            <w:vMerge w:val="restart"/>
            <w:tcBorders>
              <w:tl2br w:val="nil"/>
              <w:tr2bl w:val="nil"/>
            </w:tcBorders>
            <w:shd w:val="clear" w:color="auto" w:fill="auto"/>
            <w:vAlign w:val="center"/>
          </w:tcPr>
          <w:p w14:paraId="674C22CF">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17</w:t>
            </w:r>
          </w:p>
        </w:tc>
        <w:tc>
          <w:tcPr>
            <w:tcW w:w="1149" w:type="dxa"/>
            <w:vMerge w:val="restart"/>
            <w:tcBorders>
              <w:tl2br w:val="nil"/>
              <w:tr2bl w:val="nil"/>
            </w:tcBorders>
            <w:shd w:val="clear" w:color="auto" w:fill="auto"/>
            <w:vAlign w:val="center"/>
          </w:tcPr>
          <w:p w14:paraId="6EE05BF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社会宣传</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（4分）</w:t>
            </w:r>
          </w:p>
        </w:tc>
        <w:tc>
          <w:tcPr>
            <w:tcW w:w="2400" w:type="dxa"/>
            <w:tcBorders>
              <w:tl2br w:val="nil"/>
              <w:tr2bl w:val="nil"/>
            </w:tcBorders>
            <w:shd w:val="clear" w:color="auto" w:fill="auto"/>
            <w:vAlign w:val="center"/>
          </w:tcPr>
          <w:p w14:paraId="30348A0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资料配备</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5034" w:type="dxa"/>
            <w:tcBorders>
              <w:tl2br w:val="nil"/>
              <w:tr2bl w:val="nil"/>
            </w:tcBorders>
            <w:shd w:val="clear" w:color="auto" w:fill="auto"/>
            <w:vAlign w:val="center"/>
          </w:tcPr>
          <w:p w14:paraId="6AA078C6">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在服务站内公告栏、政策取阅架等地方定期放置就业创业政策宣传材料，全年印制各类宣传材料不少于5000份，每少1个百分点，扣0.1分，最高扣1分。</w:t>
            </w:r>
          </w:p>
        </w:tc>
      </w:tr>
      <w:tr w14:paraId="2E80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035DEFD1">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45C5E5AA">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54088233">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6577B76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宣传推广</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（3分）</w:t>
            </w:r>
          </w:p>
        </w:tc>
        <w:tc>
          <w:tcPr>
            <w:tcW w:w="5034" w:type="dxa"/>
            <w:tcBorders>
              <w:tl2br w:val="nil"/>
              <w:tr2bl w:val="nil"/>
            </w:tcBorders>
            <w:shd w:val="clear" w:color="auto" w:fill="auto"/>
            <w:vAlign w:val="center"/>
          </w:tcPr>
          <w:p w14:paraId="3CC36181">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 通过广播、电视、报纸等新闻媒介及官方网站、微信公众号、抖音等各类网络媒体，开展服务站相关服务宣传。全年在各类新闻媒介和网络媒体发布宣传视频、宣传文章不少于10篇，每少1篇，扣0.1分。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2.在辖区全部村（社区）和其他人员密集场所、电子屏、移动宣传载体等发放或张贴服务二维码或宣传海报等大力宣传服务站不少于30处。每发现少1处未开展的，扣0.1分；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3.制作服务站经验类、推广类宣传视频不少于1条，每条视频时长不少于2分钟，无宣传视频或视频不符合要求的，扣1分。本项合计最高扣3分</w:t>
            </w:r>
          </w:p>
        </w:tc>
      </w:tr>
      <w:tr w14:paraId="7FDB5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0C2732CE">
            <w:pPr>
              <w:jc w:val="center"/>
              <w:rPr>
                <w:rFonts w:ascii="Arial" w:hAnsi="Arial" w:cs="Arial"/>
                <w:color w:val="auto"/>
                <w:szCs w:val="21"/>
                <w:highlight w:val="none"/>
              </w:rPr>
            </w:pPr>
          </w:p>
        </w:tc>
        <w:tc>
          <w:tcPr>
            <w:tcW w:w="575" w:type="dxa"/>
            <w:vMerge w:val="restart"/>
            <w:tcBorders>
              <w:tl2br w:val="nil"/>
              <w:tr2bl w:val="nil"/>
            </w:tcBorders>
            <w:shd w:val="clear" w:color="auto" w:fill="auto"/>
            <w:vAlign w:val="center"/>
          </w:tcPr>
          <w:p w14:paraId="56D4B5A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18</w:t>
            </w:r>
          </w:p>
        </w:tc>
        <w:tc>
          <w:tcPr>
            <w:tcW w:w="1149" w:type="dxa"/>
            <w:vMerge w:val="restart"/>
            <w:tcBorders>
              <w:tl2br w:val="nil"/>
              <w:tr2bl w:val="nil"/>
            </w:tcBorders>
            <w:shd w:val="clear" w:color="auto" w:fill="auto"/>
            <w:vAlign w:val="center"/>
          </w:tcPr>
          <w:p w14:paraId="3949463F">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规范配备（基础分20分，可+5分）</w:t>
            </w:r>
          </w:p>
        </w:tc>
        <w:tc>
          <w:tcPr>
            <w:tcW w:w="2400" w:type="dxa"/>
            <w:tcBorders>
              <w:tl2br w:val="nil"/>
              <w:tr2bl w:val="nil"/>
            </w:tcBorders>
            <w:shd w:val="clear" w:color="auto" w:fill="auto"/>
            <w:vAlign w:val="center"/>
          </w:tcPr>
          <w:p w14:paraId="4B18A76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服务场所</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（1分，可+2分）</w:t>
            </w:r>
          </w:p>
        </w:tc>
        <w:tc>
          <w:tcPr>
            <w:tcW w:w="5034" w:type="dxa"/>
            <w:tcBorders>
              <w:tl2br w:val="nil"/>
              <w:tr2bl w:val="nil"/>
            </w:tcBorders>
            <w:shd w:val="clear" w:color="auto" w:fill="auto"/>
            <w:vAlign w:val="center"/>
          </w:tcPr>
          <w:p w14:paraId="0BDB871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按照《宾阳县一级就业服务站规范配备标准》，常态设置柜面服务区、信息发布区、数智求职区、等候休息区、便民服务区等基本功能区域。</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1.基本功能区域每发现少1项或设置不合理的，扣1分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2.每增设1个功能区域（求职招聘区、职业培训区、线上直播间、视频面试间、24小时人社自助服务区等）的，加0.5分；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本项合计最高加2分，最高扣5分。</w:t>
            </w:r>
          </w:p>
        </w:tc>
      </w:tr>
      <w:tr w14:paraId="4DEE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1D6BC865">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4AF39E63">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7F1011AE">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2683389F">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服务设施</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（3分，可+1分）</w:t>
            </w:r>
          </w:p>
        </w:tc>
        <w:tc>
          <w:tcPr>
            <w:tcW w:w="5034" w:type="dxa"/>
            <w:tcBorders>
              <w:tl2br w:val="nil"/>
              <w:tr2bl w:val="nil"/>
            </w:tcBorders>
            <w:shd w:val="clear" w:color="auto" w:fill="auto"/>
            <w:vAlign w:val="center"/>
          </w:tcPr>
          <w:p w14:paraId="132001B5">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按照《宾阳县一级就业服务站规范配备标准》，常态配备必要的办公服务、求职服务、便民服务、安全防护等设施设备，满足日常服务需要。</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1.对照规范配备标准，每发现1项配备不达标，扣1分；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2.每增加1台服务设备[求职招聘自助服务机、求职招聘信息发布一体机（含展示分析服务）]，或每增加1个直播带岗区域（含直播带岗设备），加0.5分；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3.每发现1次服务设备（办公服务、求职服务、便民服务、安全防护等设施设备）不能正常运行的，扣0.1分；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4.每发现1次统一标识损坏且不及时维修更换的，扣0.5分；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本项合计最高加1分，最高扣20分。</w:t>
            </w:r>
          </w:p>
        </w:tc>
      </w:tr>
      <w:tr w14:paraId="051C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47B42279">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649B5D10">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374E183D">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4A04A57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服务团队</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（5分，可+2分）</w:t>
            </w:r>
          </w:p>
        </w:tc>
        <w:tc>
          <w:tcPr>
            <w:tcW w:w="5034" w:type="dxa"/>
            <w:tcBorders>
              <w:tl2br w:val="nil"/>
              <w:tr2bl w:val="nil"/>
            </w:tcBorders>
            <w:shd w:val="clear" w:color="auto" w:fill="auto"/>
            <w:vAlign w:val="center"/>
          </w:tcPr>
          <w:p w14:paraId="2F4BAC41">
            <w:pPr>
              <w:widowControl/>
              <w:textAlignment w:val="center"/>
              <w:rPr>
                <w:rFonts w:ascii="Arial" w:hAnsi="Arial" w:cs="Arial"/>
                <w:color w:val="auto"/>
                <w:szCs w:val="21"/>
                <w:highlight w:val="none"/>
              </w:rPr>
            </w:pPr>
            <w:r>
              <w:rPr>
                <w:rFonts w:ascii="Arial" w:hAnsi="Arial" w:cs="Arial"/>
                <w:color w:val="auto"/>
                <w:kern w:val="0"/>
                <w:szCs w:val="21"/>
                <w:highlight w:val="none"/>
                <w:lang w:bidi="ar"/>
              </w:rPr>
              <w:t>按照《宾阳县一级就业服务站规范配备标准》常</w:t>
            </w:r>
            <w:r>
              <w:rPr>
                <w:rFonts w:hint="eastAsia" w:ascii="Arial" w:hAnsi="Arial" w:cs="Arial"/>
                <w:color w:val="auto"/>
                <w:kern w:val="0"/>
                <w:szCs w:val="21"/>
                <w:highlight w:val="none"/>
                <w:lang w:eastAsia="zh-CN" w:bidi="ar"/>
              </w:rPr>
              <w:t>态化</w:t>
            </w:r>
            <w:r>
              <w:rPr>
                <w:rFonts w:ascii="Arial" w:hAnsi="Arial" w:cs="Arial"/>
                <w:color w:val="auto"/>
                <w:kern w:val="0"/>
                <w:szCs w:val="21"/>
                <w:highlight w:val="none"/>
                <w:lang w:bidi="ar"/>
              </w:rPr>
              <w:t>配备专业的运营服务队伍，驻站站长1人，常态化在岗专职服务人员不少于1人，在购买服务方和属地的监督指导下，站点每周服务不少于6天、每天服务时长不少于8小时的服务要求。</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1.每多配1人，加1分；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2.站点常态化运营时间全年每天均多1个小时的，加0.5分；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3.每发现1次站长未履职的，扣0.5分；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4.每发现1次专职人员不在岗的，扣0.5分。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5.每发现服务天数少1天的，扣0.2分；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6.每发现服务时长少1个小时，扣0.1分。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本项合计最高加2分，最高扣20分。</w:t>
            </w:r>
          </w:p>
        </w:tc>
      </w:tr>
      <w:tr w14:paraId="20A5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1F938CCB">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7A8CF826">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0D18B0AF">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073EEC3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服务标识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（4分）</w:t>
            </w:r>
          </w:p>
        </w:tc>
        <w:tc>
          <w:tcPr>
            <w:tcW w:w="5034" w:type="dxa"/>
            <w:tcBorders>
              <w:tl2br w:val="nil"/>
              <w:tr2bl w:val="nil"/>
            </w:tcBorders>
            <w:shd w:val="clear" w:color="auto" w:fill="auto"/>
            <w:vAlign w:val="center"/>
          </w:tcPr>
          <w:p w14:paraId="13F7B346">
            <w:pPr>
              <w:widowControl/>
              <w:textAlignment w:val="center"/>
              <w:rPr>
                <w:rFonts w:ascii="Arial" w:hAnsi="Arial" w:cs="Arial"/>
                <w:color w:val="auto"/>
                <w:szCs w:val="21"/>
                <w:highlight w:val="none"/>
              </w:rPr>
            </w:pPr>
            <w:r>
              <w:rPr>
                <w:rFonts w:ascii="Arial" w:hAnsi="Arial" w:cs="Arial"/>
                <w:color w:val="auto"/>
                <w:kern w:val="0"/>
                <w:szCs w:val="21"/>
                <w:highlight w:val="none"/>
                <w:lang w:bidi="ar"/>
              </w:rPr>
              <w:t>统一命名规则、统一视觉识别、统一服务清单、统一服务规范。</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1.每发现1次标识标牌、徽标图案等损坏且不及时维修更换的，扣0.5分；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2.每发现1次命名规则、服务站简介、服务背景、服务网点分布图、服务事项清单、服务标语、服务指引、服务时间、服务团队、管理服务规范等不符合要求或未及时更新内容的，扣0.1分。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3.制定管理服务规范（含首问负责制、限时办结制、一次性告知制等）、安全生产管理、卫生管理、人员管理、设施设备管理、保密管理等制度并遵照执行，每发现1项不符合要求的，扣0.1分；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4.每发现1次未在显眼位置张贴服务二维码的，扣0.1分。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5.每发现1次工作人员未统一着装或配挂工牌的，扣0.1分。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本项合计最高扣4分，</w:t>
            </w:r>
          </w:p>
        </w:tc>
      </w:tr>
      <w:tr w14:paraId="1E7B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7F07FDCF">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70A0F1D8">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696AF137">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46B4ADA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服务台账</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（2分）</w:t>
            </w:r>
          </w:p>
        </w:tc>
        <w:tc>
          <w:tcPr>
            <w:tcW w:w="5034" w:type="dxa"/>
            <w:tcBorders>
              <w:tl2br w:val="nil"/>
              <w:tr2bl w:val="nil"/>
            </w:tcBorders>
            <w:shd w:val="clear" w:color="auto" w:fill="auto"/>
            <w:vAlign w:val="center"/>
          </w:tcPr>
          <w:p w14:paraId="1C770EB4">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通过信息平台（无信息平台的通过纸质材料）对业务开展过程中产生的求职人员、用人单位的服务台账（包括但不限于咨询、求职、用工、就业服务和活动组织等内容）进行及时、分类归档（关键档案需提供原始纸质或影像材料支撑），每发现1项不符合要求的，扣0.5分，最高扣2分</w:t>
            </w:r>
          </w:p>
        </w:tc>
      </w:tr>
      <w:tr w14:paraId="468B8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0EBB7BA2">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4982A1AF">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33819A61">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0E0C52F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服务系统</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（5分）</w:t>
            </w:r>
          </w:p>
        </w:tc>
        <w:tc>
          <w:tcPr>
            <w:tcW w:w="5034" w:type="dxa"/>
            <w:tcBorders>
              <w:tl2br w:val="nil"/>
              <w:tr2bl w:val="nil"/>
            </w:tcBorders>
            <w:shd w:val="clear" w:color="auto" w:fill="auto"/>
            <w:vAlign w:val="center"/>
          </w:tcPr>
          <w:p w14:paraId="09D8359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1.能统一接入南宁市人力资源和社会保障局指定的线上公共就业服务平台，实时收集、更新、发布及跟踪招聘求职培训创业信息，未能接入的扣3分；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2.实现就业一库一平台数据互联互通，未能实现的扣3分；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3.建立多级调度监测机制，能远程监测和科学直观了解本辖区服务网点的运营数据，实现分站点、分时段、分类型等服务数据监测、分析、统计、调度、展示等，未能实现的扣3分。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4.能远程实时监控和调度本辖区服务站点运营方工作人员的服务状况和站点运营情况，并能接受上级（或中枢性）网点监控和调度，未能实现扣3分。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本项合计最高扣12分。</w:t>
            </w:r>
          </w:p>
        </w:tc>
      </w:tr>
      <w:tr w14:paraId="04AC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7205BF50">
            <w:pPr>
              <w:jc w:val="center"/>
              <w:rPr>
                <w:rFonts w:ascii="Arial" w:hAnsi="Arial" w:cs="Arial"/>
                <w:color w:val="auto"/>
                <w:szCs w:val="21"/>
                <w:highlight w:val="none"/>
              </w:rPr>
            </w:pPr>
          </w:p>
        </w:tc>
        <w:tc>
          <w:tcPr>
            <w:tcW w:w="575" w:type="dxa"/>
            <w:vMerge w:val="restart"/>
            <w:tcBorders>
              <w:tl2br w:val="nil"/>
              <w:tr2bl w:val="nil"/>
            </w:tcBorders>
            <w:shd w:val="clear" w:color="auto" w:fill="auto"/>
            <w:vAlign w:val="center"/>
          </w:tcPr>
          <w:p w14:paraId="618941B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19</w:t>
            </w:r>
          </w:p>
        </w:tc>
        <w:tc>
          <w:tcPr>
            <w:tcW w:w="1149" w:type="dxa"/>
            <w:vMerge w:val="restart"/>
            <w:tcBorders>
              <w:tl2br w:val="nil"/>
              <w:tr2bl w:val="nil"/>
            </w:tcBorders>
            <w:shd w:val="clear" w:color="auto" w:fill="auto"/>
            <w:vAlign w:val="center"/>
          </w:tcPr>
          <w:p w14:paraId="69AA173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品牌建设（+5分）</w:t>
            </w:r>
          </w:p>
        </w:tc>
        <w:tc>
          <w:tcPr>
            <w:tcW w:w="2400" w:type="dxa"/>
            <w:tcBorders>
              <w:tl2br w:val="nil"/>
              <w:tr2bl w:val="nil"/>
            </w:tcBorders>
            <w:shd w:val="clear" w:color="auto" w:fill="auto"/>
            <w:vAlign w:val="center"/>
          </w:tcPr>
          <w:p w14:paraId="3D4972BF">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经验推广</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（2分）</w:t>
            </w:r>
          </w:p>
        </w:tc>
        <w:tc>
          <w:tcPr>
            <w:tcW w:w="5034" w:type="dxa"/>
            <w:tcBorders>
              <w:tl2br w:val="nil"/>
              <w:tr2bl w:val="nil"/>
            </w:tcBorders>
            <w:shd w:val="clear" w:color="auto" w:fill="auto"/>
            <w:vAlign w:val="center"/>
          </w:tcPr>
          <w:p w14:paraId="45C3D417">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在县级及以上培训、会议、简报、文件做经验介绍或推广，国家级，加1分；省级，加0.5分；市级，加0.3分，县级，加0.1分。按次计算，最高加2分。</w:t>
            </w:r>
          </w:p>
        </w:tc>
      </w:tr>
      <w:tr w14:paraId="32C2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621A397F">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231CB2C7">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1F033684">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594F1E9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正面报道</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5034" w:type="dxa"/>
            <w:tcBorders>
              <w:tl2br w:val="nil"/>
              <w:tr2bl w:val="nil"/>
            </w:tcBorders>
            <w:shd w:val="clear" w:color="auto" w:fill="auto"/>
            <w:vAlign w:val="center"/>
          </w:tcPr>
          <w:p w14:paraId="4B55B9B5">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获得县级及以上主流媒体（包括但不限于报刊、杂志、电视、广播、网络）正面报道的，国家级，加0.5分；省级，加0.3分；市级，加0.2分，县级，加0.1分。按次计算，最高加1分。</w:t>
            </w:r>
          </w:p>
        </w:tc>
      </w:tr>
      <w:tr w14:paraId="1086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61D248BD">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5B3D5FF6">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5C975062">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33F3AEA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肯定表扬</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5034" w:type="dxa"/>
            <w:tcBorders>
              <w:tl2br w:val="nil"/>
              <w:tr2bl w:val="nil"/>
            </w:tcBorders>
            <w:shd w:val="clear" w:color="auto" w:fill="auto"/>
            <w:vAlign w:val="center"/>
          </w:tcPr>
          <w:p w14:paraId="267FD12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获得上级部门主要领导肯定表扬的，国家级，加1分；省级，加0.5分；市级，加0.3分，县级，加0.1分。按次计算，最高加1分。</w:t>
            </w:r>
          </w:p>
        </w:tc>
      </w:tr>
      <w:tr w14:paraId="19B0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134F2C31">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5F5F2060">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5F69F524">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7EEE3FF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现场观摩</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5034" w:type="dxa"/>
            <w:tcBorders>
              <w:tl2br w:val="nil"/>
              <w:tr2bl w:val="nil"/>
            </w:tcBorders>
            <w:shd w:val="clear" w:color="auto" w:fill="auto"/>
            <w:vAlign w:val="center"/>
          </w:tcPr>
          <w:p w14:paraId="1519CBEB">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接待县级及以上单位现场观摩的，国家级，加1分；省级，加0.2分；市级，加0.1分，县级加0.05分。按次计算，最高加1分。</w:t>
            </w:r>
          </w:p>
        </w:tc>
      </w:tr>
      <w:tr w14:paraId="08F3E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28C44344">
            <w:pPr>
              <w:jc w:val="center"/>
              <w:rPr>
                <w:rFonts w:ascii="Arial" w:hAnsi="Arial" w:cs="Arial"/>
                <w:color w:val="auto"/>
                <w:szCs w:val="21"/>
                <w:highlight w:val="none"/>
              </w:rPr>
            </w:pPr>
          </w:p>
        </w:tc>
        <w:tc>
          <w:tcPr>
            <w:tcW w:w="575" w:type="dxa"/>
            <w:vMerge w:val="restart"/>
            <w:tcBorders>
              <w:tl2br w:val="nil"/>
              <w:tr2bl w:val="nil"/>
            </w:tcBorders>
            <w:shd w:val="clear" w:color="auto" w:fill="auto"/>
            <w:vAlign w:val="center"/>
          </w:tcPr>
          <w:p w14:paraId="0C554BD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20</w:t>
            </w:r>
          </w:p>
        </w:tc>
        <w:tc>
          <w:tcPr>
            <w:tcW w:w="1149" w:type="dxa"/>
            <w:vMerge w:val="restart"/>
            <w:tcBorders>
              <w:tl2br w:val="nil"/>
              <w:tr2bl w:val="nil"/>
            </w:tcBorders>
            <w:shd w:val="clear" w:color="auto" w:fill="auto"/>
            <w:vAlign w:val="center"/>
          </w:tcPr>
          <w:p w14:paraId="3F4A48A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风险管控（-10分）</w:t>
            </w:r>
          </w:p>
        </w:tc>
        <w:tc>
          <w:tcPr>
            <w:tcW w:w="2400" w:type="dxa"/>
            <w:tcBorders>
              <w:tl2br w:val="nil"/>
              <w:tr2bl w:val="nil"/>
            </w:tcBorders>
            <w:shd w:val="clear" w:color="auto" w:fill="auto"/>
            <w:vAlign w:val="center"/>
          </w:tcPr>
          <w:p w14:paraId="1FD2CDB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安全生产</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（-2分）</w:t>
            </w:r>
          </w:p>
        </w:tc>
        <w:tc>
          <w:tcPr>
            <w:tcW w:w="5034" w:type="dxa"/>
            <w:tcBorders>
              <w:tl2br w:val="nil"/>
              <w:tr2bl w:val="nil"/>
            </w:tcBorders>
            <w:shd w:val="clear" w:color="auto" w:fill="auto"/>
            <w:vAlign w:val="center"/>
          </w:tcPr>
          <w:p w14:paraId="752AE083">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经应急管理部门、行业主管安全生产监管部门定性为安全生产责任事故的，实行一票否决制（当年度考核不合格，下同）；一般安全生产隐患或轻微责任事故，视整改及时性和造成影响程度，扣1-2分。</w:t>
            </w:r>
          </w:p>
        </w:tc>
      </w:tr>
      <w:tr w14:paraId="1F02A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0FAB8BE6">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4322B1E6">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250F9900">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626D63A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违法乱纪</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（-2分）</w:t>
            </w:r>
          </w:p>
        </w:tc>
        <w:tc>
          <w:tcPr>
            <w:tcW w:w="5034" w:type="dxa"/>
            <w:tcBorders>
              <w:tl2br w:val="nil"/>
              <w:tr2bl w:val="nil"/>
            </w:tcBorders>
            <w:shd w:val="clear" w:color="auto" w:fill="auto"/>
            <w:vAlign w:val="center"/>
          </w:tcPr>
          <w:p w14:paraId="1995B30D">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经公安等部门定性存在违法犯罪行为或严重违法违规问题的，实行一票否决制；存在轻微违规行为且被相关部门通报批评的，视情节严重程度，扣1-2分。</w:t>
            </w:r>
          </w:p>
        </w:tc>
      </w:tr>
      <w:tr w14:paraId="0E10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44B2AF96">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1606F33F">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23AE84FD">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7930B43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数据安全、信息规范（-2分）</w:t>
            </w:r>
          </w:p>
        </w:tc>
        <w:tc>
          <w:tcPr>
            <w:tcW w:w="5034" w:type="dxa"/>
            <w:tcBorders>
              <w:tl2br w:val="nil"/>
              <w:tr2bl w:val="nil"/>
            </w:tcBorders>
            <w:shd w:val="clear" w:color="auto" w:fill="auto"/>
            <w:vAlign w:val="center"/>
          </w:tcPr>
          <w:p w14:paraId="5C7EF88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经网信部门、公安部门等定性存在重大数据泄露、违规处理数据等违反《</w:t>
            </w:r>
            <w:r>
              <w:rPr>
                <w:rFonts w:hint="eastAsia" w:ascii="Arial" w:hAnsi="Arial" w:cs="Arial"/>
                <w:color w:val="auto"/>
                <w:kern w:val="0"/>
                <w:szCs w:val="21"/>
                <w:highlight w:val="none"/>
                <w:lang w:eastAsia="zh-CN" w:bidi="ar"/>
              </w:rPr>
              <w:t>中华人民共和国数据安全法</w:t>
            </w:r>
            <w:r>
              <w:rPr>
                <w:rFonts w:ascii="Arial" w:hAnsi="Arial" w:cs="Arial"/>
                <w:color w:val="auto"/>
                <w:kern w:val="0"/>
                <w:szCs w:val="21"/>
                <w:highlight w:val="none"/>
                <w:lang w:bidi="ar"/>
              </w:rPr>
              <w:t>》《</w:t>
            </w:r>
            <w:r>
              <w:rPr>
                <w:rFonts w:hint="eastAsia" w:ascii="Arial" w:hAnsi="Arial" w:cs="Arial"/>
                <w:color w:val="auto"/>
                <w:kern w:val="0"/>
                <w:szCs w:val="21"/>
                <w:highlight w:val="none"/>
                <w:lang w:eastAsia="zh-CN" w:bidi="ar"/>
              </w:rPr>
              <w:t>中华人民共和国个人信息保护法</w:t>
            </w:r>
            <w:r>
              <w:rPr>
                <w:rFonts w:ascii="Arial" w:hAnsi="Arial" w:cs="Arial"/>
                <w:color w:val="auto"/>
                <w:kern w:val="0"/>
                <w:szCs w:val="21"/>
                <w:highlight w:val="none"/>
                <w:lang w:bidi="ar"/>
              </w:rPr>
              <w:t>》行为的，实行一票否决制；存在一般数据安全、信息发布不规范等问题且被相关部门责令整改的，视数据敏感程度和影响范围，扣1-2分。</w:t>
            </w:r>
          </w:p>
        </w:tc>
      </w:tr>
      <w:tr w14:paraId="647EE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1BEEF8B1">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39C771FF">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336D195B">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7B728A1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负面舆情</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（-2分）</w:t>
            </w:r>
          </w:p>
        </w:tc>
        <w:tc>
          <w:tcPr>
            <w:tcW w:w="5034" w:type="dxa"/>
            <w:tcBorders>
              <w:tl2br w:val="nil"/>
              <w:tr2bl w:val="nil"/>
            </w:tcBorders>
            <w:shd w:val="clear" w:color="auto" w:fill="auto"/>
            <w:vAlign w:val="center"/>
          </w:tcPr>
          <w:p w14:paraId="742903AC">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经宣传部门、网信部门等定性因自身原因引发重大负面舆情，造成恶劣社会影响且处置不力的，实行一票否决制；引发一般负面舆情但及时有效处置的，视舆情传播范围和影响程度，扣1-2分。</w:t>
            </w:r>
          </w:p>
        </w:tc>
      </w:tr>
      <w:tr w14:paraId="1CDA0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72FCEFD1">
            <w:pPr>
              <w:jc w:val="center"/>
              <w:rPr>
                <w:rFonts w:ascii="Arial" w:hAnsi="Arial" w:cs="Arial"/>
                <w:color w:val="auto"/>
                <w:szCs w:val="21"/>
                <w:highlight w:val="none"/>
              </w:rPr>
            </w:pPr>
          </w:p>
        </w:tc>
        <w:tc>
          <w:tcPr>
            <w:tcW w:w="575" w:type="dxa"/>
            <w:vMerge w:val="continue"/>
            <w:tcBorders>
              <w:tl2br w:val="nil"/>
              <w:tr2bl w:val="nil"/>
            </w:tcBorders>
            <w:shd w:val="clear" w:color="auto" w:fill="auto"/>
            <w:vAlign w:val="center"/>
          </w:tcPr>
          <w:p w14:paraId="6C892ABF">
            <w:pPr>
              <w:jc w:val="center"/>
              <w:rPr>
                <w:rFonts w:ascii="Arial" w:hAnsi="Arial" w:cs="Arial"/>
                <w:color w:val="auto"/>
                <w:szCs w:val="21"/>
                <w:highlight w:val="none"/>
              </w:rPr>
            </w:pPr>
          </w:p>
        </w:tc>
        <w:tc>
          <w:tcPr>
            <w:tcW w:w="1149" w:type="dxa"/>
            <w:vMerge w:val="continue"/>
            <w:tcBorders>
              <w:tl2br w:val="nil"/>
              <w:tr2bl w:val="nil"/>
            </w:tcBorders>
            <w:shd w:val="clear" w:color="auto" w:fill="auto"/>
            <w:vAlign w:val="center"/>
          </w:tcPr>
          <w:p w14:paraId="6539CB1C">
            <w:pPr>
              <w:jc w:val="center"/>
              <w:rPr>
                <w:rFonts w:ascii="Arial" w:hAnsi="Arial" w:cs="Arial"/>
                <w:color w:val="auto"/>
                <w:szCs w:val="21"/>
                <w:highlight w:val="none"/>
              </w:rPr>
            </w:pPr>
          </w:p>
        </w:tc>
        <w:tc>
          <w:tcPr>
            <w:tcW w:w="2400" w:type="dxa"/>
            <w:tcBorders>
              <w:tl2br w:val="nil"/>
              <w:tr2bl w:val="nil"/>
            </w:tcBorders>
            <w:shd w:val="clear" w:color="auto" w:fill="auto"/>
            <w:vAlign w:val="center"/>
          </w:tcPr>
          <w:p w14:paraId="7531D66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违规收费</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（-2分）</w:t>
            </w:r>
          </w:p>
        </w:tc>
        <w:tc>
          <w:tcPr>
            <w:tcW w:w="5034" w:type="dxa"/>
            <w:tcBorders>
              <w:tl2br w:val="nil"/>
              <w:tr2bl w:val="nil"/>
            </w:tcBorders>
            <w:shd w:val="clear" w:color="auto" w:fill="auto"/>
            <w:vAlign w:val="center"/>
          </w:tcPr>
          <w:p w14:paraId="13FAF01B">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经人社部门定性存在超范围收费、超标准收费、乱收费等严重违规收费行为的，实行一票否决制；存在轻微违规收费行为且已整改的，视违规收费金额和涉及范围，扣1-2分。</w:t>
            </w:r>
          </w:p>
        </w:tc>
      </w:tr>
    </w:tbl>
    <w:p w14:paraId="738EE938">
      <w:pPr>
        <w:widowControl/>
        <w:textAlignment w:val="center"/>
        <w:rPr>
          <w:rFonts w:ascii="Arial" w:hAnsi="Arial" w:cs="Arial"/>
          <w:color w:val="auto"/>
          <w:kern w:val="0"/>
          <w:szCs w:val="21"/>
          <w:highlight w:val="none"/>
        </w:rPr>
      </w:pPr>
    </w:p>
    <w:p w14:paraId="4C95F504">
      <w:pPr>
        <w:rPr>
          <w:rFonts w:ascii="Arial" w:hAnsi="Arial" w:cs="Arial"/>
          <w:color w:val="auto"/>
          <w:kern w:val="0"/>
          <w:szCs w:val="21"/>
          <w:highlight w:val="none"/>
          <w:lang w:bidi="ar"/>
        </w:rPr>
      </w:pPr>
      <w:r>
        <w:rPr>
          <w:rFonts w:ascii="Arial" w:hAnsi="Arial" w:cs="Arial"/>
          <w:color w:val="auto"/>
          <w:kern w:val="0"/>
          <w:szCs w:val="21"/>
          <w:highlight w:val="none"/>
          <w:lang w:bidi="ar"/>
        </w:rPr>
        <w:br w:type="page"/>
      </w:r>
    </w:p>
    <w:p w14:paraId="2FE5750B">
      <w:pPr>
        <w:widowControl/>
        <w:textAlignment w:val="center"/>
        <w:rPr>
          <w:rFonts w:ascii="Arial" w:hAnsi="Arial" w:cs="Arial"/>
          <w:color w:val="auto"/>
          <w:kern w:val="0"/>
          <w:sz w:val="32"/>
          <w:szCs w:val="32"/>
          <w:highlight w:val="none"/>
        </w:rPr>
      </w:pPr>
      <w:r>
        <w:rPr>
          <w:rFonts w:ascii="Arial" w:hAnsi="Arial" w:cs="Arial"/>
          <w:color w:val="auto"/>
          <w:kern w:val="0"/>
          <w:sz w:val="32"/>
          <w:szCs w:val="32"/>
          <w:highlight w:val="none"/>
          <w:lang w:bidi="ar"/>
        </w:rPr>
        <w:t>附件10</w:t>
      </w:r>
    </w:p>
    <w:tbl>
      <w:tblPr>
        <w:tblStyle w:val="35"/>
        <w:tblW w:w="9900"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626"/>
        <w:gridCol w:w="1238"/>
        <w:gridCol w:w="2783"/>
        <w:gridCol w:w="4471"/>
      </w:tblGrid>
      <w:tr w14:paraId="618D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9900" w:type="dxa"/>
            <w:gridSpan w:val="5"/>
            <w:tcBorders>
              <w:tl2br w:val="nil"/>
              <w:tr2bl w:val="nil"/>
            </w:tcBorders>
            <w:shd w:val="clear" w:color="auto" w:fill="auto"/>
            <w:noWrap/>
            <w:vAlign w:val="center"/>
          </w:tcPr>
          <w:p w14:paraId="10C7F1A1">
            <w:pPr>
              <w:widowControl/>
              <w:jc w:val="center"/>
              <w:textAlignment w:val="center"/>
              <w:rPr>
                <w:rFonts w:ascii="Arial" w:hAnsi="Arial" w:cs="Arial"/>
                <w:color w:val="auto"/>
                <w:szCs w:val="21"/>
                <w:highlight w:val="none"/>
              </w:rPr>
            </w:pPr>
            <w:r>
              <w:rPr>
                <w:rFonts w:ascii="Arial" w:hAnsi="Arial" w:cs="Arial"/>
                <w:color w:val="auto"/>
                <w:kern w:val="0"/>
                <w:sz w:val="32"/>
                <w:szCs w:val="32"/>
                <w:highlight w:val="none"/>
                <w:lang w:bidi="ar"/>
              </w:rPr>
              <w:t>宾阳县二级就业服务站服务考核标准</w:t>
            </w:r>
          </w:p>
        </w:tc>
      </w:tr>
      <w:tr w14:paraId="1E2C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782" w:type="dxa"/>
            <w:tcBorders>
              <w:tl2br w:val="nil"/>
              <w:tr2bl w:val="nil"/>
            </w:tcBorders>
            <w:shd w:val="clear" w:color="auto" w:fill="auto"/>
            <w:vAlign w:val="center"/>
          </w:tcPr>
          <w:p w14:paraId="074F3B19">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服务类别</w:t>
            </w:r>
          </w:p>
        </w:tc>
        <w:tc>
          <w:tcPr>
            <w:tcW w:w="626" w:type="dxa"/>
            <w:tcBorders>
              <w:tl2br w:val="nil"/>
              <w:tr2bl w:val="nil"/>
            </w:tcBorders>
            <w:shd w:val="clear" w:color="auto" w:fill="auto"/>
            <w:vAlign w:val="center"/>
          </w:tcPr>
          <w:p w14:paraId="059AD69F">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序号</w:t>
            </w:r>
          </w:p>
        </w:tc>
        <w:tc>
          <w:tcPr>
            <w:tcW w:w="1238" w:type="dxa"/>
            <w:tcBorders>
              <w:tl2br w:val="nil"/>
              <w:tr2bl w:val="nil"/>
            </w:tcBorders>
            <w:shd w:val="clear" w:color="auto" w:fill="auto"/>
            <w:vAlign w:val="center"/>
          </w:tcPr>
          <w:p w14:paraId="20284F81">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考核事项</w:t>
            </w:r>
          </w:p>
        </w:tc>
        <w:tc>
          <w:tcPr>
            <w:tcW w:w="2783" w:type="dxa"/>
            <w:tcBorders>
              <w:tl2br w:val="nil"/>
              <w:tr2bl w:val="nil"/>
            </w:tcBorders>
            <w:shd w:val="clear" w:color="auto" w:fill="auto"/>
            <w:vAlign w:val="center"/>
          </w:tcPr>
          <w:p w14:paraId="457ED51D">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考核内容</w:t>
            </w:r>
          </w:p>
        </w:tc>
        <w:tc>
          <w:tcPr>
            <w:tcW w:w="4471" w:type="dxa"/>
            <w:tcBorders>
              <w:tl2br w:val="nil"/>
              <w:tr2bl w:val="nil"/>
            </w:tcBorders>
            <w:shd w:val="clear" w:color="auto" w:fill="auto"/>
            <w:vAlign w:val="center"/>
          </w:tcPr>
          <w:p w14:paraId="2DC29DCA">
            <w:pPr>
              <w:widowControl/>
              <w:jc w:val="center"/>
              <w:textAlignment w:val="center"/>
              <w:rPr>
                <w:rFonts w:ascii="Arial" w:hAnsi="Arial" w:cs="Arial"/>
                <w:b/>
                <w:bCs/>
                <w:color w:val="auto"/>
                <w:szCs w:val="21"/>
                <w:highlight w:val="none"/>
              </w:rPr>
            </w:pPr>
            <w:r>
              <w:rPr>
                <w:rFonts w:ascii="Arial" w:hAnsi="Arial" w:cs="Arial"/>
                <w:b/>
                <w:bCs/>
                <w:color w:val="auto"/>
                <w:kern w:val="0"/>
                <w:szCs w:val="21"/>
                <w:highlight w:val="none"/>
                <w:lang w:bidi="ar"/>
              </w:rPr>
              <w:t>评分标准</w:t>
            </w:r>
          </w:p>
        </w:tc>
      </w:tr>
      <w:tr w14:paraId="79A1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restart"/>
            <w:tcBorders>
              <w:tl2br w:val="nil"/>
              <w:tr2bl w:val="nil"/>
            </w:tcBorders>
            <w:shd w:val="clear" w:color="auto" w:fill="auto"/>
            <w:vAlign w:val="center"/>
          </w:tcPr>
          <w:p w14:paraId="1F43A20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劳动者（15分）</w:t>
            </w:r>
          </w:p>
        </w:tc>
        <w:tc>
          <w:tcPr>
            <w:tcW w:w="626" w:type="dxa"/>
            <w:tcBorders>
              <w:tl2br w:val="nil"/>
              <w:tr2bl w:val="nil"/>
            </w:tcBorders>
            <w:shd w:val="clear" w:color="auto" w:fill="auto"/>
            <w:vAlign w:val="center"/>
          </w:tcPr>
          <w:p w14:paraId="00ACA8A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w:t>
            </w:r>
          </w:p>
        </w:tc>
        <w:tc>
          <w:tcPr>
            <w:tcW w:w="1238" w:type="dxa"/>
            <w:tcBorders>
              <w:tl2br w:val="nil"/>
              <w:tr2bl w:val="nil"/>
            </w:tcBorders>
            <w:shd w:val="clear" w:color="auto" w:fill="auto"/>
            <w:vAlign w:val="center"/>
          </w:tcPr>
          <w:p w14:paraId="7ACF305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咨询服务</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（2分）</w:t>
            </w:r>
          </w:p>
        </w:tc>
        <w:tc>
          <w:tcPr>
            <w:tcW w:w="2783" w:type="dxa"/>
            <w:tcBorders>
              <w:tl2br w:val="nil"/>
              <w:tr2bl w:val="nil"/>
            </w:tcBorders>
            <w:shd w:val="clear" w:color="auto" w:fill="auto"/>
            <w:vAlign w:val="center"/>
          </w:tcPr>
          <w:p w14:paraId="797F38DF">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政策宣传、服务咨询、信息查询；就业失业登记、就业困难人员认定、就业创业补贴申领等业务办理指引（含序号6“劳动维权”的劳动者工资、社保等合法权益维权指引）（2分）</w:t>
            </w:r>
          </w:p>
        </w:tc>
        <w:tc>
          <w:tcPr>
            <w:tcW w:w="4471" w:type="dxa"/>
            <w:tcBorders>
              <w:tl2br w:val="nil"/>
              <w:tr2bl w:val="nil"/>
            </w:tcBorders>
            <w:shd w:val="clear" w:color="auto" w:fill="auto"/>
            <w:vAlign w:val="center"/>
          </w:tcPr>
          <w:p w14:paraId="20B5CDB5">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对前来咨询的人员，每发现（服务对象来电来信来访投诉且经核查属实的；或者管理方监督发现并确认的，下同）1次服务不到位的，扣0.1分，最高扣2分。</w:t>
            </w:r>
          </w:p>
        </w:tc>
      </w:tr>
      <w:tr w14:paraId="1F80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3D38369F">
            <w:pPr>
              <w:jc w:val="center"/>
              <w:rPr>
                <w:rFonts w:ascii="Arial" w:hAnsi="Arial" w:cs="Arial"/>
                <w:color w:val="auto"/>
                <w:szCs w:val="21"/>
                <w:highlight w:val="none"/>
              </w:rPr>
            </w:pPr>
          </w:p>
        </w:tc>
        <w:tc>
          <w:tcPr>
            <w:tcW w:w="626" w:type="dxa"/>
            <w:vMerge w:val="restart"/>
            <w:tcBorders>
              <w:tl2br w:val="nil"/>
              <w:tr2bl w:val="nil"/>
            </w:tcBorders>
            <w:shd w:val="clear" w:color="auto" w:fill="auto"/>
            <w:vAlign w:val="center"/>
          </w:tcPr>
          <w:p w14:paraId="30944A1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2</w:t>
            </w:r>
          </w:p>
        </w:tc>
        <w:tc>
          <w:tcPr>
            <w:tcW w:w="1238" w:type="dxa"/>
            <w:vMerge w:val="restart"/>
            <w:tcBorders>
              <w:tl2br w:val="nil"/>
              <w:tr2bl w:val="nil"/>
            </w:tcBorders>
            <w:shd w:val="clear" w:color="auto" w:fill="auto"/>
            <w:vAlign w:val="center"/>
          </w:tcPr>
          <w:p w14:paraId="43EBA73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求职服务</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（10分）</w:t>
            </w:r>
          </w:p>
        </w:tc>
        <w:tc>
          <w:tcPr>
            <w:tcW w:w="2783" w:type="dxa"/>
            <w:tcBorders>
              <w:tl2br w:val="nil"/>
              <w:tr2bl w:val="nil"/>
            </w:tcBorders>
            <w:shd w:val="clear" w:color="auto" w:fill="auto"/>
            <w:vAlign w:val="center"/>
          </w:tcPr>
          <w:p w14:paraId="427A54F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求职登记（含“找零工”登记）</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（4分）</w:t>
            </w:r>
          </w:p>
        </w:tc>
        <w:tc>
          <w:tcPr>
            <w:tcW w:w="4471" w:type="dxa"/>
            <w:tcBorders>
              <w:tl2br w:val="nil"/>
              <w:tr2bl w:val="nil"/>
            </w:tcBorders>
            <w:shd w:val="clear" w:color="auto" w:fill="auto"/>
            <w:vAlign w:val="center"/>
          </w:tcPr>
          <w:p w14:paraId="6A1AC18D">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对前来求职并有登记需求的人员，引导做好求职登记，每发现1人未引导登记的，扣0.1分；2.对已做求职登记的人员，每发现1人关键信息（姓名、身份证号、联系电话、就业需求、登记时间）登记不全或信息质量问题的，扣0.1分； 本项合计最高扣4分。</w:t>
            </w:r>
          </w:p>
        </w:tc>
      </w:tr>
      <w:tr w14:paraId="76A6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782" w:type="dxa"/>
            <w:vMerge w:val="continue"/>
            <w:tcBorders>
              <w:tl2br w:val="nil"/>
              <w:tr2bl w:val="nil"/>
            </w:tcBorders>
            <w:shd w:val="clear" w:color="auto" w:fill="auto"/>
            <w:vAlign w:val="center"/>
          </w:tcPr>
          <w:p w14:paraId="12D9D073">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491E8732">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33356494">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22604C52">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职业指导</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4471" w:type="dxa"/>
            <w:tcBorders>
              <w:tl2br w:val="nil"/>
              <w:tr2bl w:val="nil"/>
            </w:tcBorders>
            <w:shd w:val="clear" w:color="auto" w:fill="auto"/>
            <w:vAlign w:val="center"/>
          </w:tcPr>
          <w:p w14:paraId="635CB55C">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对前来求职且有求职需求的人员，依据其实际情况，提供有针对性的就业方向及就业预期指导。每发现1名未按要求开展职业指导的，扣0.1分，最高扣1分。</w:t>
            </w:r>
          </w:p>
        </w:tc>
      </w:tr>
      <w:tr w14:paraId="7F5D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6D913443">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768ED5F6">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60B346A9">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58AAAAD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岗位推荐</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（4分）</w:t>
            </w:r>
          </w:p>
        </w:tc>
        <w:tc>
          <w:tcPr>
            <w:tcW w:w="4471" w:type="dxa"/>
            <w:tcBorders>
              <w:tl2br w:val="nil"/>
              <w:tr2bl w:val="nil"/>
            </w:tcBorders>
            <w:shd w:val="clear" w:color="auto" w:fill="auto"/>
            <w:vAlign w:val="center"/>
          </w:tcPr>
          <w:p w14:paraId="26680392">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对已做求职登记的人员，按照就业意愿每月推荐不少于3个就业岗位（不同用人单位），直至实现就业（或本人表示不再接受岗位推荐），并做好服务记录台账；在同一年度内向同一个求职人员推荐同一用人单位同一岗位不超过3次。每发现1次不符合要求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2.全年推荐并成功实现就业，不少于200人次；每少1个百分点，扣0.1分。（注：实现就业情况需录入广西数智人社系统，以系统登记数为准）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本项合计最高扣4分。</w:t>
            </w:r>
          </w:p>
        </w:tc>
      </w:tr>
      <w:tr w14:paraId="2BA7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4B3E4DF2">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30412B6F">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4F2C1817">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69A5113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招聘会信息推送</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4471" w:type="dxa"/>
            <w:tcBorders>
              <w:tl2br w:val="nil"/>
              <w:tr2bl w:val="nil"/>
            </w:tcBorders>
            <w:shd w:val="clear" w:color="auto" w:fill="auto"/>
            <w:vAlign w:val="center"/>
          </w:tcPr>
          <w:p w14:paraId="7C92ED54">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对已做求职登记的人员，按照就业意愿每月推荐不少于1场招聘会信息或直播带岗活动信息，每发现1次未做推荐的，扣0.1分，最高扣1分。</w:t>
            </w:r>
          </w:p>
        </w:tc>
      </w:tr>
      <w:tr w14:paraId="7549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5CC1E3EE">
            <w:pPr>
              <w:jc w:val="center"/>
              <w:rPr>
                <w:rFonts w:ascii="Arial" w:hAnsi="Arial" w:cs="Arial"/>
                <w:color w:val="auto"/>
                <w:szCs w:val="21"/>
                <w:highlight w:val="none"/>
              </w:rPr>
            </w:pPr>
          </w:p>
        </w:tc>
        <w:tc>
          <w:tcPr>
            <w:tcW w:w="626" w:type="dxa"/>
            <w:vMerge w:val="restart"/>
            <w:tcBorders>
              <w:tl2br w:val="nil"/>
              <w:tr2bl w:val="nil"/>
            </w:tcBorders>
            <w:shd w:val="clear" w:color="auto" w:fill="auto"/>
            <w:vAlign w:val="center"/>
          </w:tcPr>
          <w:p w14:paraId="15521B9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3</w:t>
            </w:r>
          </w:p>
        </w:tc>
        <w:tc>
          <w:tcPr>
            <w:tcW w:w="1238" w:type="dxa"/>
            <w:vMerge w:val="restart"/>
            <w:tcBorders>
              <w:tl2br w:val="nil"/>
              <w:tr2bl w:val="nil"/>
            </w:tcBorders>
            <w:shd w:val="clear" w:color="auto" w:fill="auto"/>
            <w:vAlign w:val="center"/>
          </w:tcPr>
          <w:p w14:paraId="09F972E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技能培训</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（1.5分）</w:t>
            </w:r>
          </w:p>
        </w:tc>
        <w:tc>
          <w:tcPr>
            <w:tcW w:w="2783" w:type="dxa"/>
            <w:tcBorders>
              <w:tl2br w:val="nil"/>
              <w:tr2bl w:val="nil"/>
            </w:tcBorders>
            <w:shd w:val="clear" w:color="auto" w:fill="auto"/>
            <w:vAlign w:val="center"/>
          </w:tcPr>
          <w:p w14:paraId="41B9FC3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培训需求登记</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（0.5分）</w:t>
            </w:r>
          </w:p>
        </w:tc>
        <w:tc>
          <w:tcPr>
            <w:tcW w:w="4471" w:type="dxa"/>
            <w:tcBorders>
              <w:tl2br w:val="nil"/>
              <w:tr2bl w:val="nil"/>
            </w:tcBorders>
            <w:shd w:val="clear" w:color="auto" w:fill="auto"/>
            <w:vAlign w:val="center"/>
          </w:tcPr>
          <w:p w14:paraId="170D538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1.对前来且有培训需求并愿意登记的人员，每发现1人未引导登记的，扣0.1分；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2.对已做培训需求登记的人员，每发现1人关键信息（姓名、身份证号、联系电话、培训意向、登记时间）登记不全或信息质量问题的，扣0.1分；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 xml:space="preserve"> 3.全年服务量不少于50人次，每少1个百分点，扣0.1分。本项合计最高扣1.5分。</w:t>
            </w:r>
          </w:p>
        </w:tc>
      </w:tr>
      <w:tr w14:paraId="3399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0E4ECBF8">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7FF3A568">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411D8F73">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2615149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培训机构信息查询（0.1分）</w:t>
            </w:r>
          </w:p>
        </w:tc>
        <w:tc>
          <w:tcPr>
            <w:tcW w:w="4471" w:type="dxa"/>
            <w:tcBorders>
              <w:tl2br w:val="nil"/>
              <w:tr2bl w:val="nil"/>
            </w:tcBorders>
            <w:shd w:val="clear" w:color="auto" w:fill="auto"/>
            <w:vAlign w:val="center"/>
          </w:tcPr>
          <w:p w14:paraId="11C45262">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对前来查询人员提供培训机构信息查询服务，每发现1人未提供服务的，扣0.1分，最高扣0.5分。</w:t>
            </w:r>
          </w:p>
        </w:tc>
      </w:tr>
      <w:tr w14:paraId="7B88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153DF722">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053E84BC">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4A76C84F">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49EF586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培训项目推荐</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（0.5分）</w:t>
            </w:r>
          </w:p>
        </w:tc>
        <w:tc>
          <w:tcPr>
            <w:tcW w:w="4471" w:type="dxa"/>
            <w:tcBorders>
              <w:tl2br w:val="nil"/>
              <w:tr2bl w:val="nil"/>
            </w:tcBorders>
            <w:shd w:val="clear" w:color="auto" w:fill="auto"/>
            <w:vAlign w:val="center"/>
          </w:tcPr>
          <w:p w14:paraId="7E1EB80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对已做培训需求登记的人员，按照培训需求半年内至少推荐1个纳入开班计划的培训项目，并做好服务记录台账，每发现1人次未推荐的，扣0.1分，最高扣1.5分。</w:t>
            </w:r>
          </w:p>
        </w:tc>
      </w:tr>
      <w:tr w14:paraId="7FFF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302B25F7">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025C4E93">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2A3F08B6">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4F3E0782">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培训开班计划查询（0.1分）</w:t>
            </w:r>
          </w:p>
        </w:tc>
        <w:tc>
          <w:tcPr>
            <w:tcW w:w="4471" w:type="dxa"/>
            <w:tcBorders>
              <w:tl2br w:val="nil"/>
              <w:tr2bl w:val="nil"/>
            </w:tcBorders>
            <w:shd w:val="clear" w:color="auto" w:fill="auto"/>
            <w:vAlign w:val="center"/>
          </w:tcPr>
          <w:p w14:paraId="19B2EB75">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对前来查询且有需求的人员，提供查询服务，每发现1人未提供服务的，扣0.1分，最高扣0.5分。</w:t>
            </w:r>
          </w:p>
        </w:tc>
      </w:tr>
      <w:tr w14:paraId="0231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782" w:type="dxa"/>
            <w:vMerge w:val="continue"/>
            <w:tcBorders>
              <w:tl2br w:val="nil"/>
              <w:tr2bl w:val="nil"/>
            </w:tcBorders>
            <w:shd w:val="clear" w:color="auto" w:fill="auto"/>
            <w:vAlign w:val="center"/>
          </w:tcPr>
          <w:p w14:paraId="0E30E69B">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050B82D5">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25A6D389">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0C0E046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培训补贴申领指引（0.3分）</w:t>
            </w:r>
          </w:p>
        </w:tc>
        <w:tc>
          <w:tcPr>
            <w:tcW w:w="4471" w:type="dxa"/>
            <w:tcBorders>
              <w:tl2br w:val="nil"/>
              <w:tr2bl w:val="nil"/>
            </w:tcBorders>
            <w:shd w:val="clear" w:color="auto" w:fill="auto"/>
            <w:vAlign w:val="center"/>
          </w:tcPr>
          <w:p w14:paraId="10CC2197">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对前来咨询人员提供培训补贴申领指引服务，每发现1人未提供服务的，扣0.1分，最高扣1分</w:t>
            </w:r>
          </w:p>
        </w:tc>
      </w:tr>
      <w:tr w14:paraId="5C8F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390FBB4B">
            <w:pPr>
              <w:jc w:val="center"/>
              <w:rPr>
                <w:rFonts w:ascii="Arial" w:hAnsi="Arial" w:cs="Arial"/>
                <w:color w:val="auto"/>
                <w:szCs w:val="21"/>
                <w:highlight w:val="none"/>
              </w:rPr>
            </w:pPr>
          </w:p>
        </w:tc>
        <w:tc>
          <w:tcPr>
            <w:tcW w:w="626" w:type="dxa"/>
            <w:vMerge w:val="restart"/>
            <w:tcBorders>
              <w:tl2br w:val="nil"/>
              <w:tr2bl w:val="nil"/>
            </w:tcBorders>
            <w:shd w:val="clear" w:color="auto" w:fill="auto"/>
            <w:vAlign w:val="center"/>
          </w:tcPr>
          <w:p w14:paraId="2B90FD6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4</w:t>
            </w:r>
          </w:p>
        </w:tc>
        <w:tc>
          <w:tcPr>
            <w:tcW w:w="1238" w:type="dxa"/>
            <w:vMerge w:val="restart"/>
            <w:tcBorders>
              <w:tl2br w:val="nil"/>
              <w:tr2bl w:val="nil"/>
            </w:tcBorders>
            <w:shd w:val="clear" w:color="auto" w:fill="auto"/>
            <w:vAlign w:val="center"/>
          </w:tcPr>
          <w:p w14:paraId="7455F1A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创业指导</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（1.5 分）</w:t>
            </w:r>
          </w:p>
        </w:tc>
        <w:tc>
          <w:tcPr>
            <w:tcW w:w="2783" w:type="dxa"/>
            <w:tcBorders>
              <w:tl2br w:val="nil"/>
              <w:tr2bl w:val="nil"/>
            </w:tcBorders>
            <w:shd w:val="clear" w:color="auto" w:fill="auto"/>
            <w:vAlign w:val="center"/>
          </w:tcPr>
          <w:p w14:paraId="20250F2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创业担保贷款申请指导（1分）</w:t>
            </w:r>
          </w:p>
        </w:tc>
        <w:tc>
          <w:tcPr>
            <w:tcW w:w="4471" w:type="dxa"/>
            <w:tcBorders>
              <w:tl2br w:val="nil"/>
              <w:tr2bl w:val="nil"/>
            </w:tcBorders>
            <w:shd w:val="clear" w:color="auto" w:fill="auto"/>
            <w:vAlign w:val="center"/>
          </w:tcPr>
          <w:p w14:paraId="48C22EF1">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1.对前来咨询且有创业意愿的人员指引办理创业担保贷款申请，每发现1人未提供指导服务的，扣0.1分；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2.全年指引符合条件的办理创业担保贷款申请人数不少于10人，每少1人，扣0.1分；本项合计最高扣1分。</w:t>
            </w:r>
          </w:p>
        </w:tc>
      </w:tr>
      <w:tr w14:paraId="79FF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1096B482">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0097AAC2">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557E8B8C">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72BC671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创业项目推介（0.1分）</w:t>
            </w:r>
          </w:p>
        </w:tc>
        <w:tc>
          <w:tcPr>
            <w:tcW w:w="4471" w:type="dxa"/>
            <w:tcBorders>
              <w:tl2br w:val="nil"/>
              <w:tr2bl w:val="nil"/>
            </w:tcBorders>
            <w:shd w:val="clear" w:color="auto" w:fill="auto"/>
            <w:vAlign w:val="center"/>
          </w:tcPr>
          <w:p w14:paraId="40CC55AB">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对前来咨询且有创业意愿的人员提供创业项目推介服务，每发现1人未提供服务的，扣0.1分，最高扣0.1分。</w:t>
            </w:r>
          </w:p>
        </w:tc>
      </w:tr>
      <w:tr w14:paraId="491E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5417E3A0">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3384505C">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760BAE16">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39228BF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创业扶持补贴申领指引（0.4分）</w:t>
            </w:r>
          </w:p>
        </w:tc>
        <w:tc>
          <w:tcPr>
            <w:tcW w:w="4471" w:type="dxa"/>
            <w:tcBorders>
              <w:tl2br w:val="nil"/>
              <w:tr2bl w:val="nil"/>
            </w:tcBorders>
            <w:shd w:val="clear" w:color="auto" w:fill="auto"/>
            <w:vAlign w:val="center"/>
          </w:tcPr>
          <w:p w14:paraId="7D5F3918">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对前来咨询且有创业意愿的人员提供创业扶持补贴申领指引服务，每发现1人未提供服务的，扣0.1分。本项合计最高扣0.4分。</w:t>
            </w:r>
          </w:p>
        </w:tc>
      </w:tr>
      <w:tr w14:paraId="7637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2BCDFAD4">
            <w:pPr>
              <w:jc w:val="center"/>
              <w:rPr>
                <w:rFonts w:ascii="Arial" w:hAnsi="Arial" w:cs="Arial"/>
                <w:color w:val="auto"/>
                <w:szCs w:val="21"/>
                <w:highlight w:val="none"/>
              </w:rPr>
            </w:pPr>
          </w:p>
        </w:tc>
        <w:tc>
          <w:tcPr>
            <w:tcW w:w="626" w:type="dxa"/>
            <w:tcBorders>
              <w:tl2br w:val="nil"/>
              <w:tr2bl w:val="nil"/>
            </w:tcBorders>
            <w:shd w:val="clear" w:color="auto" w:fill="auto"/>
            <w:vAlign w:val="center"/>
          </w:tcPr>
          <w:p w14:paraId="181C65B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5</w:t>
            </w:r>
          </w:p>
        </w:tc>
        <w:tc>
          <w:tcPr>
            <w:tcW w:w="1238" w:type="dxa"/>
            <w:tcBorders>
              <w:tl2br w:val="nil"/>
              <w:tr2bl w:val="nil"/>
            </w:tcBorders>
            <w:shd w:val="clear" w:color="auto" w:fill="auto"/>
            <w:vAlign w:val="center"/>
          </w:tcPr>
          <w:p w14:paraId="1476068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就业援助</w:t>
            </w:r>
          </w:p>
        </w:tc>
        <w:tc>
          <w:tcPr>
            <w:tcW w:w="2783" w:type="dxa"/>
            <w:tcBorders>
              <w:tl2br w:val="nil"/>
              <w:tr2bl w:val="nil"/>
            </w:tcBorders>
            <w:shd w:val="clear" w:color="auto" w:fill="auto"/>
            <w:vAlign w:val="center"/>
          </w:tcPr>
          <w:p w14:paraId="0EE4361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对城镇零就业家庭劳动者、防止返贫监测对象家庭劳动者等特殊困难人群开展就业跟踪帮扶</w:t>
            </w:r>
          </w:p>
        </w:tc>
        <w:tc>
          <w:tcPr>
            <w:tcW w:w="4471" w:type="dxa"/>
            <w:tcBorders>
              <w:tl2br w:val="nil"/>
              <w:tr2bl w:val="nil"/>
            </w:tcBorders>
            <w:shd w:val="clear" w:color="auto" w:fill="auto"/>
            <w:vAlign w:val="center"/>
          </w:tcPr>
          <w:p w14:paraId="63FCD9AA">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统筹到考核事项（序号12）的“就业服务”进行考核</w:t>
            </w:r>
          </w:p>
        </w:tc>
      </w:tr>
      <w:tr w14:paraId="0436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782" w:type="dxa"/>
            <w:vMerge w:val="continue"/>
            <w:tcBorders>
              <w:tl2br w:val="nil"/>
              <w:tr2bl w:val="nil"/>
            </w:tcBorders>
            <w:shd w:val="clear" w:color="auto" w:fill="auto"/>
            <w:vAlign w:val="center"/>
          </w:tcPr>
          <w:p w14:paraId="3EE652B1">
            <w:pPr>
              <w:jc w:val="center"/>
              <w:rPr>
                <w:rFonts w:ascii="Arial" w:hAnsi="Arial" w:cs="Arial"/>
                <w:color w:val="auto"/>
                <w:szCs w:val="21"/>
                <w:highlight w:val="none"/>
              </w:rPr>
            </w:pPr>
          </w:p>
        </w:tc>
        <w:tc>
          <w:tcPr>
            <w:tcW w:w="626" w:type="dxa"/>
            <w:tcBorders>
              <w:tl2br w:val="nil"/>
              <w:tr2bl w:val="nil"/>
            </w:tcBorders>
            <w:shd w:val="clear" w:color="auto" w:fill="auto"/>
            <w:vAlign w:val="center"/>
          </w:tcPr>
          <w:p w14:paraId="24FF26B2">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6</w:t>
            </w:r>
          </w:p>
        </w:tc>
        <w:tc>
          <w:tcPr>
            <w:tcW w:w="1238" w:type="dxa"/>
            <w:tcBorders>
              <w:tl2br w:val="nil"/>
              <w:tr2bl w:val="nil"/>
            </w:tcBorders>
            <w:shd w:val="clear" w:color="auto" w:fill="auto"/>
            <w:vAlign w:val="center"/>
          </w:tcPr>
          <w:p w14:paraId="6B7C3EB2">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劳动维权</w:t>
            </w:r>
          </w:p>
        </w:tc>
        <w:tc>
          <w:tcPr>
            <w:tcW w:w="2783" w:type="dxa"/>
            <w:tcBorders>
              <w:tl2br w:val="nil"/>
              <w:tr2bl w:val="nil"/>
            </w:tcBorders>
            <w:shd w:val="clear" w:color="auto" w:fill="auto"/>
            <w:vAlign w:val="center"/>
          </w:tcPr>
          <w:p w14:paraId="187E302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劳动者工资、社保等合法权益维权指引</w:t>
            </w:r>
          </w:p>
        </w:tc>
        <w:tc>
          <w:tcPr>
            <w:tcW w:w="4471" w:type="dxa"/>
            <w:tcBorders>
              <w:tl2br w:val="nil"/>
              <w:tr2bl w:val="nil"/>
            </w:tcBorders>
            <w:shd w:val="clear" w:color="auto" w:fill="auto"/>
            <w:vAlign w:val="center"/>
          </w:tcPr>
          <w:p w14:paraId="3C0AC50D">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统筹到考核事项（序号1）的“咨询服务”进行考核</w:t>
            </w:r>
          </w:p>
        </w:tc>
      </w:tr>
      <w:tr w14:paraId="3F81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restart"/>
            <w:tcBorders>
              <w:tl2br w:val="nil"/>
              <w:tr2bl w:val="nil"/>
            </w:tcBorders>
            <w:shd w:val="clear" w:color="auto" w:fill="auto"/>
            <w:vAlign w:val="center"/>
          </w:tcPr>
          <w:p w14:paraId="34E6CC8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用人</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单位（15分）</w:t>
            </w:r>
          </w:p>
        </w:tc>
        <w:tc>
          <w:tcPr>
            <w:tcW w:w="626" w:type="dxa"/>
            <w:tcBorders>
              <w:tl2br w:val="nil"/>
              <w:tr2bl w:val="nil"/>
            </w:tcBorders>
            <w:shd w:val="clear" w:color="auto" w:fill="auto"/>
            <w:vAlign w:val="center"/>
          </w:tcPr>
          <w:p w14:paraId="15412ED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7</w:t>
            </w:r>
          </w:p>
        </w:tc>
        <w:tc>
          <w:tcPr>
            <w:tcW w:w="1238" w:type="dxa"/>
            <w:tcBorders>
              <w:tl2br w:val="nil"/>
              <w:tr2bl w:val="nil"/>
            </w:tcBorders>
            <w:shd w:val="clear" w:color="auto" w:fill="auto"/>
            <w:vAlign w:val="center"/>
          </w:tcPr>
          <w:p w14:paraId="00AF834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咨询服务</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（2分）</w:t>
            </w:r>
          </w:p>
        </w:tc>
        <w:tc>
          <w:tcPr>
            <w:tcW w:w="2783" w:type="dxa"/>
            <w:tcBorders>
              <w:tl2br w:val="nil"/>
              <w:tr2bl w:val="nil"/>
            </w:tcBorders>
            <w:shd w:val="clear" w:color="auto" w:fill="auto"/>
            <w:vAlign w:val="center"/>
          </w:tcPr>
          <w:p w14:paraId="684B9D4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就业创业政策宣传、服务咨询、信息查询；吸纳重点人群就业有关稳岗、培训、社保等补贴申领指引（2分）</w:t>
            </w:r>
          </w:p>
        </w:tc>
        <w:tc>
          <w:tcPr>
            <w:tcW w:w="4471" w:type="dxa"/>
            <w:tcBorders>
              <w:tl2br w:val="nil"/>
              <w:tr2bl w:val="nil"/>
            </w:tcBorders>
            <w:shd w:val="clear" w:color="auto" w:fill="auto"/>
            <w:vAlign w:val="center"/>
          </w:tcPr>
          <w:p w14:paraId="37DD4A8B">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对前来咨询的用人单位，每发现1次服务不到位的，扣0.1分，最高扣2分。</w:t>
            </w:r>
          </w:p>
        </w:tc>
      </w:tr>
      <w:tr w14:paraId="76F35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trPr>
        <w:tc>
          <w:tcPr>
            <w:tcW w:w="782" w:type="dxa"/>
            <w:vMerge w:val="continue"/>
            <w:tcBorders>
              <w:tl2br w:val="nil"/>
              <w:tr2bl w:val="nil"/>
            </w:tcBorders>
            <w:shd w:val="clear" w:color="auto" w:fill="auto"/>
            <w:vAlign w:val="center"/>
          </w:tcPr>
          <w:p w14:paraId="6526EBF8">
            <w:pPr>
              <w:jc w:val="center"/>
              <w:rPr>
                <w:rFonts w:ascii="Arial" w:hAnsi="Arial" w:cs="Arial"/>
                <w:color w:val="auto"/>
                <w:szCs w:val="21"/>
                <w:highlight w:val="none"/>
              </w:rPr>
            </w:pPr>
          </w:p>
        </w:tc>
        <w:tc>
          <w:tcPr>
            <w:tcW w:w="626" w:type="dxa"/>
            <w:vMerge w:val="restart"/>
            <w:tcBorders>
              <w:tl2br w:val="nil"/>
              <w:tr2bl w:val="nil"/>
            </w:tcBorders>
            <w:shd w:val="clear" w:color="auto" w:fill="auto"/>
            <w:vAlign w:val="center"/>
          </w:tcPr>
          <w:p w14:paraId="2137736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8</w:t>
            </w:r>
          </w:p>
        </w:tc>
        <w:tc>
          <w:tcPr>
            <w:tcW w:w="1238" w:type="dxa"/>
            <w:vMerge w:val="restart"/>
            <w:tcBorders>
              <w:tl2br w:val="nil"/>
              <w:tr2bl w:val="nil"/>
            </w:tcBorders>
            <w:shd w:val="clear" w:color="auto" w:fill="auto"/>
            <w:vAlign w:val="center"/>
          </w:tcPr>
          <w:p w14:paraId="6753A00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招工服务</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（10分）</w:t>
            </w:r>
          </w:p>
        </w:tc>
        <w:tc>
          <w:tcPr>
            <w:tcW w:w="2783" w:type="dxa"/>
            <w:tcBorders>
              <w:tl2br w:val="nil"/>
              <w:tr2bl w:val="nil"/>
            </w:tcBorders>
            <w:shd w:val="clear" w:color="auto" w:fill="auto"/>
            <w:vAlign w:val="center"/>
          </w:tcPr>
          <w:p w14:paraId="0E2FAD7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用工信息登记</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（4分）</w:t>
            </w:r>
          </w:p>
        </w:tc>
        <w:tc>
          <w:tcPr>
            <w:tcW w:w="4471" w:type="dxa"/>
            <w:tcBorders>
              <w:tl2br w:val="nil"/>
              <w:tr2bl w:val="nil"/>
            </w:tcBorders>
            <w:shd w:val="clear" w:color="auto" w:fill="auto"/>
            <w:vAlign w:val="center"/>
          </w:tcPr>
          <w:p w14:paraId="561ECEE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对前来招工并愿意登记的用人单位，每发现1家未引导登记的，扣0.1分；2.对已做用工信息登记的用人单位，每发现1家关键信息（单位名称、统一社会信用代码、联系人、联系方式、招工意向、登记时间）登记不全或信息质量问题的，扣0.1分。本项合计最高扣4分。</w:t>
            </w:r>
          </w:p>
        </w:tc>
      </w:tr>
      <w:tr w14:paraId="66DFF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6F9D8FAE">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0A9E03B8">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6B0166E8">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2FD5D3E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用工信息发布</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4471" w:type="dxa"/>
            <w:tcBorders>
              <w:tl2br w:val="nil"/>
              <w:tr2bl w:val="nil"/>
            </w:tcBorders>
            <w:shd w:val="clear" w:color="auto" w:fill="auto"/>
            <w:vAlign w:val="center"/>
          </w:tcPr>
          <w:p w14:paraId="392F4E6A">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对已做用工信息登记且有发布需求的用人单位，每发现1次未开展用工信息发布服务的，扣0.1分，最高扣1分。</w:t>
            </w:r>
          </w:p>
        </w:tc>
      </w:tr>
      <w:tr w14:paraId="033D2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3935FFA8">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679DA659">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260387C4">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707C1F1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求职人员推荐</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（4分）</w:t>
            </w:r>
          </w:p>
        </w:tc>
        <w:tc>
          <w:tcPr>
            <w:tcW w:w="4471" w:type="dxa"/>
            <w:tcBorders>
              <w:tl2br w:val="nil"/>
              <w:tr2bl w:val="nil"/>
            </w:tcBorders>
            <w:shd w:val="clear" w:color="auto" w:fill="auto"/>
            <w:vAlign w:val="center"/>
          </w:tcPr>
          <w:p w14:paraId="64C20B6C">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对已做用工信息登记的用人单位，按照招工需求开展求职人员推荐，每年推荐不少于100人，并做好服务记录台账，每少1个百分点扣0.1分，最高扣4分。</w:t>
            </w:r>
          </w:p>
        </w:tc>
      </w:tr>
      <w:tr w14:paraId="0720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5CE093B8">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2E8FF1A8">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63369584">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4012E0D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招聘会等公共就业服务活动推荐（1分）</w:t>
            </w:r>
          </w:p>
        </w:tc>
        <w:tc>
          <w:tcPr>
            <w:tcW w:w="4471" w:type="dxa"/>
            <w:tcBorders>
              <w:tl2br w:val="nil"/>
              <w:tr2bl w:val="nil"/>
            </w:tcBorders>
            <w:shd w:val="clear" w:color="auto" w:fill="auto"/>
            <w:vAlign w:val="center"/>
          </w:tcPr>
          <w:p w14:paraId="2F48638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对已做用工信息登记的用人单位，按照招工需求每月推荐不少于1场招聘会信息或直播带岗活动信息，每发现1次未做推荐的，扣0.1分，最高扣1分。</w:t>
            </w:r>
          </w:p>
        </w:tc>
      </w:tr>
      <w:tr w14:paraId="0549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7A9442DF">
            <w:pPr>
              <w:jc w:val="center"/>
              <w:rPr>
                <w:rFonts w:ascii="Arial" w:hAnsi="Arial" w:cs="Arial"/>
                <w:color w:val="auto"/>
                <w:szCs w:val="21"/>
                <w:highlight w:val="none"/>
              </w:rPr>
            </w:pPr>
          </w:p>
        </w:tc>
        <w:tc>
          <w:tcPr>
            <w:tcW w:w="626" w:type="dxa"/>
            <w:vMerge w:val="restart"/>
            <w:tcBorders>
              <w:tl2br w:val="nil"/>
              <w:tr2bl w:val="nil"/>
            </w:tcBorders>
            <w:shd w:val="clear" w:color="auto" w:fill="auto"/>
            <w:vAlign w:val="center"/>
          </w:tcPr>
          <w:p w14:paraId="24D65E6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9</w:t>
            </w:r>
          </w:p>
        </w:tc>
        <w:tc>
          <w:tcPr>
            <w:tcW w:w="1238" w:type="dxa"/>
            <w:vMerge w:val="restart"/>
            <w:tcBorders>
              <w:tl2br w:val="nil"/>
              <w:tr2bl w:val="nil"/>
            </w:tcBorders>
            <w:shd w:val="clear" w:color="auto" w:fill="auto"/>
            <w:vAlign w:val="center"/>
          </w:tcPr>
          <w:p w14:paraId="4EF02C6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创业服务</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（1.5分）</w:t>
            </w:r>
          </w:p>
        </w:tc>
        <w:tc>
          <w:tcPr>
            <w:tcW w:w="2783" w:type="dxa"/>
            <w:tcBorders>
              <w:tl2br w:val="nil"/>
              <w:tr2bl w:val="nil"/>
            </w:tcBorders>
            <w:shd w:val="clear" w:color="auto" w:fill="auto"/>
            <w:vAlign w:val="center"/>
          </w:tcPr>
          <w:p w14:paraId="6EE4FC0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创业担保贷款办理指引</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4471" w:type="dxa"/>
            <w:tcBorders>
              <w:tl2br w:val="nil"/>
              <w:tr2bl w:val="nil"/>
            </w:tcBorders>
            <w:shd w:val="clear" w:color="auto" w:fill="auto"/>
            <w:vAlign w:val="center"/>
          </w:tcPr>
          <w:p w14:paraId="61A4AB39">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1.对前来咨询且有贷款意愿的小微企业，指引办理创业担保贷款申请，每发现1家未提供指导服务的，扣0.1分；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2.全年指引符合条件的办理创业担保贷款申请的小微企业不少于1家，每少1家，扣1分；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本项合计最高扣1分。</w:t>
            </w:r>
          </w:p>
        </w:tc>
      </w:tr>
      <w:tr w14:paraId="736E7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782" w:type="dxa"/>
            <w:vMerge w:val="continue"/>
            <w:tcBorders>
              <w:tl2br w:val="nil"/>
              <w:tr2bl w:val="nil"/>
            </w:tcBorders>
            <w:shd w:val="clear" w:color="auto" w:fill="auto"/>
            <w:vAlign w:val="center"/>
          </w:tcPr>
          <w:p w14:paraId="7037244E">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0E78B675">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47FC4C31">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3503DBA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创业扶持补贴申领指引（0.5分）</w:t>
            </w:r>
          </w:p>
        </w:tc>
        <w:tc>
          <w:tcPr>
            <w:tcW w:w="4471" w:type="dxa"/>
            <w:tcBorders>
              <w:tl2br w:val="nil"/>
              <w:tr2bl w:val="nil"/>
            </w:tcBorders>
            <w:shd w:val="clear" w:color="auto" w:fill="auto"/>
            <w:vAlign w:val="center"/>
          </w:tcPr>
          <w:p w14:paraId="700E661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对前来咨询且有补贴申领需求的用人单位，提供补贴申领指引服务，每发现1家未提供服务的，扣0.1分。最高扣0.5分</w:t>
            </w:r>
          </w:p>
        </w:tc>
      </w:tr>
      <w:tr w14:paraId="2ABE7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6ED2F5B8">
            <w:pPr>
              <w:jc w:val="center"/>
              <w:rPr>
                <w:rFonts w:ascii="Arial" w:hAnsi="Arial" w:cs="Arial"/>
                <w:color w:val="auto"/>
                <w:szCs w:val="21"/>
                <w:highlight w:val="none"/>
              </w:rPr>
            </w:pPr>
          </w:p>
        </w:tc>
        <w:tc>
          <w:tcPr>
            <w:tcW w:w="626" w:type="dxa"/>
            <w:vMerge w:val="restart"/>
            <w:tcBorders>
              <w:tl2br w:val="nil"/>
              <w:tr2bl w:val="nil"/>
            </w:tcBorders>
            <w:shd w:val="clear" w:color="auto" w:fill="auto"/>
            <w:vAlign w:val="center"/>
          </w:tcPr>
          <w:p w14:paraId="2E297FA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10</w:t>
            </w:r>
          </w:p>
        </w:tc>
        <w:tc>
          <w:tcPr>
            <w:tcW w:w="1238" w:type="dxa"/>
            <w:vMerge w:val="restart"/>
            <w:tcBorders>
              <w:tl2br w:val="nil"/>
              <w:tr2bl w:val="nil"/>
            </w:tcBorders>
            <w:shd w:val="clear" w:color="auto" w:fill="auto"/>
            <w:vAlign w:val="center"/>
          </w:tcPr>
          <w:p w14:paraId="0913854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技能培训</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（1.5分）</w:t>
            </w:r>
          </w:p>
        </w:tc>
        <w:tc>
          <w:tcPr>
            <w:tcW w:w="2783" w:type="dxa"/>
            <w:tcBorders>
              <w:tl2br w:val="nil"/>
              <w:tr2bl w:val="nil"/>
            </w:tcBorders>
            <w:shd w:val="clear" w:color="auto" w:fill="auto"/>
            <w:vAlign w:val="center"/>
          </w:tcPr>
          <w:p w14:paraId="4CED03E8">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培训需求登记</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（0.5分）</w:t>
            </w:r>
          </w:p>
        </w:tc>
        <w:tc>
          <w:tcPr>
            <w:tcW w:w="4471" w:type="dxa"/>
            <w:tcBorders>
              <w:tl2br w:val="nil"/>
              <w:tr2bl w:val="nil"/>
            </w:tcBorders>
            <w:shd w:val="clear" w:color="auto" w:fill="auto"/>
            <w:vAlign w:val="center"/>
          </w:tcPr>
          <w:p w14:paraId="3BBBB293">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  对前来咨询且有培训需求并愿意登记的用人单位，每发现1家未引导登记的，扣0.5分；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2.全年服务量不少于10家，每少1家扣0.1分，最高扣1分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 xml:space="preserve">3.对已做培训需求登记的用人单位，每发现1家关键信息（单位名称、联系人、联系方式、培训意向、登记时间）登记不全或信息质量问题的，扣0.1分。 </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本项合计最高扣2分。</w:t>
            </w:r>
          </w:p>
        </w:tc>
      </w:tr>
      <w:tr w14:paraId="29EC0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68B494EE">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72C2564F">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24760B76">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5FA283F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培训机构信息查询（0.1分）</w:t>
            </w:r>
          </w:p>
        </w:tc>
        <w:tc>
          <w:tcPr>
            <w:tcW w:w="4471" w:type="dxa"/>
            <w:tcBorders>
              <w:tl2br w:val="nil"/>
              <w:tr2bl w:val="nil"/>
            </w:tcBorders>
            <w:shd w:val="clear" w:color="auto" w:fill="auto"/>
            <w:vAlign w:val="center"/>
          </w:tcPr>
          <w:p w14:paraId="78AD42E4">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对前来查询的用人单位提供培训机构信息查询服务，每发现1次未提供服务的，扣1分，最高扣0.5分。</w:t>
            </w:r>
          </w:p>
        </w:tc>
      </w:tr>
      <w:tr w14:paraId="54F1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5FA6A012">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1657BBE4">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3ECFDC24">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473D216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培训项目推荐</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（0.5分）</w:t>
            </w:r>
          </w:p>
        </w:tc>
        <w:tc>
          <w:tcPr>
            <w:tcW w:w="4471" w:type="dxa"/>
            <w:tcBorders>
              <w:tl2br w:val="nil"/>
              <w:tr2bl w:val="nil"/>
            </w:tcBorders>
            <w:shd w:val="clear" w:color="auto" w:fill="auto"/>
            <w:vAlign w:val="center"/>
          </w:tcPr>
          <w:p w14:paraId="0F373B78">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对已做培训需求登记的用人单位，按照培训需求半年内至少推荐1个纳入开班计划的培训项目，并做好服务记录台账，每发现1家未推荐的，扣0.1分，最高扣1.5分。</w:t>
            </w:r>
          </w:p>
        </w:tc>
      </w:tr>
      <w:tr w14:paraId="109C7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44BBE070">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769E0DB0">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28801372">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5476D5A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培训开班计划查询（0.1分）</w:t>
            </w:r>
          </w:p>
        </w:tc>
        <w:tc>
          <w:tcPr>
            <w:tcW w:w="4471" w:type="dxa"/>
            <w:tcBorders>
              <w:tl2br w:val="nil"/>
              <w:tr2bl w:val="nil"/>
            </w:tcBorders>
            <w:shd w:val="clear" w:color="auto" w:fill="auto"/>
            <w:vAlign w:val="center"/>
          </w:tcPr>
          <w:p w14:paraId="6DEF4E51">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对前来咨询且有需求的用人单位，提供开班计划查询服务，每发现1家未提供服务的，扣0.1分，最高扣0.5分。</w:t>
            </w:r>
          </w:p>
        </w:tc>
      </w:tr>
      <w:tr w14:paraId="32A6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5D12B152">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312985AF">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20FA5DD2">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3FEE139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培训补贴申领指引（0.3分）</w:t>
            </w:r>
          </w:p>
        </w:tc>
        <w:tc>
          <w:tcPr>
            <w:tcW w:w="4471" w:type="dxa"/>
            <w:tcBorders>
              <w:tl2br w:val="nil"/>
              <w:tr2bl w:val="nil"/>
            </w:tcBorders>
            <w:shd w:val="clear" w:color="auto" w:fill="auto"/>
            <w:vAlign w:val="center"/>
          </w:tcPr>
          <w:p w14:paraId="2B713FB9">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对前来咨询且有需求的用人单位，提供指引服务，每发现1家未提供服务的，扣0.1分，最高扣1分。</w:t>
            </w:r>
          </w:p>
        </w:tc>
      </w:tr>
      <w:tr w14:paraId="5A80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restart"/>
            <w:tcBorders>
              <w:tl2br w:val="nil"/>
              <w:tr2bl w:val="nil"/>
            </w:tcBorders>
            <w:shd w:val="clear" w:color="auto" w:fill="auto"/>
            <w:vAlign w:val="center"/>
          </w:tcPr>
          <w:p w14:paraId="361CE6C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基础运行（70-80分）</w:t>
            </w:r>
          </w:p>
        </w:tc>
        <w:tc>
          <w:tcPr>
            <w:tcW w:w="626" w:type="dxa"/>
            <w:tcBorders>
              <w:tl2br w:val="nil"/>
              <w:tr2bl w:val="nil"/>
            </w:tcBorders>
            <w:shd w:val="clear" w:color="auto" w:fill="auto"/>
            <w:vAlign w:val="center"/>
          </w:tcPr>
          <w:p w14:paraId="0DCDC36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11</w:t>
            </w:r>
          </w:p>
        </w:tc>
        <w:tc>
          <w:tcPr>
            <w:tcW w:w="1238" w:type="dxa"/>
            <w:tcBorders>
              <w:tl2br w:val="nil"/>
              <w:tr2bl w:val="nil"/>
            </w:tcBorders>
            <w:shd w:val="clear" w:color="auto" w:fill="auto"/>
            <w:vAlign w:val="center"/>
          </w:tcPr>
          <w:p w14:paraId="29CCE902">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就业摸排</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（15分）</w:t>
            </w:r>
          </w:p>
        </w:tc>
        <w:tc>
          <w:tcPr>
            <w:tcW w:w="2783" w:type="dxa"/>
            <w:tcBorders>
              <w:tl2br w:val="nil"/>
              <w:tr2bl w:val="nil"/>
            </w:tcBorders>
            <w:shd w:val="clear" w:color="auto" w:fill="auto"/>
            <w:vAlign w:val="center"/>
          </w:tcPr>
          <w:p w14:paraId="3513AED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对辖区劳动力资源摸排登记（15分）</w:t>
            </w:r>
          </w:p>
        </w:tc>
        <w:tc>
          <w:tcPr>
            <w:tcW w:w="4471" w:type="dxa"/>
            <w:tcBorders>
              <w:tl2br w:val="nil"/>
              <w:tr2bl w:val="nil"/>
            </w:tcBorders>
            <w:shd w:val="clear" w:color="auto" w:fill="auto"/>
            <w:vAlign w:val="center"/>
          </w:tcPr>
          <w:p w14:paraId="4F285CE1">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社区每年摸排辖区内劳动力就业信息，完成辖区户籍人口总数20%的劳动力信息摸排并录入系统，每少1个百分点，扣0.5分。本项合计最高扣15分。</w:t>
            </w:r>
          </w:p>
        </w:tc>
      </w:tr>
      <w:tr w14:paraId="64AD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7BF07FC5">
            <w:pPr>
              <w:jc w:val="center"/>
              <w:rPr>
                <w:rFonts w:ascii="Arial" w:hAnsi="Arial" w:cs="Arial"/>
                <w:color w:val="auto"/>
                <w:szCs w:val="21"/>
                <w:highlight w:val="none"/>
              </w:rPr>
            </w:pPr>
          </w:p>
        </w:tc>
        <w:tc>
          <w:tcPr>
            <w:tcW w:w="626" w:type="dxa"/>
            <w:tcBorders>
              <w:tl2br w:val="nil"/>
              <w:tr2bl w:val="nil"/>
            </w:tcBorders>
            <w:shd w:val="clear" w:color="auto" w:fill="auto"/>
            <w:vAlign w:val="center"/>
          </w:tcPr>
          <w:p w14:paraId="5462A0C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12</w:t>
            </w:r>
          </w:p>
        </w:tc>
        <w:tc>
          <w:tcPr>
            <w:tcW w:w="1238" w:type="dxa"/>
            <w:tcBorders>
              <w:tl2br w:val="nil"/>
              <w:tr2bl w:val="nil"/>
            </w:tcBorders>
            <w:shd w:val="clear" w:color="auto" w:fill="auto"/>
            <w:vAlign w:val="center"/>
          </w:tcPr>
          <w:p w14:paraId="66BDCD1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就业服务</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（15分）</w:t>
            </w:r>
          </w:p>
        </w:tc>
        <w:tc>
          <w:tcPr>
            <w:tcW w:w="2783" w:type="dxa"/>
            <w:tcBorders>
              <w:tl2br w:val="nil"/>
              <w:tr2bl w:val="nil"/>
            </w:tcBorders>
            <w:shd w:val="clear" w:color="auto" w:fill="auto"/>
            <w:vAlign w:val="center"/>
          </w:tcPr>
          <w:p w14:paraId="1A713E4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对辖区登记失业人员、就业困难人员、退役军人、离校两年</w:t>
            </w:r>
            <w:r>
              <w:rPr>
                <w:rFonts w:hint="eastAsia" w:ascii="Arial" w:hAnsi="Arial" w:cs="Arial"/>
                <w:color w:val="auto"/>
                <w:kern w:val="0"/>
                <w:szCs w:val="21"/>
                <w:highlight w:val="none"/>
                <w:lang w:eastAsia="zh-CN" w:bidi="ar"/>
              </w:rPr>
              <w:t>未</w:t>
            </w:r>
            <w:r>
              <w:rPr>
                <w:rFonts w:ascii="Arial" w:hAnsi="Arial" w:cs="Arial"/>
                <w:color w:val="auto"/>
                <w:kern w:val="0"/>
                <w:szCs w:val="21"/>
                <w:highlight w:val="none"/>
                <w:lang w:bidi="ar"/>
              </w:rPr>
              <w:t>就业高校毕业生、防止返贫致贫对象、农村返乡回流人员、雨露计划毕业生等重点群体提供就业跟踪帮扶（含序号5“就业援助”的对城镇零就业家庭劳动者、防止返贫致贫对象家庭劳动者等特殊困难人群开展就业跟踪帮扶）（15分）</w:t>
            </w:r>
          </w:p>
        </w:tc>
        <w:tc>
          <w:tcPr>
            <w:tcW w:w="4471" w:type="dxa"/>
            <w:tcBorders>
              <w:tl2br w:val="nil"/>
              <w:tr2bl w:val="nil"/>
            </w:tcBorders>
            <w:shd w:val="clear" w:color="auto" w:fill="auto"/>
            <w:vAlign w:val="center"/>
          </w:tcPr>
          <w:p w14:paraId="056DE9C1">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社区对摸排收集和前来登记的辖区内登记失业人员、就业困难人员（大龄失业、长期失业、低保家庭、残疾人员、零就业家庭、失地人员，下同）、退役军人、离校两年内未就业高校毕业生、防止返贫致贫对象、农村返乡回流人员、雨露计划毕业生等重点群体进行身份标识，标识率达100%，每少1个百分点，扣0.1分；并按要求对重点群体开展“251”“1131”就业帮扶，就业帮扶率达100%，每少1个百分点，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2.辖区内脱贫劳动力就业率60%以上，登记失业人员再就业率70%以上，就业困难人员就业率80%以上，离校两年内未就业高校毕业生和雨露计划毕业生就业率90%以上。以上每一项任务每少1个百分点，扣0.1分。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本项合计最高扣15分。</w:t>
            </w:r>
          </w:p>
        </w:tc>
      </w:tr>
      <w:tr w14:paraId="44CF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68CAE864">
            <w:pPr>
              <w:jc w:val="center"/>
              <w:rPr>
                <w:rFonts w:ascii="Arial" w:hAnsi="Arial" w:cs="Arial"/>
                <w:color w:val="auto"/>
                <w:szCs w:val="21"/>
                <w:highlight w:val="none"/>
              </w:rPr>
            </w:pPr>
          </w:p>
        </w:tc>
        <w:tc>
          <w:tcPr>
            <w:tcW w:w="626" w:type="dxa"/>
            <w:tcBorders>
              <w:tl2br w:val="nil"/>
              <w:tr2bl w:val="nil"/>
            </w:tcBorders>
            <w:shd w:val="clear" w:color="auto" w:fill="auto"/>
            <w:vAlign w:val="center"/>
          </w:tcPr>
          <w:p w14:paraId="4B4242F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13</w:t>
            </w:r>
          </w:p>
        </w:tc>
        <w:tc>
          <w:tcPr>
            <w:tcW w:w="1238" w:type="dxa"/>
            <w:tcBorders>
              <w:tl2br w:val="nil"/>
              <w:tr2bl w:val="nil"/>
            </w:tcBorders>
            <w:shd w:val="clear" w:color="auto" w:fill="auto"/>
            <w:vAlign w:val="center"/>
          </w:tcPr>
          <w:p w14:paraId="480F89C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用工摸排</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（9分）</w:t>
            </w:r>
          </w:p>
        </w:tc>
        <w:tc>
          <w:tcPr>
            <w:tcW w:w="2783" w:type="dxa"/>
            <w:tcBorders>
              <w:tl2br w:val="nil"/>
              <w:tr2bl w:val="nil"/>
            </w:tcBorders>
            <w:shd w:val="clear" w:color="auto" w:fill="auto"/>
            <w:vAlign w:val="center"/>
          </w:tcPr>
          <w:p w14:paraId="172613F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对用人单位用工需求摸排登记（9分）</w:t>
            </w:r>
          </w:p>
        </w:tc>
        <w:tc>
          <w:tcPr>
            <w:tcW w:w="4471" w:type="dxa"/>
            <w:tcBorders>
              <w:tl2br w:val="nil"/>
              <w:tr2bl w:val="nil"/>
            </w:tcBorders>
            <w:shd w:val="clear" w:color="auto" w:fill="auto"/>
            <w:vAlign w:val="center"/>
          </w:tcPr>
          <w:p w14:paraId="2AD83E0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1.社区辖区内新增登记的用人单位不少于50家，每少1个百分点，扣0.1分；其中有用工需求的用人单位不少于50家次，每少1个百分点，扣0.1分；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2.社区辖区内用工需求不少于200人次，每少1个百分点，扣0.1分。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本项合计最高扣10分。</w:t>
            </w:r>
          </w:p>
        </w:tc>
      </w:tr>
      <w:tr w14:paraId="5368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6015C9E0">
            <w:pPr>
              <w:jc w:val="center"/>
              <w:rPr>
                <w:rFonts w:ascii="Arial" w:hAnsi="Arial" w:cs="Arial"/>
                <w:color w:val="auto"/>
                <w:szCs w:val="21"/>
                <w:highlight w:val="none"/>
              </w:rPr>
            </w:pPr>
          </w:p>
        </w:tc>
        <w:tc>
          <w:tcPr>
            <w:tcW w:w="626" w:type="dxa"/>
            <w:tcBorders>
              <w:tl2br w:val="nil"/>
              <w:tr2bl w:val="nil"/>
            </w:tcBorders>
            <w:shd w:val="clear" w:color="auto" w:fill="auto"/>
            <w:vAlign w:val="center"/>
          </w:tcPr>
          <w:p w14:paraId="3EEE764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14</w:t>
            </w:r>
          </w:p>
        </w:tc>
        <w:tc>
          <w:tcPr>
            <w:tcW w:w="1238" w:type="dxa"/>
            <w:tcBorders>
              <w:tl2br w:val="nil"/>
              <w:tr2bl w:val="nil"/>
            </w:tcBorders>
            <w:shd w:val="clear" w:color="auto" w:fill="auto"/>
            <w:vAlign w:val="center"/>
          </w:tcPr>
          <w:p w14:paraId="5D3C952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培训跟踪</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（1分）</w:t>
            </w:r>
          </w:p>
        </w:tc>
        <w:tc>
          <w:tcPr>
            <w:tcW w:w="2783" w:type="dxa"/>
            <w:tcBorders>
              <w:tl2br w:val="nil"/>
              <w:tr2bl w:val="nil"/>
            </w:tcBorders>
            <w:shd w:val="clear" w:color="auto" w:fill="auto"/>
            <w:vAlign w:val="center"/>
          </w:tcPr>
          <w:p w14:paraId="7833C433">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对前来登记培训需求并推荐培训项目的服务对象进行培训、就业情况跟踪登记（1分）</w:t>
            </w:r>
          </w:p>
        </w:tc>
        <w:tc>
          <w:tcPr>
            <w:tcW w:w="4471" w:type="dxa"/>
            <w:tcBorders>
              <w:tl2br w:val="nil"/>
              <w:tr2bl w:val="nil"/>
            </w:tcBorders>
            <w:shd w:val="clear" w:color="auto" w:fill="auto"/>
            <w:vAlign w:val="center"/>
          </w:tcPr>
          <w:p w14:paraId="74FAC518">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对前来登记培训需求并推荐培训项目的服务对象进行培训、就业情况跟踪登记，半年内跟踪率达100%，每少1个百分点，扣0.1分，最高扣1分。</w:t>
            </w:r>
          </w:p>
        </w:tc>
      </w:tr>
      <w:tr w14:paraId="1D55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5F42474A">
            <w:pPr>
              <w:jc w:val="center"/>
              <w:rPr>
                <w:rFonts w:ascii="Arial" w:hAnsi="Arial" w:cs="Arial"/>
                <w:color w:val="auto"/>
                <w:szCs w:val="21"/>
                <w:highlight w:val="none"/>
              </w:rPr>
            </w:pPr>
          </w:p>
        </w:tc>
        <w:tc>
          <w:tcPr>
            <w:tcW w:w="626" w:type="dxa"/>
            <w:tcBorders>
              <w:tl2br w:val="nil"/>
              <w:tr2bl w:val="nil"/>
            </w:tcBorders>
            <w:shd w:val="clear" w:color="auto" w:fill="auto"/>
            <w:vAlign w:val="center"/>
          </w:tcPr>
          <w:p w14:paraId="0CB5C3E4">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15</w:t>
            </w:r>
          </w:p>
        </w:tc>
        <w:tc>
          <w:tcPr>
            <w:tcW w:w="1238" w:type="dxa"/>
            <w:tcBorders>
              <w:tl2br w:val="nil"/>
              <w:tr2bl w:val="nil"/>
            </w:tcBorders>
            <w:shd w:val="clear" w:color="auto" w:fill="auto"/>
            <w:vAlign w:val="center"/>
          </w:tcPr>
          <w:p w14:paraId="3428CBC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活动组织（1分）</w:t>
            </w:r>
          </w:p>
        </w:tc>
        <w:tc>
          <w:tcPr>
            <w:tcW w:w="2783" w:type="dxa"/>
            <w:tcBorders>
              <w:tl2br w:val="nil"/>
              <w:tr2bl w:val="nil"/>
            </w:tcBorders>
            <w:shd w:val="clear" w:color="auto" w:fill="auto"/>
            <w:vAlign w:val="center"/>
          </w:tcPr>
          <w:p w14:paraId="1C1E9C3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举办公益性技能培训 （1分）</w:t>
            </w:r>
          </w:p>
        </w:tc>
        <w:tc>
          <w:tcPr>
            <w:tcW w:w="4471" w:type="dxa"/>
            <w:tcBorders>
              <w:tl2br w:val="nil"/>
              <w:tr2bl w:val="nil"/>
            </w:tcBorders>
            <w:shd w:val="clear" w:color="auto" w:fill="auto"/>
            <w:vAlign w:val="center"/>
          </w:tcPr>
          <w:p w14:paraId="5D5B945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按县人社部门的要求，举办公益性技能培训活动，全年举办公益性技能培训活动不少于4期，每少1期扣0.5分，最高扣2分。</w:t>
            </w:r>
          </w:p>
        </w:tc>
      </w:tr>
      <w:tr w14:paraId="6EF4B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7BBF1813">
            <w:pPr>
              <w:jc w:val="center"/>
              <w:rPr>
                <w:rFonts w:ascii="Arial" w:hAnsi="Arial" w:cs="Arial"/>
                <w:color w:val="auto"/>
                <w:szCs w:val="21"/>
                <w:highlight w:val="none"/>
              </w:rPr>
            </w:pPr>
          </w:p>
        </w:tc>
        <w:tc>
          <w:tcPr>
            <w:tcW w:w="626" w:type="dxa"/>
            <w:vMerge w:val="restart"/>
            <w:tcBorders>
              <w:tl2br w:val="nil"/>
              <w:tr2bl w:val="nil"/>
            </w:tcBorders>
            <w:shd w:val="clear" w:color="auto" w:fill="auto"/>
            <w:vAlign w:val="center"/>
          </w:tcPr>
          <w:p w14:paraId="6D0B7E2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16</w:t>
            </w:r>
          </w:p>
        </w:tc>
        <w:tc>
          <w:tcPr>
            <w:tcW w:w="1238" w:type="dxa"/>
            <w:vMerge w:val="restart"/>
            <w:tcBorders>
              <w:tl2br w:val="nil"/>
              <w:tr2bl w:val="nil"/>
            </w:tcBorders>
            <w:shd w:val="clear" w:color="auto" w:fill="auto"/>
            <w:vAlign w:val="center"/>
          </w:tcPr>
          <w:p w14:paraId="6CF34B5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社会宣传</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（4分）</w:t>
            </w:r>
          </w:p>
        </w:tc>
        <w:tc>
          <w:tcPr>
            <w:tcW w:w="2783" w:type="dxa"/>
            <w:tcBorders>
              <w:tl2br w:val="nil"/>
              <w:tr2bl w:val="nil"/>
            </w:tcBorders>
            <w:shd w:val="clear" w:color="auto" w:fill="auto"/>
            <w:vAlign w:val="center"/>
          </w:tcPr>
          <w:p w14:paraId="4C9E838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资料配备（1分）</w:t>
            </w:r>
          </w:p>
        </w:tc>
        <w:tc>
          <w:tcPr>
            <w:tcW w:w="4471" w:type="dxa"/>
            <w:tcBorders>
              <w:tl2br w:val="nil"/>
              <w:tr2bl w:val="nil"/>
            </w:tcBorders>
            <w:shd w:val="clear" w:color="auto" w:fill="auto"/>
            <w:vAlign w:val="center"/>
          </w:tcPr>
          <w:p w14:paraId="7829998D">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在服务站内公告栏、政策取阅架等地方定期放置就业创业政策宣传材料，全年印制各类宣传材料不少于5000份，每少1个百分点，扣0.1分，最高扣1分。</w:t>
            </w:r>
          </w:p>
        </w:tc>
      </w:tr>
      <w:tr w14:paraId="0AF9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3CBF68A7">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161EAA02">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316CD250">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36CD1AC2">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宣传推广（3分）</w:t>
            </w:r>
          </w:p>
        </w:tc>
        <w:tc>
          <w:tcPr>
            <w:tcW w:w="4471" w:type="dxa"/>
            <w:tcBorders>
              <w:tl2br w:val="nil"/>
              <w:tr2bl w:val="nil"/>
            </w:tcBorders>
            <w:shd w:val="clear" w:color="auto" w:fill="auto"/>
            <w:vAlign w:val="center"/>
          </w:tcPr>
          <w:p w14:paraId="75885A31">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1.通过广播、电视、报纸等新闻媒介及官方网站、微信公众号、抖音等各类网络媒体，开展服务站相关服务宣传。全年在各类新闻媒介和网络媒体发布宣传视频、宣传文章不少于5篇，每少1篇，扣0.1分。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2.在辖区社区和其他人员密集场所、电子屏、移动宣传载体等发放或张贴服务二维码或宣传海报等，宣传服务站不少于30处。每发现少1次未开展的，扣0.1分；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3.制作服务站经验类、推广类宣传视频不少于1条，每条视频时长不少于2分钟，无宣传视频或视频不符合要求的，扣1分。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本项合计最高扣3分</w:t>
            </w:r>
          </w:p>
        </w:tc>
      </w:tr>
      <w:tr w14:paraId="4B0C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0DD6A790">
            <w:pPr>
              <w:jc w:val="center"/>
              <w:rPr>
                <w:rFonts w:ascii="Arial" w:hAnsi="Arial" w:cs="Arial"/>
                <w:color w:val="auto"/>
                <w:szCs w:val="21"/>
                <w:highlight w:val="none"/>
              </w:rPr>
            </w:pPr>
          </w:p>
        </w:tc>
        <w:tc>
          <w:tcPr>
            <w:tcW w:w="626" w:type="dxa"/>
            <w:vMerge w:val="restart"/>
            <w:tcBorders>
              <w:tl2br w:val="nil"/>
              <w:tr2bl w:val="nil"/>
            </w:tcBorders>
            <w:shd w:val="clear" w:color="auto" w:fill="auto"/>
            <w:vAlign w:val="center"/>
          </w:tcPr>
          <w:p w14:paraId="7EE6FFE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17</w:t>
            </w:r>
          </w:p>
        </w:tc>
        <w:tc>
          <w:tcPr>
            <w:tcW w:w="1238" w:type="dxa"/>
            <w:vMerge w:val="restart"/>
            <w:tcBorders>
              <w:tl2br w:val="nil"/>
              <w:tr2bl w:val="nil"/>
            </w:tcBorders>
            <w:shd w:val="clear" w:color="auto" w:fill="auto"/>
            <w:vAlign w:val="center"/>
          </w:tcPr>
          <w:p w14:paraId="7EF40A6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规范配备</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（基础分20分，可+5分）</w:t>
            </w:r>
          </w:p>
        </w:tc>
        <w:tc>
          <w:tcPr>
            <w:tcW w:w="2783" w:type="dxa"/>
            <w:tcBorders>
              <w:tl2br w:val="nil"/>
              <w:tr2bl w:val="nil"/>
            </w:tcBorders>
            <w:shd w:val="clear" w:color="auto" w:fill="auto"/>
            <w:vAlign w:val="center"/>
          </w:tcPr>
          <w:p w14:paraId="7340B26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服务场所（1分，可+2分）</w:t>
            </w:r>
          </w:p>
        </w:tc>
        <w:tc>
          <w:tcPr>
            <w:tcW w:w="4471" w:type="dxa"/>
            <w:tcBorders>
              <w:tl2br w:val="nil"/>
              <w:tr2bl w:val="nil"/>
            </w:tcBorders>
            <w:shd w:val="clear" w:color="auto" w:fill="auto"/>
            <w:vAlign w:val="center"/>
          </w:tcPr>
          <w:p w14:paraId="14097CFA">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按照《宾阳县二级就业服务站规范配备标准》，常态设置柜面服务区、信息发布区、数智求职区、职业培训区、等候休息区、便民服务区等基本功能区域。1.基本功能区域每发现少1项或设置不合理的，扣0.1分；2.每增设1个功能区域（求职招聘区、线上直播间、视频面试间、24小时人社自助服务区等）的，加0.5分；本项合计最高加2分，最高扣5分。</w:t>
            </w:r>
          </w:p>
        </w:tc>
      </w:tr>
      <w:tr w14:paraId="36EA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3240689B">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6BF9CA76">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68D90DFF">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69FAD6A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服务设施（3分，可+1分）</w:t>
            </w:r>
          </w:p>
        </w:tc>
        <w:tc>
          <w:tcPr>
            <w:tcW w:w="4471" w:type="dxa"/>
            <w:tcBorders>
              <w:tl2br w:val="nil"/>
              <w:tr2bl w:val="nil"/>
            </w:tcBorders>
            <w:shd w:val="clear" w:color="auto" w:fill="auto"/>
            <w:vAlign w:val="center"/>
          </w:tcPr>
          <w:p w14:paraId="570A083B">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按照《宾阳县二级就业服务站规范配备标准》，常态配备必要的办公服务、求职服务、便民服务、安全防护等设施设备，满足日常服务需要。1.对照规范配备标准，每发现1项配备不达标，扣1分；2.每增加1台服务设备[求职招聘自助服务机、求职招聘信息发布一体机（含展示分析服务）]，或每增加1个直播带岗区域（含直播带岗设备），加0.5分；3.每发现1次服务设备（办公服务、求职服务、便民服务、安全防护等设施设备）不能正常运行的，扣0.1分；4.每发现1次统一标识损坏且不及时维修更换的，扣0.5分；本项合计最高加1分，最高扣20分。</w:t>
            </w:r>
          </w:p>
        </w:tc>
      </w:tr>
      <w:tr w14:paraId="1C973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617F9EAB">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77F6F23D">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57B8127B">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4BA9F07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服务团队（5分，可+2分）</w:t>
            </w:r>
          </w:p>
        </w:tc>
        <w:tc>
          <w:tcPr>
            <w:tcW w:w="4471" w:type="dxa"/>
            <w:tcBorders>
              <w:tl2br w:val="nil"/>
              <w:tr2bl w:val="nil"/>
            </w:tcBorders>
            <w:shd w:val="clear" w:color="auto" w:fill="auto"/>
            <w:vAlign w:val="center"/>
          </w:tcPr>
          <w:p w14:paraId="517BFC9F">
            <w:pPr>
              <w:widowControl/>
              <w:textAlignment w:val="center"/>
              <w:rPr>
                <w:rFonts w:ascii="Arial" w:hAnsi="Arial" w:cs="Arial"/>
                <w:color w:val="auto"/>
                <w:szCs w:val="21"/>
                <w:highlight w:val="none"/>
              </w:rPr>
            </w:pPr>
            <w:r>
              <w:rPr>
                <w:rFonts w:ascii="Arial" w:hAnsi="Arial" w:cs="Arial"/>
                <w:color w:val="auto"/>
                <w:kern w:val="0"/>
                <w:szCs w:val="21"/>
                <w:highlight w:val="none"/>
                <w:lang w:bidi="ar"/>
              </w:rPr>
              <w:t>按照《宾阳县二级就业服务站规范配备标准》常</w:t>
            </w:r>
            <w:r>
              <w:rPr>
                <w:rFonts w:hint="eastAsia" w:ascii="Arial" w:hAnsi="Arial" w:cs="Arial"/>
                <w:color w:val="auto"/>
                <w:kern w:val="0"/>
                <w:szCs w:val="21"/>
                <w:highlight w:val="none"/>
                <w:lang w:eastAsia="zh-CN" w:bidi="ar"/>
              </w:rPr>
              <w:t>态化</w:t>
            </w:r>
            <w:r>
              <w:rPr>
                <w:rFonts w:ascii="Arial" w:hAnsi="Arial" w:cs="Arial"/>
                <w:color w:val="auto"/>
                <w:kern w:val="0"/>
                <w:szCs w:val="21"/>
                <w:highlight w:val="none"/>
                <w:lang w:bidi="ar"/>
              </w:rPr>
              <w:t>配备专业的运营人员，常态化在岗专职服务人员不少于1人，在购买服务方和属地的监督指导下，站点每周服务不少于6天、每天服务时长不少于8小时的服务要求。</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1.每多配1人，加1分；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2.站点常态化运营时间全年每天均多1个小时的，加0.5分；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3.每发现1次专职人员不在岗的，扣0.5分。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4.每发现服务天数少1天的，扣0.2分；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5.每发现服务时长少1个小时，扣0.1分。本项合计最高加2分，最高扣20分。</w:t>
            </w:r>
          </w:p>
        </w:tc>
      </w:tr>
      <w:tr w14:paraId="4C829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5" w:hRule="atLeast"/>
        </w:trPr>
        <w:tc>
          <w:tcPr>
            <w:tcW w:w="782" w:type="dxa"/>
            <w:vMerge w:val="continue"/>
            <w:tcBorders>
              <w:tl2br w:val="nil"/>
              <w:tr2bl w:val="nil"/>
            </w:tcBorders>
            <w:shd w:val="clear" w:color="auto" w:fill="auto"/>
            <w:vAlign w:val="center"/>
          </w:tcPr>
          <w:p w14:paraId="70A65952">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38BD9BB2">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5D0ACDB6">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028294FD">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服务标识（4分）</w:t>
            </w:r>
          </w:p>
        </w:tc>
        <w:tc>
          <w:tcPr>
            <w:tcW w:w="4471" w:type="dxa"/>
            <w:tcBorders>
              <w:tl2br w:val="nil"/>
              <w:tr2bl w:val="nil"/>
            </w:tcBorders>
            <w:shd w:val="clear" w:color="auto" w:fill="auto"/>
            <w:vAlign w:val="center"/>
          </w:tcPr>
          <w:p w14:paraId="669A6787">
            <w:pPr>
              <w:widowControl/>
              <w:textAlignment w:val="center"/>
              <w:rPr>
                <w:rFonts w:ascii="Arial" w:hAnsi="Arial" w:cs="Arial"/>
                <w:color w:val="auto"/>
                <w:szCs w:val="21"/>
                <w:highlight w:val="none"/>
              </w:rPr>
            </w:pPr>
            <w:r>
              <w:rPr>
                <w:rFonts w:ascii="Arial" w:hAnsi="Arial" w:cs="Arial"/>
                <w:color w:val="auto"/>
                <w:kern w:val="0"/>
                <w:szCs w:val="21"/>
                <w:highlight w:val="none"/>
                <w:lang w:bidi="ar"/>
              </w:rPr>
              <w:t>统一命名规则、统一视觉识别、统一服务清单、统一服务规范。</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1.每发现1次标识标牌、徽标图案等损坏且不及时维修更换的，扣0.5分；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2.每发现1次命名规则、服务站简介、服务背景、服务网点分布图、服务事项清单、服务标语、服务指引、服务时间、服务团队、管理服务规范等不符合要求或未及时更新内容的，扣0.1分。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3.制定管理服务规范（含首问负责制、限时办结制、一次性告知制等）、安全生产管理、卫生管理、人员管理、设施设备管理、保密管理等制度并遵照执行，每发现1项不符合要求的，扣0.1分；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4.每发现1次未在显眼位置张贴服务二维码的，扣0.1分。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5.每发现1次工作人员未统一着装或配挂工牌的，扣0.1分。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本项合计最高扣4分，</w:t>
            </w:r>
          </w:p>
        </w:tc>
      </w:tr>
      <w:tr w14:paraId="52CF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495C1CA4">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6DC3A374">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05629E38">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335C6E3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服务台账（2分）</w:t>
            </w:r>
          </w:p>
        </w:tc>
        <w:tc>
          <w:tcPr>
            <w:tcW w:w="4471" w:type="dxa"/>
            <w:tcBorders>
              <w:tl2br w:val="nil"/>
              <w:tr2bl w:val="nil"/>
            </w:tcBorders>
            <w:shd w:val="clear" w:color="auto" w:fill="auto"/>
            <w:vAlign w:val="center"/>
          </w:tcPr>
          <w:p w14:paraId="7BFDCDDB">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通过信息平台（无信息平台的通过纸质材料）对业务开展过程中产生的求职人员、用人单位的服务台账（包括但不限于咨询、求职、用工、就业服务等内容）进行及时、分类归档（关键档案需提供原始纸质或影像材料支撑），每发现1项不符合要求的，扣0.5分，最高扣2分</w:t>
            </w:r>
          </w:p>
        </w:tc>
      </w:tr>
      <w:tr w14:paraId="6E4C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4" w:hRule="atLeast"/>
        </w:trPr>
        <w:tc>
          <w:tcPr>
            <w:tcW w:w="782" w:type="dxa"/>
            <w:vMerge w:val="continue"/>
            <w:tcBorders>
              <w:tl2br w:val="nil"/>
              <w:tr2bl w:val="nil"/>
            </w:tcBorders>
            <w:shd w:val="clear" w:color="auto" w:fill="auto"/>
            <w:vAlign w:val="center"/>
          </w:tcPr>
          <w:p w14:paraId="775C9699">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360A6843">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484EB5C5">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0EA021D5">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服务系统（5分）</w:t>
            </w:r>
          </w:p>
        </w:tc>
        <w:tc>
          <w:tcPr>
            <w:tcW w:w="4471" w:type="dxa"/>
            <w:tcBorders>
              <w:tl2br w:val="nil"/>
              <w:tr2bl w:val="nil"/>
            </w:tcBorders>
            <w:shd w:val="clear" w:color="auto" w:fill="auto"/>
            <w:vAlign w:val="center"/>
          </w:tcPr>
          <w:p w14:paraId="303EA4FF">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1.能统一接入南宁市人力资源和社会保障局指定的线上公共就业服务平台，实时收集、更新、发布及跟踪招聘求职培训创业信息，未能接入的扣3分；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2.实现就业“一库一平台”数据互联互通，未能实现的扣3分；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3.建立多级调度监测机制，能科学直观了解本站点运营数据，实现分时段、分类型等服务数据监测、分析、统计、调度、展示。未能实现的，扣3分。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4.能远程实时监测和调度本站点运营方工作人员的服务状况和站点运行情况，并能接受上级（或中枢性）网点监控和调度，未能实现的，扣3分。</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本项合计最高扣12分。</w:t>
            </w:r>
          </w:p>
        </w:tc>
      </w:tr>
      <w:tr w14:paraId="4A51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0D01117D">
            <w:pPr>
              <w:jc w:val="center"/>
              <w:rPr>
                <w:rFonts w:ascii="Arial" w:hAnsi="Arial" w:cs="Arial"/>
                <w:color w:val="auto"/>
                <w:szCs w:val="21"/>
                <w:highlight w:val="none"/>
              </w:rPr>
            </w:pPr>
          </w:p>
        </w:tc>
        <w:tc>
          <w:tcPr>
            <w:tcW w:w="626" w:type="dxa"/>
            <w:vMerge w:val="restart"/>
            <w:tcBorders>
              <w:tl2br w:val="nil"/>
              <w:tr2bl w:val="nil"/>
            </w:tcBorders>
            <w:shd w:val="clear" w:color="auto" w:fill="auto"/>
            <w:vAlign w:val="center"/>
          </w:tcPr>
          <w:p w14:paraId="7D0897B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18</w:t>
            </w:r>
          </w:p>
        </w:tc>
        <w:tc>
          <w:tcPr>
            <w:tcW w:w="1238" w:type="dxa"/>
            <w:vMerge w:val="restart"/>
            <w:tcBorders>
              <w:tl2br w:val="nil"/>
              <w:tr2bl w:val="nil"/>
            </w:tcBorders>
            <w:shd w:val="clear" w:color="auto" w:fill="auto"/>
            <w:vAlign w:val="center"/>
          </w:tcPr>
          <w:p w14:paraId="4DB02C6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品牌建设</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（+5分）</w:t>
            </w:r>
          </w:p>
        </w:tc>
        <w:tc>
          <w:tcPr>
            <w:tcW w:w="2783" w:type="dxa"/>
            <w:tcBorders>
              <w:tl2br w:val="nil"/>
              <w:tr2bl w:val="nil"/>
            </w:tcBorders>
            <w:shd w:val="clear" w:color="auto" w:fill="auto"/>
            <w:vAlign w:val="center"/>
          </w:tcPr>
          <w:p w14:paraId="7AA35F60">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经验推广（2分）</w:t>
            </w:r>
          </w:p>
        </w:tc>
        <w:tc>
          <w:tcPr>
            <w:tcW w:w="4471" w:type="dxa"/>
            <w:tcBorders>
              <w:tl2br w:val="nil"/>
              <w:tr2bl w:val="nil"/>
            </w:tcBorders>
            <w:shd w:val="clear" w:color="auto" w:fill="auto"/>
            <w:vAlign w:val="center"/>
          </w:tcPr>
          <w:p w14:paraId="688ED36B">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在县级及以上培训、会议、简报、文件做经验介绍或推广，国家级，加1分；省级，加0.5分；市级，加0.3分，县级，加0.1分。按次计算，最高加2分。</w:t>
            </w:r>
          </w:p>
        </w:tc>
      </w:tr>
      <w:tr w14:paraId="3893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3858B78B">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3E862B49">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3C37568D">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3200408E">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正面报道（1分）</w:t>
            </w:r>
          </w:p>
        </w:tc>
        <w:tc>
          <w:tcPr>
            <w:tcW w:w="4471" w:type="dxa"/>
            <w:tcBorders>
              <w:tl2br w:val="nil"/>
              <w:tr2bl w:val="nil"/>
            </w:tcBorders>
            <w:shd w:val="clear" w:color="auto" w:fill="auto"/>
            <w:vAlign w:val="center"/>
          </w:tcPr>
          <w:p w14:paraId="4EB95F8D">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获得县级及以上主流媒体（包括但不限于报刊、杂志、电视、广播、网络）正面报道的，国家级，加0.5分；省级，加0.3分；市级，加0.2分，县级，加0.1分。按次计算，最高加1分。</w:t>
            </w:r>
          </w:p>
        </w:tc>
      </w:tr>
      <w:tr w14:paraId="5B30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0EC22D31">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4A4C75A9">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724AAB75">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35A0AA4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肯定表扬（1分）</w:t>
            </w:r>
          </w:p>
        </w:tc>
        <w:tc>
          <w:tcPr>
            <w:tcW w:w="4471" w:type="dxa"/>
            <w:tcBorders>
              <w:tl2br w:val="nil"/>
              <w:tr2bl w:val="nil"/>
            </w:tcBorders>
            <w:shd w:val="clear" w:color="auto" w:fill="auto"/>
            <w:vAlign w:val="center"/>
          </w:tcPr>
          <w:p w14:paraId="6FB0581A">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获得上级部门主要领导肯定表扬的，国家级，加1分；省级，加0.5分；市级</w:t>
            </w:r>
            <w:r>
              <w:rPr>
                <w:rFonts w:hint="eastAsia" w:ascii="Arial" w:hAnsi="Arial" w:cs="Arial"/>
                <w:color w:val="auto"/>
                <w:kern w:val="0"/>
                <w:szCs w:val="21"/>
                <w:highlight w:val="none"/>
                <w:lang w:eastAsia="zh-CN" w:bidi="ar"/>
              </w:rPr>
              <w:t>，</w:t>
            </w:r>
            <w:r>
              <w:rPr>
                <w:rFonts w:ascii="Arial" w:hAnsi="Arial" w:cs="Arial"/>
                <w:color w:val="auto"/>
                <w:kern w:val="0"/>
                <w:szCs w:val="21"/>
                <w:highlight w:val="none"/>
                <w:lang w:bidi="ar"/>
              </w:rPr>
              <w:t>加0.3分，县级，加0.1分，按次计算，最高加1分。</w:t>
            </w:r>
          </w:p>
        </w:tc>
      </w:tr>
      <w:tr w14:paraId="7C80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782" w:type="dxa"/>
            <w:vMerge w:val="continue"/>
            <w:tcBorders>
              <w:tl2br w:val="nil"/>
              <w:tr2bl w:val="nil"/>
            </w:tcBorders>
            <w:shd w:val="clear" w:color="auto" w:fill="auto"/>
            <w:vAlign w:val="center"/>
          </w:tcPr>
          <w:p w14:paraId="79EDFAEB">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39BFF737">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147BDDE9">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6EFD00D1">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现场观摩（1分）</w:t>
            </w:r>
          </w:p>
        </w:tc>
        <w:tc>
          <w:tcPr>
            <w:tcW w:w="4471" w:type="dxa"/>
            <w:tcBorders>
              <w:tl2br w:val="nil"/>
              <w:tr2bl w:val="nil"/>
            </w:tcBorders>
            <w:shd w:val="clear" w:color="auto" w:fill="auto"/>
            <w:vAlign w:val="center"/>
          </w:tcPr>
          <w:p w14:paraId="7B155592">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接待县级及以上单位现场观摩的，国家级，加1分；省级，加0.2分；市级，加0.1分，县级加0.05分，按次计算，最高加1分。</w:t>
            </w:r>
          </w:p>
        </w:tc>
      </w:tr>
      <w:tr w14:paraId="2AC15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737D4CB3">
            <w:pPr>
              <w:jc w:val="center"/>
              <w:rPr>
                <w:rFonts w:ascii="Arial" w:hAnsi="Arial" w:cs="Arial"/>
                <w:color w:val="auto"/>
                <w:szCs w:val="21"/>
                <w:highlight w:val="none"/>
              </w:rPr>
            </w:pPr>
          </w:p>
        </w:tc>
        <w:tc>
          <w:tcPr>
            <w:tcW w:w="626" w:type="dxa"/>
            <w:vMerge w:val="restart"/>
            <w:tcBorders>
              <w:tl2br w:val="nil"/>
              <w:tr2bl w:val="nil"/>
            </w:tcBorders>
            <w:shd w:val="clear" w:color="auto" w:fill="auto"/>
            <w:vAlign w:val="center"/>
          </w:tcPr>
          <w:p w14:paraId="28F4516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19</w:t>
            </w:r>
          </w:p>
        </w:tc>
        <w:tc>
          <w:tcPr>
            <w:tcW w:w="1238" w:type="dxa"/>
            <w:vMerge w:val="restart"/>
            <w:tcBorders>
              <w:tl2br w:val="nil"/>
              <w:tr2bl w:val="nil"/>
            </w:tcBorders>
            <w:shd w:val="clear" w:color="auto" w:fill="auto"/>
            <w:vAlign w:val="center"/>
          </w:tcPr>
          <w:p w14:paraId="3FE3EFA7">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风险管控</w:t>
            </w:r>
            <w:r>
              <w:rPr>
                <w:rFonts w:ascii="Arial" w:hAnsi="Arial" w:cs="Arial"/>
                <w:color w:val="auto"/>
                <w:kern w:val="0"/>
                <w:szCs w:val="21"/>
                <w:highlight w:val="none"/>
                <w:lang w:bidi="ar"/>
              </w:rPr>
              <w:br w:type="textWrapping"/>
            </w:r>
            <w:r>
              <w:rPr>
                <w:rFonts w:ascii="Arial" w:hAnsi="Arial" w:cs="Arial"/>
                <w:color w:val="auto"/>
                <w:kern w:val="0"/>
                <w:szCs w:val="21"/>
                <w:highlight w:val="none"/>
                <w:lang w:bidi="ar"/>
              </w:rPr>
              <w:t>（-10分）</w:t>
            </w:r>
          </w:p>
        </w:tc>
        <w:tc>
          <w:tcPr>
            <w:tcW w:w="2783" w:type="dxa"/>
            <w:tcBorders>
              <w:tl2br w:val="nil"/>
              <w:tr2bl w:val="nil"/>
            </w:tcBorders>
            <w:shd w:val="clear" w:color="auto" w:fill="auto"/>
            <w:vAlign w:val="center"/>
          </w:tcPr>
          <w:p w14:paraId="266DB096">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安全生产（-2分）</w:t>
            </w:r>
          </w:p>
        </w:tc>
        <w:tc>
          <w:tcPr>
            <w:tcW w:w="4471" w:type="dxa"/>
            <w:tcBorders>
              <w:tl2br w:val="nil"/>
              <w:tr2bl w:val="nil"/>
            </w:tcBorders>
            <w:shd w:val="clear" w:color="auto" w:fill="auto"/>
            <w:vAlign w:val="center"/>
          </w:tcPr>
          <w:p w14:paraId="591C38F1">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经应急管理部门、行业主管安全生产监管部门定性为安全生产责任事故的，实行一票否决制（当年度考核不合格，下同）；一般安全生产隐患或轻微责任事故，视整改及时性和造成影响程度，扣1-2分。</w:t>
            </w:r>
          </w:p>
        </w:tc>
      </w:tr>
      <w:tr w14:paraId="1BFEA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5615153B">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01DC5A72">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7D866B00">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28C3E9EC">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违法乱纪（-2分）</w:t>
            </w:r>
          </w:p>
        </w:tc>
        <w:tc>
          <w:tcPr>
            <w:tcW w:w="4471" w:type="dxa"/>
            <w:tcBorders>
              <w:tl2br w:val="nil"/>
              <w:tr2bl w:val="nil"/>
            </w:tcBorders>
            <w:shd w:val="clear" w:color="auto" w:fill="auto"/>
            <w:vAlign w:val="center"/>
          </w:tcPr>
          <w:p w14:paraId="7EF1C425">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经公安等部门定性存在违法犯罪行为或严重违法违规问题的，实行一票否决制；存在轻微违规行为且被相关部门通报批评的，视情节严重程度，扣1-2分。</w:t>
            </w:r>
          </w:p>
        </w:tc>
      </w:tr>
      <w:tr w14:paraId="2562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14956AF0">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4334405F">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4696456B">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0DF1E999">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数据安全、信息规范（-2分）</w:t>
            </w:r>
          </w:p>
        </w:tc>
        <w:tc>
          <w:tcPr>
            <w:tcW w:w="4471" w:type="dxa"/>
            <w:tcBorders>
              <w:tl2br w:val="nil"/>
              <w:tr2bl w:val="nil"/>
            </w:tcBorders>
            <w:shd w:val="clear" w:color="auto" w:fill="auto"/>
            <w:vAlign w:val="center"/>
          </w:tcPr>
          <w:p w14:paraId="149B5040">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经网信部门、公安部门等定性存在重大数据泄露、违规处理数据等违反《</w:t>
            </w:r>
            <w:r>
              <w:rPr>
                <w:rFonts w:hint="eastAsia" w:ascii="Arial" w:hAnsi="Arial" w:cs="Arial"/>
                <w:color w:val="auto"/>
                <w:kern w:val="0"/>
                <w:szCs w:val="21"/>
                <w:highlight w:val="none"/>
                <w:lang w:eastAsia="zh-CN" w:bidi="ar"/>
              </w:rPr>
              <w:t>中华人民共和国数据安全法</w:t>
            </w:r>
            <w:r>
              <w:rPr>
                <w:rFonts w:ascii="Arial" w:hAnsi="Arial" w:cs="Arial"/>
                <w:color w:val="auto"/>
                <w:kern w:val="0"/>
                <w:szCs w:val="21"/>
                <w:highlight w:val="none"/>
                <w:lang w:bidi="ar"/>
              </w:rPr>
              <w:t>》《</w:t>
            </w:r>
            <w:r>
              <w:rPr>
                <w:rFonts w:hint="eastAsia" w:ascii="Arial" w:hAnsi="Arial" w:cs="Arial"/>
                <w:color w:val="auto"/>
                <w:kern w:val="0"/>
                <w:szCs w:val="21"/>
                <w:highlight w:val="none"/>
                <w:lang w:eastAsia="zh-CN" w:bidi="ar"/>
              </w:rPr>
              <w:t>中华人民共和国个人信息保护法</w:t>
            </w:r>
            <w:r>
              <w:rPr>
                <w:rFonts w:ascii="Arial" w:hAnsi="Arial" w:cs="Arial"/>
                <w:color w:val="auto"/>
                <w:kern w:val="0"/>
                <w:szCs w:val="21"/>
                <w:highlight w:val="none"/>
                <w:lang w:bidi="ar"/>
              </w:rPr>
              <w:t>》行为的，实行一票否决制；存在一般数据安全、信息发布不规范等问题且被相关部门责令整改的，视数据敏感程度和影响范围，扣1-2分。</w:t>
            </w:r>
          </w:p>
        </w:tc>
      </w:tr>
      <w:tr w14:paraId="441F6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4C10E2C8">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3ED8ED78">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231AF421">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5C14602A">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负面舆情（-2分）</w:t>
            </w:r>
          </w:p>
        </w:tc>
        <w:tc>
          <w:tcPr>
            <w:tcW w:w="4471" w:type="dxa"/>
            <w:tcBorders>
              <w:tl2br w:val="nil"/>
              <w:tr2bl w:val="nil"/>
            </w:tcBorders>
            <w:shd w:val="clear" w:color="auto" w:fill="auto"/>
            <w:vAlign w:val="center"/>
          </w:tcPr>
          <w:p w14:paraId="14BA24B8">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经宣传部门、网信部门等定性因自身原因引发重大负面舆情，造成恶劣社会影响且处置不力的，实行一票否决制；引发一般负面舆情但及时有效处置的，视舆情传播范围和影响程度，扣1-2分。</w:t>
            </w:r>
          </w:p>
        </w:tc>
      </w:tr>
      <w:tr w14:paraId="3E1C5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2" w:type="dxa"/>
            <w:vMerge w:val="continue"/>
            <w:tcBorders>
              <w:tl2br w:val="nil"/>
              <w:tr2bl w:val="nil"/>
            </w:tcBorders>
            <w:shd w:val="clear" w:color="auto" w:fill="auto"/>
            <w:vAlign w:val="center"/>
          </w:tcPr>
          <w:p w14:paraId="045F905E">
            <w:pPr>
              <w:jc w:val="center"/>
              <w:rPr>
                <w:rFonts w:ascii="Arial" w:hAnsi="Arial" w:cs="Arial"/>
                <w:color w:val="auto"/>
                <w:szCs w:val="21"/>
                <w:highlight w:val="none"/>
              </w:rPr>
            </w:pPr>
          </w:p>
        </w:tc>
        <w:tc>
          <w:tcPr>
            <w:tcW w:w="626" w:type="dxa"/>
            <w:vMerge w:val="continue"/>
            <w:tcBorders>
              <w:tl2br w:val="nil"/>
              <w:tr2bl w:val="nil"/>
            </w:tcBorders>
            <w:shd w:val="clear" w:color="auto" w:fill="auto"/>
            <w:vAlign w:val="center"/>
          </w:tcPr>
          <w:p w14:paraId="613212A7">
            <w:pPr>
              <w:jc w:val="center"/>
              <w:rPr>
                <w:rFonts w:ascii="Arial" w:hAnsi="Arial" w:cs="Arial"/>
                <w:color w:val="auto"/>
                <w:szCs w:val="21"/>
                <w:highlight w:val="none"/>
              </w:rPr>
            </w:pPr>
          </w:p>
        </w:tc>
        <w:tc>
          <w:tcPr>
            <w:tcW w:w="1238" w:type="dxa"/>
            <w:vMerge w:val="continue"/>
            <w:tcBorders>
              <w:tl2br w:val="nil"/>
              <w:tr2bl w:val="nil"/>
            </w:tcBorders>
            <w:shd w:val="clear" w:color="auto" w:fill="auto"/>
            <w:vAlign w:val="center"/>
          </w:tcPr>
          <w:p w14:paraId="59028CD3">
            <w:pPr>
              <w:jc w:val="center"/>
              <w:rPr>
                <w:rFonts w:ascii="Arial" w:hAnsi="Arial" w:cs="Arial"/>
                <w:color w:val="auto"/>
                <w:szCs w:val="21"/>
                <w:highlight w:val="none"/>
              </w:rPr>
            </w:pPr>
          </w:p>
        </w:tc>
        <w:tc>
          <w:tcPr>
            <w:tcW w:w="2783" w:type="dxa"/>
            <w:tcBorders>
              <w:tl2br w:val="nil"/>
              <w:tr2bl w:val="nil"/>
            </w:tcBorders>
            <w:shd w:val="clear" w:color="auto" w:fill="auto"/>
            <w:vAlign w:val="center"/>
          </w:tcPr>
          <w:p w14:paraId="51E153AB">
            <w:pPr>
              <w:widowControl/>
              <w:jc w:val="center"/>
              <w:textAlignment w:val="center"/>
              <w:rPr>
                <w:rFonts w:ascii="Arial" w:hAnsi="Arial" w:cs="Arial"/>
                <w:color w:val="auto"/>
                <w:szCs w:val="21"/>
                <w:highlight w:val="none"/>
              </w:rPr>
            </w:pPr>
            <w:r>
              <w:rPr>
                <w:rFonts w:ascii="Arial" w:hAnsi="Arial" w:cs="Arial"/>
                <w:color w:val="auto"/>
                <w:kern w:val="0"/>
                <w:szCs w:val="21"/>
                <w:highlight w:val="none"/>
                <w:lang w:bidi="ar"/>
              </w:rPr>
              <w:t>违规收费（-2分）</w:t>
            </w:r>
          </w:p>
        </w:tc>
        <w:tc>
          <w:tcPr>
            <w:tcW w:w="4471" w:type="dxa"/>
            <w:tcBorders>
              <w:tl2br w:val="nil"/>
              <w:tr2bl w:val="nil"/>
            </w:tcBorders>
            <w:shd w:val="clear" w:color="auto" w:fill="auto"/>
            <w:vAlign w:val="center"/>
          </w:tcPr>
          <w:p w14:paraId="4C5398DE">
            <w:pPr>
              <w:widowControl/>
              <w:jc w:val="left"/>
              <w:textAlignment w:val="center"/>
              <w:rPr>
                <w:rFonts w:ascii="Arial" w:hAnsi="Arial" w:cs="Arial"/>
                <w:color w:val="auto"/>
                <w:szCs w:val="21"/>
                <w:highlight w:val="none"/>
              </w:rPr>
            </w:pPr>
            <w:r>
              <w:rPr>
                <w:rFonts w:ascii="Arial" w:hAnsi="Arial" w:cs="Arial"/>
                <w:color w:val="auto"/>
                <w:kern w:val="0"/>
                <w:szCs w:val="21"/>
                <w:highlight w:val="none"/>
                <w:lang w:bidi="ar"/>
              </w:rPr>
              <w:t>经人社部门定性存在超范围收费、超标准收费、乱收费等严重违规收费行为的，实行一票否决制；存在轻微违规收费行为且已整改的，视违规收费金额和涉及范围，扣1-2分。</w:t>
            </w:r>
          </w:p>
        </w:tc>
      </w:tr>
    </w:tbl>
    <w:p w14:paraId="6128DFD4">
      <w:pPr>
        <w:rPr>
          <w:rFonts w:ascii="微软雅黑" w:hAnsi="微软雅黑" w:eastAsia="微软雅黑" w:cs="微软雅黑"/>
          <w:color w:val="auto"/>
          <w:sz w:val="32"/>
          <w:szCs w:val="32"/>
          <w:highlight w:val="none"/>
        </w:rPr>
      </w:pPr>
      <w:r>
        <w:rPr>
          <w:rFonts w:hint="eastAsia" w:ascii="微软雅黑" w:hAnsi="微软雅黑" w:eastAsia="微软雅黑" w:cs="微软雅黑"/>
          <w:color w:val="auto"/>
          <w:sz w:val="32"/>
          <w:szCs w:val="32"/>
          <w:highlight w:val="none"/>
        </w:rPr>
        <w:br w:type="page"/>
      </w:r>
    </w:p>
    <w:p w14:paraId="781FBA81">
      <w:pPr>
        <w:pStyle w:val="14"/>
        <w:jc w:val="left"/>
        <w:rPr>
          <w:rFonts w:ascii="微软雅黑" w:hAnsi="微软雅黑" w:eastAsia="微软雅黑" w:cs="微软雅黑"/>
          <w:color w:val="auto"/>
          <w:sz w:val="32"/>
          <w:szCs w:val="32"/>
          <w:highlight w:val="none"/>
        </w:rPr>
      </w:pPr>
      <w:r>
        <w:rPr>
          <w:rFonts w:hint="eastAsia" w:ascii="微软雅黑" w:hAnsi="微软雅黑" w:eastAsia="微软雅黑" w:cs="微软雅黑"/>
          <w:color w:val="auto"/>
          <w:sz w:val="32"/>
          <w:szCs w:val="32"/>
          <w:highlight w:val="none"/>
        </w:rPr>
        <w:t>附件11：</w:t>
      </w:r>
    </w:p>
    <w:p w14:paraId="7442D5AE">
      <w:pPr>
        <w:spacing w:before="7"/>
        <w:rPr>
          <w:rFonts w:ascii="Arial Unicode MS" w:hAnsi="Arial Unicode MS" w:eastAsia="Arial Unicode MS" w:cs="Arial Unicode MS"/>
          <w:color w:val="auto"/>
          <w:sz w:val="17"/>
          <w:szCs w:val="17"/>
          <w:highlight w:val="none"/>
        </w:rPr>
      </w:pPr>
    </w:p>
    <w:p w14:paraId="430C66ED">
      <w:pPr>
        <w:spacing w:line="528" w:lineRule="exact"/>
        <w:ind w:left="1871"/>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节能产品政府采购品目清单</w:t>
      </w:r>
    </w:p>
    <w:tbl>
      <w:tblPr>
        <w:tblStyle w:val="35"/>
        <w:tblW w:w="9521" w:type="dxa"/>
        <w:tblInd w:w="93" w:type="dxa"/>
        <w:tblLayout w:type="autofit"/>
        <w:tblCellMar>
          <w:top w:w="0" w:type="dxa"/>
          <w:left w:w="108" w:type="dxa"/>
          <w:bottom w:w="0" w:type="dxa"/>
          <w:right w:w="108" w:type="dxa"/>
        </w:tblCellMar>
      </w:tblPr>
      <w:tblGrid>
        <w:gridCol w:w="641"/>
        <w:gridCol w:w="1116"/>
        <w:gridCol w:w="1516"/>
        <w:gridCol w:w="1612"/>
        <w:gridCol w:w="4636"/>
      </w:tblGrid>
      <w:tr w14:paraId="6CCAE105">
        <w:tblPrEx>
          <w:tblCellMar>
            <w:top w:w="0" w:type="dxa"/>
            <w:left w:w="108" w:type="dxa"/>
            <w:bottom w:w="0" w:type="dxa"/>
            <w:right w:w="108" w:type="dxa"/>
          </w:tblCellMar>
        </w:tblPrEx>
        <w:trPr>
          <w:trHeight w:val="555" w:hRule="atLeast"/>
        </w:trPr>
        <w:tc>
          <w:tcPr>
            <w:tcW w:w="641" w:type="dxa"/>
            <w:tcBorders>
              <w:top w:val="single" w:color="000000" w:sz="8" w:space="0"/>
              <w:left w:val="single" w:color="000000" w:sz="8" w:space="0"/>
              <w:bottom w:val="single" w:color="000000" w:sz="8" w:space="0"/>
              <w:right w:val="single" w:color="000000" w:sz="8" w:space="0"/>
            </w:tcBorders>
          </w:tcPr>
          <w:p w14:paraId="4DD56F88">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品目序号</w:t>
            </w:r>
          </w:p>
        </w:tc>
        <w:tc>
          <w:tcPr>
            <w:tcW w:w="4244" w:type="dxa"/>
            <w:gridSpan w:val="3"/>
            <w:tcBorders>
              <w:top w:val="single" w:color="000000" w:sz="8" w:space="0"/>
              <w:left w:val="nil"/>
              <w:bottom w:val="single" w:color="000000" w:sz="8" w:space="0"/>
              <w:right w:val="single" w:color="000000" w:sz="8" w:space="0"/>
            </w:tcBorders>
            <w:vAlign w:val="center"/>
          </w:tcPr>
          <w:p w14:paraId="1024A1A8">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名称</w:t>
            </w:r>
          </w:p>
        </w:tc>
        <w:tc>
          <w:tcPr>
            <w:tcW w:w="4636" w:type="dxa"/>
            <w:tcBorders>
              <w:top w:val="single" w:color="000000" w:sz="8" w:space="0"/>
              <w:left w:val="nil"/>
              <w:bottom w:val="single" w:color="000000" w:sz="8" w:space="0"/>
              <w:right w:val="single" w:color="000000" w:sz="8" w:space="0"/>
            </w:tcBorders>
            <w:vAlign w:val="center"/>
          </w:tcPr>
          <w:p w14:paraId="685A5710">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依据的标准</w:t>
            </w:r>
          </w:p>
        </w:tc>
      </w:tr>
      <w:tr w14:paraId="2E91B70E">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3E275F5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116" w:type="dxa"/>
            <w:vMerge w:val="restart"/>
            <w:tcBorders>
              <w:top w:val="nil"/>
              <w:left w:val="single" w:color="000000" w:sz="8" w:space="0"/>
              <w:bottom w:val="single" w:color="000000" w:sz="8" w:space="0"/>
              <w:right w:val="single" w:color="000000" w:sz="8" w:space="0"/>
            </w:tcBorders>
            <w:vAlign w:val="center"/>
          </w:tcPr>
          <w:p w14:paraId="0781ADC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516" w:type="dxa"/>
            <w:tcBorders>
              <w:top w:val="nil"/>
              <w:left w:val="nil"/>
              <w:bottom w:val="single" w:color="000000" w:sz="8" w:space="0"/>
              <w:right w:val="single" w:color="000000" w:sz="8" w:space="0"/>
            </w:tcBorders>
            <w:vAlign w:val="center"/>
          </w:tcPr>
          <w:p w14:paraId="14F479F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12" w:type="dxa"/>
            <w:tcBorders>
              <w:top w:val="nil"/>
              <w:left w:val="nil"/>
              <w:bottom w:val="single" w:color="000000" w:sz="8" w:space="0"/>
              <w:right w:val="single" w:color="000000" w:sz="8" w:space="0"/>
            </w:tcBorders>
            <w:vAlign w:val="center"/>
          </w:tcPr>
          <w:p w14:paraId="01F7EE4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1F7D8CD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3039BFB8">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27286A7B">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5489B4B8">
            <w:pPr>
              <w:widowControl/>
              <w:jc w:val="left"/>
              <w:rPr>
                <w:rFonts w:ascii="宋体" w:hAns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41E6CDF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12" w:type="dxa"/>
            <w:tcBorders>
              <w:top w:val="nil"/>
              <w:left w:val="nil"/>
              <w:bottom w:val="single" w:color="000000" w:sz="8" w:space="0"/>
              <w:right w:val="single" w:color="000000" w:sz="8" w:space="0"/>
            </w:tcBorders>
            <w:vAlign w:val="center"/>
          </w:tcPr>
          <w:p w14:paraId="4E791FE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17C9B537">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3CDCCAE7">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327CCD49">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8DC4262">
            <w:pPr>
              <w:widowControl/>
              <w:jc w:val="left"/>
              <w:rPr>
                <w:rFonts w:ascii="宋体" w:hAns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34EB93C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12" w:type="dxa"/>
            <w:tcBorders>
              <w:top w:val="nil"/>
              <w:left w:val="nil"/>
              <w:bottom w:val="single" w:color="000000" w:sz="8" w:space="0"/>
              <w:right w:val="single" w:color="000000" w:sz="8" w:space="0"/>
            </w:tcBorders>
            <w:vAlign w:val="center"/>
          </w:tcPr>
          <w:p w14:paraId="4C90FB9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711139A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2F4B839A">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7D60CBA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116" w:type="dxa"/>
            <w:vMerge w:val="restart"/>
            <w:tcBorders>
              <w:top w:val="nil"/>
              <w:left w:val="single" w:color="000000" w:sz="8" w:space="0"/>
              <w:bottom w:val="single" w:color="000000" w:sz="8" w:space="0"/>
              <w:right w:val="single" w:color="000000" w:sz="8" w:space="0"/>
            </w:tcBorders>
            <w:vAlign w:val="center"/>
          </w:tcPr>
          <w:p w14:paraId="0572517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516" w:type="dxa"/>
            <w:vMerge w:val="restart"/>
            <w:tcBorders>
              <w:top w:val="nil"/>
              <w:left w:val="single" w:color="000000" w:sz="8" w:space="0"/>
              <w:bottom w:val="single" w:color="000000" w:sz="8" w:space="0"/>
              <w:right w:val="single" w:color="000000" w:sz="8" w:space="0"/>
            </w:tcBorders>
            <w:vAlign w:val="center"/>
          </w:tcPr>
          <w:p w14:paraId="0DABFCE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12" w:type="dxa"/>
            <w:tcBorders>
              <w:top w:val="nil"/>
              <w:left w:val="nil"/>
              <w:bottom w:val="single" w:color="000000" w:sz="8" w:space="0"/>
              <w:right w:val="single" w:color="000000" w:sz="8" w:space="0"/>
            </w:tcBorders>
            <w:vAlign w:val="center"/>
          </w:tcPr>
          <w:p w14:paraId="1A11E60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636" w:type="dxa"/>
            <w:tcBorders>
              <w:top w:val="nil"/>
              <w:left w:val="nil"/>
              <w:bottom w:val="single" w:color="000000" w:sz="8" w:space="0"/>
              <w:right w:val="single" w:color="000000" w:sz="8" w:space="0"/>
            </w:tcBorders>
            <w:vAlign w:val="center"/>
          </w:tcPr>
          <w:p w14:paraId="3BB1CE7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1185141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7F047DE3">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A5E7096">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41225E6">
            <w:pPr>
              <w:widowControl/>
              <w:jc w:val="left"/>
              <w:rPr>
                <w:rFonts w:ascii="宋体" w:hAns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0744C89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636" w:type="dxa"/>
            <w:tcBorders>
              <w:top w:val="nil"/>
              <w:left w:val="nil"/>
              <w:bottom w:val="single" w:color="000000" w:sz="8" w:space="0"/>
              <w:right w:val="single" w:color="000000" w:sz="8" w:space="0"/>
            </w:tcBorders>
            <w:vAlign w:val="center"/>
          </w:tcPr>
          <w:p w14:paraId="74D103A0">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3A89BF2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3960F067">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56F379C8">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5593C9BE">
            <w:pPr>
              <w:widowControl/>
              <w:jc w:val="left"/>
              <w:rPr>
                <w:rFonts w:ascii="宋体" w:hAns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21AF60E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636" w:type="dxa"/>
            <w:tcBorders>
              <w:top w:val="nil"/>
              <w:left w:val="nil"/>
              <w:bottom w:val="single" w:color="000000" w:sz="8" w:space="0"/>
              <w:right w:val="single" w:color="000000" w:sz="8" w:space="0"/>
            </w:tcBorders>
            <w:vAlign w:val="center"/>
          </w:tcPr>
          <w:p w14:paraId="60265B4F">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507785D7">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51778373">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0FAC0C5">
            <w:pPr>
              <w:widowControl/>
              <w:jc w:val="left"/>
              <w:rPr>
                <w:rFonts w:ascii="宋体" w:hAns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5EC2384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12" w:type="dxa"/>
            <w:tcBorders>
              <w:top w:val="nil"/>
              <w:left w:val="nil"/>
              <w:bottom w:val="single" w:color="000000" w:sz="8" w:space="0"/>
              <w:right w:val="single" w:color="000000" w:sz="8" w:space="0"/>
            </w:tcBorders>
            <w:vAlign w:val="center"/>
          </w:tcPr>
          <w:p w14:paraId="5BF5FF9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636" w:type="dxa"/>
            <w:tcBorders>
              <w:top w:val="nil"/>
              <w:left w:val="nil"/>
              <w:bottom w:val="single" w:color="000000" w:sz="8" w:space="0"/>
              <w:right w:val="single" w:color="000000" w:sz="8" w:space="0"/>
            </w:tcBorders>
            <w:vAlign w:val="center"/>
          </w:tcPr>
          <w:p w14:paraId="075B311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5E6F7E17">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vAlign w:val="center"/>
          </w:tcPr>
          <w:p w14:paraId="14566951">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52130498">
            <w:pPr>
              <w:widowControl/>
              <w:jc w:val="left"/>
              <w:rPr>
                <w:rFonts w:ascii="宋体" w:hAns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3EA40F9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12" w:type="dxa"/>
            <w:tcBorders>
              <w:top w:val="nil"/>
              <w:left w:val="nil"/>
              <w:bottom w:val="single" w:color="000000" w:sz="8" w:space="0"/>
              <w:right w:val="single" w:color="000000" w:sz="8" w:space="0"/>
            </w:tcBorders>
            <w:vAlign w:val="center"/>
          </w:tcPr>
          <w:p w14:paraId="36F6DB9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636" w:type="dxa"/>
            <w:tcBorders>
              <w:top w:val="nil"/>
              <w:left w:val="nil"/>
              <w:bottom w:val="single" w:color="000000" w:sz="8" w:space="0"/>
              <w:right w:val="single" w:color="000000" w:sz="8" w:space="0"/>
            </w:tcBorders>
            <w:vAlign w:val="center"/>
          </w:tcPr>
          <w:p w14:paraId="3751F6A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04418680">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76451F0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116" w:type="dxa"/>
            <w:tcBorders>
              <w:top w:val="nil"/>
              <w:left w:val="nil"/>
              <w:bottom w:val="single" w:color="000000" w:sz="8" w:space="0"/>
              <w:right w:val="single" w:color="000000" w:sz="8" w:space="0"/>
            </w:tcBorders>
            <w:vAlign w:val="center"/>
          </w:tcPr>
          <w:p w14:paraId="54C363B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516" w:type="dxa"/>
            <w:tcBorders>
              <w:top w:val="nil"/>
              <w:left w:val="nil"/>
              <w:bottom w:val="single" w:color="000000" w:sz="8" w:space="0"/>
              <w:right w:val="single" w:color="000000" w:sz="8" w:space="0"/>
            </w:tcBorders>
            <w:vAlign w:val="center"/>
          </w:tcPr>
          <w:p w14:paraId="66D57B8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26F0191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64008D8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254CE84F">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60D1A0E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116" w:type="dxa"/>
            <w:tcBorders>
              <w:top w:val="nil"/>
              <w:left w:val="nil"/>
              <w:bottom w:val="single" w:color="000000" w:sz="8" w:space="0"/>
              <w:right w:val="single" w:color="000000" w:sz="8" w:space="0"/>
            </w:tcBorders>
            <w:vAlign w:val="center"/>
          </w:tcPr>
          <w:p w14:paraId="6516DE4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516" w:type="dxa"/>
            <w:tcBorders>
              <w:top w:val="nil"/>
              <w:left w:val="nil"/>
              <w:bottom w:val="single" w:color="000000" w:sz="8" w:space="0"/>
              <w:right w:val="single" w:color="000000" w:sz="8" w:space="0"/>
            </w:tcBorders>
            <w:vAlign w:val="center"/>
          </w:tcPr>
          <w:p w14:paraId="3959A57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3F2D294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4296913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25E2DA30">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1278DA9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116" w:type="dxa"/>
            <w:tcBorders>
              <w:top w:val="nil"/>
              <w:left w:val="nil"/>
              <w:bottom w:val="single" w:color="000000" w:sz="8" w:space="0"/>
              <w:right w:val="single" w:color="000000" w:sz="8" w:space="0"/>
            </w:tcBorders>
            <w:vAlign w:val="center"/>
          </w:tcPr>
          <w:p w14:paraId="4165CB8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516" w:type="dxa"/>
            <w:tcBorders>
              <w:top w:val="nil"/>
              <w:left w:val="nil"/>
              <w:bottom w:val="single" w:color="000000" w:sz="8" w:space="0"/>
              <w:right w:val="single" w:color="000000" w:sz="8" w:space="0"/>
            </w:tcBorders>
            <w:vAlign w:val="center"/>
          </w:tcPr>
          <w:p w14:paraId="793E1EF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12" w:type="dxa"/>
            <w:tcBorders>
              <w:top w:val="nil"/>
              <w:left w:val="nil"/>
              <w:bottom w:val="single" w:color="000000" w:sz="8" w:space="0"/>
              <w:right w:val="single" w:color="000000" w:sz="8" w:space="0"/>
            </w:tcBorders>
            <w:vAlign w:val="center"/>
          </w:tcPr>
          <w:p w14:paraId="5F36953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4C0639C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47A14E63">
        <w:tblPrEx>
          <w:tblCellMar>
            <w:top w:w="0" w:type="dxa"/>
            <w:left w:w="108" w:type="dxa"/>
            <w:bottom w:w="0" w:type="dxa"/>
            <w:right w:w="108" w:type="dxa"/>
          </w:tblCellMar>
        </w:tblPrEx>
        <w:trPr>
          <w:trHeight w:val="735" w:hRule="atLeast"/>
        </w:trPr>
        <w:tc>
          <w:tcPr>
            <w:tcW w:w="641" w:type="dxa"/>
            <w:vMerge w:val="restart"/>
            <w:tcBorders>
              <w:top w:val="nil"/>
              <w:left w:val="single" w:color="000000" w:sz="8" w:space="0"/>
              <w:bottom w:val="single" w:color="000000" w:sz="8" w:space="0"/>
              <w:right w:val="single" w:color="000000" w:sz="8" w:space="0"/>
            </w:tcBorders>
            <w:vAlign w:val="center"/>
          </w:tcPr>
          <w:p w14:paraId="0AD92FF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116" w:type="dxa"/>
            <w:vMerge w:val="restart"/>
            <w:tcBorders>
              <w:top w:val="nil"/>
              <w:left w:val="single" w:color="000000" w:sz="8" w:space="0"/>
              <w:bottom w:val="single" w:color="000000" w:sz="8" w:space="0"/>
              <w:right w:val="single" w:color="000000" w:sz="8" w:space="0"/>
            </w:tcBorders>
            <w:vAlign w:val="center"/>
          </w:tcPr>
          <w:p w14:paraId="4910F57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516" w:type="dxa"/>
            <w:vMerge w:val="restart"/>
            <w:tcBorders>
              <w:top w:val="nil"/>
              <w:left w:val="single" w:color="000000" w:sz="8" w:space="0"/>
              <w:bottom w:val="single" w:color="000000" w:sz="8" w:space="0"/>
              <w:right w:val="single" w:color="000000" w:sz="8" w:space="0"/>
            </w:tcBorders>
            <w:vAlign w:val="center"/>
          </w:tcPr>
          <w:p w14:paraId="2AA6741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12" w:type="dxa"/>
            <w:tcBorders>
              <w:top w:val="nil"/>
              <w:left w:val="nil"/>
              <w:bottom w:val="single" w:color="000000" w:sz="8" w:space="0"/>
              <w:right w:val="single" w:color="000000" w:sz="8" w:space="0"/>
            </w:tcBorders>
            <w:vAlign w:val="center"/>
          </w:tcPr>
          <w:p w14:paraId="4EC021E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636" w:type="dxa"/>
            <w:tcBorders>
              <w:top w:val="nil"/>
              <w:left w:val="nil"/>
              <w:bottom w:val="single" w:color="000000" w:sz="8" w:space="0"/>
              <w:right w:val="single" w:color="000000" w:sz="8" w:space="0"/>
            </w:tcBorders>
            <w:vAlign w:val="center"/>
          </w:tcPr>
          <w:p w14:paraId="3BE126F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6FE79024">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124918B0">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1944E0EC">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2756E11">
            <w:pPr>
              <w:widowControl/>
              <w:jc w:val="left"/>
              <w:rPr>
                <w:rFonts w:ascii="宋体" w:hAns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6E0C3BB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636" w:type="dxa"/>
            <w:tcBorders>
              <w:top w:val="nil"/>
              <w:left w:val="nil"/>
              <w:bottom w:val="single" w:color="000000" w:sz="8" w:space="0"/>
              <w:right w:val="single" w:color="000000" w:sz="8" w:space="0"/>
            </w:tcBorders>
            <w:vAlign w:val="center"/>
          </w:tcPr>
          <w:p w14:paraId="665BEED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20566F5E">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21919896">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9976E5C">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1719E47">
            <w:pPr>
              <w:widowControl/>
              <w:jc w:val="left"/>
              <w:rPr>
                <w:rFonts w:ascii="宋体" w:hAns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2ED2085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636" w:type="dxa"/>
            <w:tcBorders>
              <w:top w:val="nil"/>
              <w:left w:val="nil"/>
              <w:bottom w:val="single" w:color="000000" w:sz="8" w:space="0"/>
              <w:right w:val="single" w:color="000000" w:sz="8" w:space="0"/>
            </w:tcBorders>
            <w:vAlign w:val="center"/>
          </w:tcPr>
          <w:p w14:paraId="4A97103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14938D10">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2EFB2B03">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4ADDEF7">
            <w:pPr>
              <w:widowControl/>
              <w:jc w:val="left"/>
              <w:rPr>
                <w:rFonts w:ascii="宋体" w:hAnsi="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vAlign w:val="center"/>
          </w:tcPr>
          <w:p w14:paraId="4D4F9181">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12" w:type="dxa"/>
            <w:tcBorders>
              <w:top w:val="nil"/>
              <w:left w:val="nil"/>
              <w:bottom w:val="single" w:color="000000" w:sz="8" w:space="0"/>
              <w:right w:val="single" w:color="000000" w:sz="8" w:space="0"/>
            </w:tcBorders>
            <w:vAlign w:val="center"/>
          </w:tcPr>
          <w:p w14:paraId="008DF1B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w:t>
            </w:r>
            <w:r>
              <w:rPr>
                <w:rFonts w:hint="eastAsia" w:ascii="宋体" w:hAnsi="宋体" w:cs="宋体"/>
                <w:color w:val="auto"/>
                <w:kern w:val="0"/>
                <w:sz w:val="20"/>
                <w:szCs w:val="20"/>
                <w:highlight w:val="none"/>
                <w:lang w:eastAsia="zh-CN"/>
              </w:rPr>
              <w:t>（</w:t>
            </w:r>
            <w:r>
              <w:rPr>
                <w:rFonts w:hint="eastAsia" w:ascii="宋体" w:hAnsi="宋体" w:cs="宋体"/>
                <w:color w:val="auto"/>
                <w:kern w:val="0"/>
                <w:sz w:val="20"/>
                <w:szCs w:val="20"/>
                <w:highlight w:val="none"/>
              </w:rPr>
              <w:t>制冷量&gt;14000W</w:t>
            </w:r>
            <w:r>
              <w:rPr>
                <w:rFonts w:hint="eastAsia" w:ascii="宋体" w:hAnsi="宋体" w:cs="宋体"/>
                <w:color w:val="auto"/>
                <w:kern w:val="0"/>
                <w:sz w:val="20"/>
                <w:szCs w:val="20"/>
                <w:highlight w:val="none"/>
                <w:lang w:eastAsia="zh-CN"/>
              </w:rPr>
              <w:t>）</w:t>
            </w:r>
          </w:p>
        </w:tc>
        <w:tc>
          <w:tcPr>
            <w:tcW w:w="4636" w:type="dxa"/>
            <w:tcBorders>
              <w:top w:val="nil"/>
              <w:left w:val="nil"/>
              <w:bottom w:val="single" w:color="000000" w:sz="8" w:space="0"/>
              <w:right w:val="single" w:color="000000" w:sz="8" w:space="0"/>
            </w:tcBorders>
            <w:vAlign w:val="center"/>
          </w:tcPr>
          <w:p w14:paraId="607F740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5AE2C02B">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7B974D31">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6793B59">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23E6AA90">
            <w:pPr>
              <w:widowControl/>
              <w:jc w:val="left"/>
              <w:rPr>
                <w:rFonts w:ascii="宋体" w:hAns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632A191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636" w:type="dxa"/>
            <w:tcBorders>
              <w:top w:val="nil"/>
              <w:left w:val="nil"/>
              <w:bottom w:val="single" w:color="000000" w:sz="8" w:space="0"/>
              <w:right w:val="single" w:color="000000" w:sz="8" w:space="0"/>
            </w:tcBorders>
            <w:vAlign w:val="center"/>
          </w:tcPr>
          <w:p w14:paraId="6110C1AC">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0AFE7B39">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47F325E9">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560231E3">
            <w:pPr>
              <w:widowControl/>
              <w:jc w:val="left"/>
              <w:rPr>
                <w:rFonts w:ascii="宋体" w:hAns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2D40ADE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12" w:type="dxa"/>
            <w:tcBorders>
              <w:top w:val="nil"/>
              <w:left w:val="nil"/>
              <w:bottom w:val="single" w:color="000000" w:sz="8" w:space="0"/>
              <w:right w:val="single" w:color="000000" w:sz="8" w:space="0"/>
            </w:tcBorders>
            <w:vAlign w:val="center"/>
          </w:tcPr>
          <w:p w14:paraId="255D3C7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636" w:type="dxa"/>
            <w:tcBorders>
              <w:top w:val="nil"/>
              <w:left w:val="nil"/>
              <w:bottom w:val="single" w:color="000000" w:sz="8" w:space="0"/>
              <w:right w:val="single" w:color="000000" w:sz="8" w:space="0"/>
            </w:tcBorders>
            <w:vAlign w:val="center"/>
          </w:tcPr>
          <w:p w14:paraId="04E61D4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484F3E8D">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5FC9FD4A">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306F9F0">
            <w:pPr>
              <w:widowControl/>
              <w:jc w:val="left"/>
              <w:rPr>
                <w:rFonts w:ascii="宋体" w:hAns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1DAF684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12" w:type="dxa"/>
            <w:tcBorders>
              <w:top w:val="nil"/>
              <w:left w:val="nil"/>
              <w:bottom w:val="single" w:color="000000" w:sz="8" w:space="0"/>
              <w:right w:val="single" w:color="000000" w:sz="8" w:space="0"/>
            </w:tcBorders>
            <w:vAlign w:val="center"/>
          </w:tcPr>
          <w:p w14:paraId="6D3FF11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636" w:type="dxa"/>
            <w:tcBorders>
              <w:top w:val="nil"/>
              <w:left w:val="nil"/>
              <w:bottom w:val="single" w:color="000000" w:sz="8" w:space="0"/>
              <w:right w:val="single" w:color="000000" w:sz="8" w:space="0"/>
            </w:tcBorders>
            <w:vAlign w:val="center"/>
          </w:tcPr>
          <w:p w14:paraId="4911BB67">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4E5E33AA">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231F82C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116" w:type="dxa"/>
            <w:tcBorders>
              <w:top w:val="nil"/>
              <w:left w:val="nil"/>
              <w:bottom w:val="single" w:color="000000" w:sz="8" w:space="0"/>
              <w:right w:val="single" w:color="000000" w:sz="8" w:space="0"/>
            </w:tcBorders>
            <w:vAlign w:val="center"/>
          </w:tcPr>
          <w:p w14:paraId="0AE9318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516" w:type="dxa"/>
            <w:tcBorders>
              <w:top w:val="nil"/>
              <w:left w:val="nil"/>
              <w:bottom w:val="single" w:color="000000" w:sz="8" w:space="0"/>
              <w:right w:val="single" w:color="000000" w:sz="8" w:space="0"/>
            </w:tcBorders>
            <w:vAlign w:val="center"/>
          </w:tcPr>
          <w:p w14:paraId="2F1D35E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0EAA759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3C6D763F">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6693B8F5">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0EF0E65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116" w:type="dxa"/>
            <w:tcBorders>
              <w:top w:val="nil"/>
              <w:left w:val="nil"/>
              <w:bottom w:val="single" w:color="000000" w:sz="8" w:space="0"/>
              <w:right w:val="single" w:color="000000" w:sz="8" w:space="0"/>
            </w:tcBorders>
            <w:vAlign w:val="center"/>
          </w:tcPr>
          <w:p w14:paraId="4AC23CF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516" w:type="dxa"/>
            <w:tcBorders>
              <w:top w:val="nil"/>
              <w:left w:val="nil"/>
              <w:bottom w:val="single" w:color="000000" w:sz="8" w:space="0"/>
              <w:right w:val="single" w:color="000000" w:sz="8" w:space="0"/>
            </w:tcBorders>
            <w:vAlign w:val="center"/>
          </w:tcPr>
          <w:p w14:paraId="18A914D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12" w:type="dxa"/>
            <w:tcBorders>
              <w:top w:val="nil"/>
              <w:left w:val="nil"/>
              <w:bottom w:val="single" w:color="000000" w:sz="8" w:space="0"/>
              <w:right w:val="single" w:color="000000" w:sz="8" w:space="0"/>
            </w:tcBorders>
            <w:vAlign w:val="center"/>
          </w:tcPr>
          <w:p w14:paraId="2991386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432E698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631E6C47">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4C2B8970">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116" w:type="dxa"/>
            <w:tcBorders>
              <w:top w:val="nil"/>
              <w:left w:val="nil"/>
              <w:bottom w:val="single" w:color="000000" w:sz="8" w:space="0"/>
              <w:right w:val="single" w:color="000000" w:sz="8" w:space="0"/>
            </w:tcBorders>
            <w:vAlign w:val="center"/>
          </w:tcPr>
          <w:p w14:paraId="3D445FE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516" w:type="dxa"/>
            <w:tcBorders>
              <w:top w:val="nil"/>
              <w:left w:val="nil"/>
              <w:bottom w:val="single" w:color="000000" w:sz="8" w:space="0"/>
              <w:right w:val="single" w:color="000000" w:sz="8" w:space="0"/>
            </w:tcBorders>
            <w:vAlign w:val="center"/>
          </w:tcPr>
          <w:p w14:paraId="031F44E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12" w:type="dxa"/>
            <w:tcBorders>
              <w:top w:val="nil"/>
              <w:left w:val="nil"/>
              <w:bottom w:val="single" w:color="000000" w:sz="8" w:space="0"/>
              <w:right w:val="single" w:color="000000" w:sz="8" w:space="0"/>
            </w:tcBorders>
            <w:vAlign w:val="center"/>
          </w:tcPr>
          <w:p w14:paraId="61A3500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5141C48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608BDEFF">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212CC0D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116" w:type="dxa"/>
            <w:vMerge w:val="restart"/>
            <w:tcBorders>
              <w:top w:val="nil"/>
              <w:left w:val="single" w:color="000000" w:sz="8" w:space="0"/>
              <w:bottom w:val="single" w:color="000000" w:sz="8" w:space="0"/>
              <w:right w:val="single" w:color="000000" w:sz="8" w:space="0"/>
            </w:tcBorders>
            <w:vAlign w:val="center"/>
          </w:tcPr>
          <w:p w14:paraId="4CEE411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516" w:type="dxa"/>
            <w:tcBorders>
              <w:top w:val="nil"/>
              <w:left w:val="nil"/>
              <w:bottom w:val="single" w:color="000000" w:sz="8" w:space="0"/>
              <w:right w:val="single" w:color="000000" w:sz="8" w:space="0"/>
            </w:tcBorders>
            <w:vAlign w:val="center"/>
          </w:tcPr>
          <w:p w14:paraId="6B449C9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12" w:type="dxa"/>
            <w:tcBorders>
              <w:top w:val="nil"/>
              <w:left w:val="nil"/>
              <w:bottom w:val="single" w:color="000000" w:sz="8" w:space="0"/>
              <w:right w:val="single" w:color="000000" w:sz="8" w:space="0"/>
            </w:tcBorders>
            <w:vAlign w:val="center"/>
          </w:tcPr>
          <w:p w14:paraId="42377F3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6618CD61">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14:paraId="42D90C39">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vAlign w:val="center"/>
          </w:tcPr>
          <w:p w14:paraId="70F6D7E4">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8C53E50">
            <w:pPr>
              <w:widowControl/>
              <w:jc w:val="left"/>
              <w:rPr>
                <w:rFonts w:ascii="宋体" w:hAnsi="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vAlign w:val="center"/>
          </w:tcPr>
          <w:p w14:paraId="51F45FE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12" w:type="dxa"/>
            <w:tcBorders>
              <w:top w:val="nil"/>
              <w:left w:val="nil"/>
              <w:bottom w:val="single" w:color="000000" w:sz="8" w:space="0"/>
              <w:right w:val="single" w:color="000000" w:sz="8" w:space="0"/>
            </w:tcBorders>
            <w:vAlign w:val="center"/>
          </w:tcPr>
          <w:p w14:paraId="270FD66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636" w:type="dxa"/>
            <w:tcBorders>
              <w:top w:val="nil"/>
              <w:left w:val="nil"/>
              <w:bottom w:val="single" w:color="000000" w:sz="8" w:space="0"/>
              <w:right w:val="single" w:color="000000" w:sz="8" w:space="0"/>
            </w:tcBorders>
            <w:vAlign w:val="center"/>
          </w:tcPr>
          <w:p w14:paraId="25A194E0">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7E1DCC7B">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1BB6BF0D">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CCC0F1E">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B6CD0FB">
            <w:pPr>
              <w:widowControl/>
              <w:jc w:val="left"/>
              <w:rPr>
                <w:rFonts w:ascii="宋体" w:hAns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289A1A4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636" w:type="dxa"/>
            <w:tcBorders>
              <w:top w:val="nil"/>
              <w:left w:val="nil"/>
              <w:bottom w:val="single" w:color="000000" w:sz="8" w:space="0"/>
              <w:right w:val="single" w:color="000000" w:sz="8" w:space="0"/>
            </w:tcBorders>
            <w:vAlign w:val="center"/>
          </w:tcPr>
          <w:p w14:paraId="3AEF019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13CFC89D">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583A92D4">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5A1FAA80">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BDCE864">
            <w:pPr>
              <w:widowControl/>
              <w:jc w:val="left"/>
              <w:rPr>
                <w:rFonts w:ascii="宋体" w:hAns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34CBE96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w:t>
            </w:r>
            <w:r>
              <w:rPr>
                <w:rFonts w:hint="eastAsia" w:ascii="宋体" w:hAnsi="宋体" w:cs="宋体"/>
                <w:color w:val="auto"/>
                <w:kern w:val="0"/>
                <w:sz w:val="20"/>
                <w:szCs w:val="20"/>
                <w:highlight w:val="none"/>
                <w:lang w:eastAsia="zh-CN"/>
              </w:rPr>
              <w:t>（</w:t>
            </w:r>
            <w:r>
              <w:rPr>
                <w:rFonts w:hint="eastAsia" w:ascii="宋体" w:hAnsi="宋体" w:cs="宋体"/>
                <w:color w:val="auto"/>
                <w:kern w:val="0"/>
                <w:sz w:val="20"/>
                <w:szCs w:val="20"/>
                <w:highlight w:val="none"/>
              </w:rPr>
              <w:t>制冷量≤14000W</w:t>
            </w:r>
            <w:r>
              <w:rPr>
                <w:rFonts w:hint="eastAsia" w:ascii="宋体" w:hAnsi="宋体" w:cs="宋体"/>
                <w:color w:val="auto"/>
                <w:kern w:val="0"/>
                <w:sz w:val="20"/>
                <w:szCs w:val="20"/>
                <w:highlight w:val="none"/>
                <w:lang w:eastAsia="zh-CN"/>
              </w:rPr>
              <w:t>）</w:t>
            </w:r>
          </w:p>
        </w:tc>
        <w:tc>
          <w:tcPr>
            <w:tcW w:w="4636" w:type="dxa"/>
            <w:tcBorders>
              <w:top w:val="nil"/>
              <w:left w:val="nil"/>
              <w:bottom w:val="single" w:color="000000" w:sz="8" w:space="0"/>
              <w:right w:val="single" w:color="000000" w:sz="8" w:space="0"/>
            </w:tcBorders>
            <w:vAlign w:val="center"/>
          </w:tcPr>
          <w:p w14:paraId="0DC68457">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0E5BF3AB">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254FDBB2">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3ABF909">
            <w:pPr>
              <w:widowControl/>
              <w:jc w:val="left"/>
              <w:rPr>
                <w:rFonts w:ascii="宋体" w:hAns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777D78A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12" w:type="dxa"/>
            <w:tcBorders>
              <w:top w:val="nil"/>
              <w:left w:val="nil"/>
              <w:bottom w:val="single" w:color="000000" w:sz="8" w:space="0"/>
              <w:right w:val="single" w:color="000000" w:sz="8" w:space="0"/>
            </w:tcBorders>
            <w:vAlign w:val="center"/>
          </w:tcPr>
          <w:p w14:paraId="238B7DB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3962622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53A9BEBE">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789FB2DF">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219E075B">
            <w:pPr>
              <w:widowControl/>
              <w:jc w:val="left"/>
              <w:rPr>
                <w:rFonts w:ascii="宋体" w:hAnsi="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vAlign w:val="center"/>
          </w:tcPr>
          <w:p w14:paraId="468CE8B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12" w:type="dxa"/>
            <w:tcBorders>
              <w:top w:val="nil"/>
              <w:left w:val="nil"/>
              <w:bottom w:val="single" w:color="000000" w:sz="8" w:space="0"/>
              <w:right w:val="single" w:color="000000" w:sz="8" w:space="0"/>
            </w:tcBorders>
            <w:vAlign w:val="center"/>
          </w:tcPr>
          <w:p w14:paraId="26C90A0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636" w:type="dxa"/>
            <w:tcBorders>
              <w:top w:val="nil"/>
              <w:left w:val="nil"/>
              <w:bottom w:val="single" w:color="000000" w:sz="8" w:space="0"/>
              <w:right w:val="single" w:color="000000" w:sz="8" w:space="0"/>
            </w:tcBorders>
            <w:vAlign w:val="center"/>
          </w:tcPr>
          <w:p w14:paraId="09927BF3">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11E17A4A">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320751F8">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5DE073DA">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6C96D75">
            <w:pPr>
              <w:widowControl/>
              <w:jc w:val="left"/>
              <w:rPr>
                <w:rFonts w:ascii="宋体" w:hAns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7878CD4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636" w:type="dxa"/>
            <w:tcBorders>
              <w:top w:val="nil"/>
              <w:left w:val="nil"/>
              <w:bottom w:val="single" w:color="000000" w:sz="8" w:space="0"/>
              <w:right w:val="single" w:color="000000" w:sz="8" w:space="0"/>
            </w:tcBorders>
            <w:vAlign w:val="center"/>
          </w:tcPr>
          <w:p w14:paraId="4D67602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456CEE71">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121D177E">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11AEF81">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162DA38">
            <w:pPr>
              <w:widowControl/>
              <w:jc w:val="left"/>
              <w:rPr>
                <w:rFonts w:ascii="宋体" w:hAns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485A4C3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636" w:type="dxa"/>
            <w:tcBorders>
              <w:top w:val="nil"/>
              <w:left w:val="nil"/>
              <w:bottom w:val="single" w:color="000000" w:sz="8" w:space="0"/>
              <w:right w:val="single" w:color="000000" w:sz="8" w:space="0"/>
            </w:tcBorders>
            <w:vAlign w:val="center"/>
          </w:tcPr>
          <w:p w14:paraId="4B2AD652">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264EFB2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7F04390B">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00D4C96">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93FFE6A">
            <w:pPr>
              <w:widowControl/>
              <w:jc w:val="left"/>
              <w:rPr>
                <w:rFonts w:ascii="宋体" w:hAnsi="宋体" w:cs="宋体"/>
                <w:color w:val="auto"/>
                <w:kern w:val="0"/>
                <w:sz w:val="20"/>
                <w:szCs w:val="20"/>
                <w:highlight w:val="none"/>
              </w:rPr>
            </w:pPr>
          </w:p>
        </w:tc>
        <w:tc>
          <w:tcPr>
            <w:tcW w:w="1612" w:type="dxa"/>
            <w:tcBorders>
              <w:top w:val="nil"/>
              <w:left w:val="nil"/>
              <w:bottom w:val="single" w:color="000000" w:sz="8" w:space="0"/>
              <w:right w:val="single" w:color="000000" w:sz="8" w:space="0"/>
            </w:tcBorders>
            <w:vAlign w:val="center"/>
          </w:tcPr>
          <w:p w14:paraId="2710263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636" w:type="dxa"/>
            <w:tcBorders>
              <w:top w:val="nil"/>
              <w:left w:val="nil"/>
              <w:bottom w:val="single" w:color="000000" w:sz="8" w:space="0"/>
              <w:right w:val="single" w:color="000000" w:sz="8" w:space="0"/>
            </w:tcBorders>
            <w:vAlign w:val="center"/>
          </w:tcPr>
          <w:p w14:paraId="3197C43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44FF6938">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3F04B43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116" w:type="dxa"/>
            <w:vMerge w:val="restart"/>
            <w:tcBorders>
              <w:top w:val="nil"/>
              <w:left w:val="single" w:color="000000" w:sz="8" w:space="0"/>
              <w:bottom w:val="single" w:color="000000" w:sz="8" w:space="0"/>
              <w:right w:val="single" w:color="000000" w:sz="8" w:space="0"/>
            </w:tcBorders>
            <w:vAlign w:val="center"/>
          </w:tcPr>
          <w:p w14:paraId="3283A28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516" w:type="dxa"/>
            <w:tcBorders>
              <w:top w:val="nil"/>
              <w:left w:val="nil"/>
              <w:bottom w:val="single" w:color="000000" w:sz="8" w:space="0"/>
              <w:right w:val="single" w:color="000000" w:sz="8" w:space="0"/>
            </w:tcBorders>
            <w:vAlign w:val="center"/>
          </w:tcPr>
          <w:p w14:paraId="7EFE5C5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12" w:type="dxa"/>
            <w:tcBorders>
              <w:top w:val="nil"/>
              <w:left w:val="nil"/>
              <w:bottom w:val="single" w:color="000000" w:sz="8" w:space="0"/>
              <w:right w:val="single" w:color="000000" w:sz="8" w:space="0"/>
            </w:tcBorders>
            <w:vAlign w:val="center"/>
          </w:tcPr>
          <w:p w14:paraId="7F28A2B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54F7E455">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6372F120">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1574691B">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2DF0E988">
            <w:pPr>
              <w:widowControl/>
              <w:jc w:val="left"/>
              <w:rPr>
                <w:rFonts w:ascii="宋体" w:hAns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0E3BCD2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12" w:type="dxa"/>
            <w:tcBorders>
              <w:top w:val="nil"/>
              <w:left w:val="nil"/>
              <w:bottom w:val="single" w:color="000000" w:sz="8" w:space="0"/>
              <w:right w:val="single" w:color="000000" w:sz="8" w:space="0"/>
            </w:tcBorders>
            <w:vAlign w:val="center"/>
          </w:tcPr>
          <w:p w14:paraId="2739A38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6943A73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4F848E35">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4B99340A">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F6E2E30">
            <w:pPr>
              <w:widowControl/>
              <w:jc w:val="left"/>
              <w:rPr>
                <w:rFonts w:ascii="宋体" w:hAns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50EEB70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12" w:type="dxa"/>
            <w:tcBorders>
              <w:top w:val="nil"/>
              <w:left w:val="nil"/>
              <w:bottom w:val="single" w:color="000000" w:sz="8" w:space="0"/>
              <w:right w:val="single" w:color="000000" w:sz="8" w:space="0"/>
            </w:tcBorders>
            <w:vAlign w:val="center"/>
          </w:tcPr>
          <w:p w14:paraId="70EFC42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39460D9A">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57216F37">
        <w:tblPrEx>
          <w:tblCellMar>
            <w:top w:w="0" w:type="dxa"/>
            <w:left w:w="108" w:type="dxa"/>
            <w:bottom w:w="0" w:type="dxa"/>
            <w:right w:w="108" w:type="dxa"/>
          </w:tblCellMar>
        </w:tblPrEx>
        <w:trPr>
          <w:trHeight w:val="735" w:hRule="atLeast"/>
        </w:trPr>
        <w:tc>
          <w:tcPr>
            <w:tcW w:w="0" w:type="auto"/>
            <w:vMerge w:val="continue"/>
            <w:tcBorders>
              <w:top w:val="nil"/>
              <w:left w:val="single" w:color="000000" w:sz="8" w:space="0"/>
              <w:bottom w:val="single" w:color="000000" w:sz="8" w:space="0"/>
              <w:right w:val="single" w:color="000000" w:sz="8" w:space="0"/>
            </w:tcBorders>
            <w:vAlign w:val="center"/>
          </w:tcPr>
          <w:p w14:paraId="2B50691D">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6DD398D">
            <w:pPr>
              <w:widowControl/>
              <w:jc w:val="left"/>
              <w:rPr>
                <w:rFonts w:ascii="宋体" w:hAns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2FF5C30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12" w:type="dxa"/>
            <w:tcBorders>
              <w:top w:val="nil"/>
              <w:left w:val="nil"/>
              <w:bottom w:val="single" w:color="000000" w:sz="8" w:space="0"/>
              <w:right w:val="single" w:color="000000" w:sz="8" w:space="0"/>
            </w:tcBorders>
            <w:vAlign w:val="center"/>
          </w:tcPr>
          <w:p w14:paraId="024766C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083E3FC7">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0BE76DD0">
        <w:tblPrEx>
          <w:tblCellMar>
            <w:top w:w="0" w:type="dxa"/>
            <w:left w:w="108" w:type="dxa"/>
            <w:bottom w:w="0" w:type="dxa"/>
            <w:right w:w="108" w:type="dxa"/>
          </w:tblCellMar>
        </w:tblPrEx>
        <w:trPr>
          <w:trHeight w:val="735" w:hRule="atLeast"/>
        </w:trPr>
        <w:tc>
          <w:tcPr>
            <w:tcW w:w="641" w:type="dxa"/>
            <w:tcBorders>
              <w:top w:val="nil"/>
              <w:left w:val="single" w:color="000000" w:sz="8" w:space="0"/>
              <w:bottom w:val="single" w:color="000000" w:sz="8" w:space="0"/>
              <w:right w:val="single" w:color="000000" w:sz="8" w:space="0"/>
            </w:tcBorders>
            <w:vAlign w:val="center"/>
          </w:tcPr>
          <w:p w14:paraId="38B46B1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116" w:type="dxa"/>
            <w:tcBorders>
              <w:top w:val="nil"/>
              <w:left w:val="nil"/>
              <w:bottom w:val="single" w:color="000000" w:sz="8" w:space="0"/>
              <w:right w:val="single" w:color="000000" w:sz="8" w:space="0"/>
            </w:tcBorders>
            <w:vAlign w:val="center"/>
          </w:tcPr>
          <w:p w14:paraId="7C7DEF6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516" w:type="dxa"/>
            <w:tcBorders>
              <w:top w:val="nil"/>
              <w:left w:val="nil"/>
              <w:bottom w:val="single" w:color="000000" w:sz="8" w:space="0"/>
              <w:right w:val="single" w:color="000000" w:sz="8" w:space="0"/>
            </w:tcBorders>
            <w:vAlign w:val="center"/>
          </w:tcPr>
          <w:p w14:paraId="06573C2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12" w:type="dxa"/>
            <w:tcBorders>
              <w:top w:val="nil"/>
              <w:left w:val="nil"/>
              <w:bottom w:val="single" w:color="000000" w:sz="8" w:space="0"/>
              <w:right w:val="single" w:color="000000" w:sz="8" w:space="0"/>
            </w:tcBorders>
            <w:vAlign w:val="center"/>
          </w:tcPr>
          <w:p w14:paraId="5BAAB0D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3E4F867E">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4259D119">
        <w:tblPrEx>
          <w:tblCellMar>
            <w:top w:w="0" w:type="dxa"/>
            <w:left w:w="108" w:type="dxa"/>
            <w:bottom w:w="0" w:type="dxa"/>
            <w:right w:w="108" w:type="dxa"/>
          </w:tblCellMar>
        </w:tblPrEx>
        <w:trPr>
          <w:trHeight w:val="975" w:hRule="atLeast"/>
        </w:trPr>
        <w:tc>
          <w:tcPr>
            <w:tcW w:w="641" w:type="dxa"/>
            <w:tcBorders>
              <w:top w:val="nil"/>
              <w:left w:val="single" w:color="000000" w:sz="8" w:space="0"/>
              <w:bottom w:val="single" w:color="000000" w:sz="8" w:space="0"/>
              <w:right w:val="single" w:color="000000" w:sz="8" w:space="0"/>
            </w:tcBorders>
            <w:vAlign w:val="center"/>
          </w:tcPr>
          <w:p w14:paraId="486C767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116" w:type="dxa"/>
            <w:tcBorders>
              <w:top w:val="nil"/>
              <w:left w:val="nil"/>
              <w:bottom w:val="single" w:color="000000" w:sz="8" w:space="0"/>
              <w:right w:val="single" w:color="000000" w:sz="8" w:space="0"/>
            </w:tcBorders>
            <w:vAlign w:val="center"/>
          </w:tcPr>
          <w:p w14:paraId="04098C0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516" w:type="dxa"/>
            <w:tcBorders>
              <w:top w:val="nil"/>
              <w:left w:val="nil"/>
              <w:bottom w:val="single" w:color="000000" w:sz="8" w:space="0"/>
              <w:right w:val="single" w:color="000000" w:sz="8" w:space="0"/>
            </w:tcBorders>
            <w:vAlign w:val="center"/>
          </w:tcPr>
          <w:p w14:paraId="7D4D7F0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12" w:type="dxa"/>
            <w:tcBorders>
              <w:top w:val="nil"/>
              <w:left w:val="nil"/>
              <w:bottom w:val="single" w:color="000000" w:sz="8" w:space="0"/>
              <w:right w:val="single" w:color="000000" w:sz="8" w:space="0"/>
            </w:tcBorders>
            <w:vAlign w:val="center"/>
          </w:tcPr>
          <w:p w14:paraId="210ECF8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636" w:type="dxa"/>
            <w:tcBorders>
              <w:top w:val="nil"/>
              <w:left w:val="nil"/>
              <w:bottom w:val="single" w:color="000000" w:sz="8" w:space="0"/>
              <w:right w:val="single" w:color="000000" w:sz="8" w:space="0"/>
            </w:tcBorders>
            <w:vAlign w:val="center"/>
          </w:tcPr>
          <w:p w14:paraId="503CAA30">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5C6CCBCC">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0AB787D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116" w:type="dxa"/>
            <w:tcBorders>
              <w:top w:val="nil"/>
              <w:left w:val="nil"/>
              <w:bottom w:val="single" w:color="000000" w:sz="8" w:space="0"/>
              <w:right w:val="single" w:color="000000" w:sz="8" w:space="0"/>
            </w:tcBorders>
            <w:vAlign w:val="center"/>
          </w:tcPr>
          <w:p w14:paraId="3DE43D0B">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516" w:type="dxa"/>
            <w:tcBorders>
              <w:top w:val="nil"/>
              <w:left w:val="nil"/>
              <w:bottom w:val="single" w:color="000000" w:sz="8" w:space="0"/>
              <w:right w:val="single" w:color="000000" w:sz="8" w:space="0"/>
            </w:tcBorders>
            <w:vAlign w:val="center"/>
          </w:tcPr>
          <w:p w14:paraId="7806B053">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12" w:type="dxa"/>
            <w:tcBorders>
              <w:top w:val="nil"/>
              <w:left w:val="nil"/>
              <w:bottom w:val="single" w:color="000000" w:sz="8" w:space="0"/>
              <w:right w:val="single" w:color="000000" w:sz="8" w:space="0"/>
            </w:tcBorders>
            <w:vAlign w:val="center"/>
          </w:tcPr>
          <w:p w14:paraId="33A75E7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36E0781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5D4B0E8E">
        <w:tblPrEx>
          <w:tblCellMar>
            <w:top w:w="0" w:type="dxa"/>
            <w:left w:w="108" w:type="dxa"/>
            <w:bottom w:w="0" w:type="dxa"/>
            <w:right w:w="108" w:type="dxa"/>
          </w:tblCellMar>
        </w:tblPrEx>
        <w:trPr>
          <w:trHeight w:val="285" w:hRule="atLeast"/>
        </w:trPr>
        <w:tc>
          <w:tcPr>
            <w:tcW w:w="641" w:type="dxa"/>
            <w:vMerge w:val="restart"/>
            <w:tcBorders>
              <w:top w:val="nil"/>
              <w:left w:val="single" w:color="000000" w:sz="8" w:space="0"/>
              <w:bottom w:val="single" w:color="000000" w:sz="8" w:space="0"/>
              <w:right w:val="single" w:color="000000" w:sz="8" w:space="0"/>
            </w:tcBorders>
            <w:vAlign w:val="center"/>
          </w:tcPr>
          <w:p w14:paraId="54D3341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116" w:type="dxa"/>
            <w:vMerge w:val="restart"/>
            <w:tcBorders>
              <w:top w:val="nil"/>
              <w:left w:val="single" w:color="000000" w:sz="8" w:space="0"/>
              <w:bottom w:val="single" w:color="000000" w:sz="8" w:space="0"/>
              <w:right w:val="single" w:color="000000" w:sz="8" w:space="0"/>
            </w:tcBorders>
            <w:vAlign w:val="center"/>
          </w:tcPr>
          <w:p w14:paraId="45822E2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516" w:type="dxa"/>
            <w:tcBorders>
              <w:top w:val="nil"/>
              <w:left w:val="nil"/>
              <w:bottom w:val="single" w:color="000000" w:sz="8" w:space="0"/>
              <w:right w:val="single" w:color="000000" w:sz="8" w:space="0"/>
            </w:tcBorders>
            <w:vAlign w:val="center"/>
          </w:tcPr>
          <w:p w14:paraId="2E32235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12" w:type="dxa"/>
            <w:tcBorders>
              <w:top w:val="nil"/>
              <w:left w:val="nil"/>
              <w:bottom w:val="single" w:color="000000" w:sz="8" w:space="0"/>
              <w:right w:val="single" w:color="000000" w:sz="8" w:space="0"/>
            </w:tcBorders>
            <w:vAlign w:val="center"/>
          </w:tcPr>
          <w:p w14:paraId="5482231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1F88C71B">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2C0E222E">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237A3CD2">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237C18F6">
            <w:pPr>
              <w:widowControl/>
              <w:jc w:val="left"/>
              <w:rPr>
                <w:rFonts w:ascii="宋体" w:hAns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6AD6529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12" w:type="dxa"/>
            <w:tcBorders>
              <w:top w:val="nil"/>
              <w:left w:val="nil"/>
              <w:bottom w:val="single" w:color="000000" w:sz="8" w:space="0"/>
              <w:right w:val="single" w:color="000000" w:sz="8" w:space="0"/>
            </w:tcBorders>
            <w:vAlign w:val="center"/>
          </w:tcPr>
          <w:p w14:paraId="3B2B075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7CC4FC40">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35B281C3">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35420D29">
            <w:pPr>
              <w:widowControl/>
              <w:jc w:val="left"/>
              <w:rPr>
                <w:rFonts w:ascii="宋体" w:hAnsi="宋体" w:cs="宋体"/>
                <w:color w:val="auto"/>
                <w:kern w:val="0"/>
                <w:sz w:val="20"/>
                <w:szCs w:val="20"/>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1FFBE8D">
            <w:pPr>
              <w:widowControl/>
              <w:jc w:val="left"/>
              <w:rPr>
                <w:rFonts w:ascii="宋体" w:hAnsi="宋体" w:cs="宋体"/>
                <w:color w:val="auto"/>
                <w:kern w:val="0"/>
                <w:sz w:val="20"/>
                <w:szCs w:val="20"/>
                <w:highlight w:val="none"/>
              </w:rPr>
            </w:pPr>
          </w:p>
        </w:tc>
        <w:tc>
          <w:tcPr>
            <w:tcW w:w="1516" w:type="dxa"/>
            <w:tcBorders>
              <w:top w:val="nil"/>
              <w:left w:val="nil"/>
              <w:bottom w:val="single" w:color="000000" w:sz="8" w:space="0"/>
              <w:right w:val="single" w:color="000000" w:sz="8" w:space="0"/>
            </w:tcBorders>
            <w:vAlign w:val="center"/>
          </w:tcPr>
          <w:p w14:paraId="0B3E0D3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12" w:type="dxa"/>
            <w:tcBorders>
              <w:top w:val="nil"/>
              <w:left w:val="nil"/>
              <w:bottom w:val="single" w:color="000000" w:sz="8" w:space="0"/>
              <w:right w:val="single" w:color="000000" w:sz="8" w:space="0"/>
            </w:tcBorders>
            <w:vAlign w:val="center"/>
          </w:tcPr>
          <w:p w14:paraId="668D3F8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53CB34B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14CDBE82">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1C28E68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116" w:type="dxa"/>
            <w:tcBorders>
              <w:top w:val="nil"/>
              <w:left w:val="nil"/>
              <w:bottom w:val="single" w:color="000000" w:sz="8" w:space="0"/>
              <w:right w:val="single" w:color="000000" w:sz="8" w:space="0"/>
            </w:tcBorders>
            <w:vAlign w:val="center"/>
          </w:tcPr>
          <w:p w14:paraId="682107A9">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516" w:type="dxa"/>
            <w:tcBorders>
              <w:top w:val="nil"/>
              <w:left w:val="nil"/>
              <w:bottom w:val="single" w:color="000000" w:sz="8" w:space="0"/>
              <w:right w:val="single" w:color="000000" w:sz="8" w:space="0"/>
            </w:tcBorders>
            <w:vAlign w:val="center"/>
          </w:tcPr>
          <w:p w14:paraId="562FBBD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0045A14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0A485ABD">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14:paraId="12EF8C72">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34124BC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116" w:type="dxa"/>
            <w:tcBorders>
              <w:top w:val="nil"/>
              <w:left w:val="nil"/>
              <w:bottom w:val="single" w:color="000000" w:sz="8" w:space="0"/>
              <w:right w:val="single" w:color="000000" w:sz="8" w:space="0"/>
            </w:tcBorders>
            <w:vAlign w:val="center"/>
          </w:tcPr>
          <w:p w14:paraId="3CF1AB42">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516" w:type="dxa"/>
            <w:tcBorders>
              <w:top w:val="nil"/>
              <w:left w:val="nil"/>
              <w:bottom w:val="single" w:color="000000" w:sz="8" w:space="0"/>
              <w:right w:val="single" w:color="000000" w:sz="8" w:space="0"/>
            </w:tcBorders>
            <w:vAlign w:val="center"/>
          </w:tcPr>
          <w:p w14:paraId="1E43C74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2940A4B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2FFCDE79">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5191A925">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0AEBA5A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116" w:type="dxa"/>
            <w:tcBorders>
              <w:top w:val="nil"/>
              <w:left w:val="nil"/>
              <w:bottom w:val="single" w:color="000000" w:sz="8" w:space="0"/>
              <w:right w:val="single" w:color="000000" w:sz="8" w:space="0"/>
            </w:tcBorders>
            <w:vAlign w:val="center"/>
          </w:tcPr>
          <w:p w14:paraId="0D3E4F36">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516" w:type="dxa"/>
            <w:tcBorders>
              <w:top w:val="nil"/>
              <w:left w:val="nil"/>
              <w:bottom w:val="single" w:color="000000" w:sz="8" w:space="0"/>
              <w:right w:val="single" w:color="000000" w:sz="8" w:space="0"/>
            </w:tcBorders>
            <w:vAlign w:val="center"/>
          </w:tcPr>
          <w:p w14:paraId="2A717ACC">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vAlign w:val="center"/>
          </w:tcPr>
          <w:p w14:paraId="5E80B61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636" w:type="dxa"/>
            <w:tcBorders>
              <w:top w:val="nil"/>
              <w:left w:val="nil"/>
              <w:bottom w:val="single" w:color="000000" w:sz="8" w:space="0"/>
              <w:right w:val="single" w:color="000000" w:sz="8" w:space="0"/>
            </w:tcBorders>
            <w:vAlign w:val="center"/>
          </w:tcPr>
          <w:p w14:paraId="0AD61288">
            <w:pPr>
              <w:widowControl/>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5C12E40E">
      <w:pPr>
        <w:pStyle w:val="13"/>
        <w:spacing w:line="360" w:lineRule="auto"/>
        <w:rPr>
          <w:color w:val="auto"/>
          <w:spacing w:val="-3"/>
          <w:szCs w:val="21"/>
          <w:highlight w:val="none"/>
        </w:rPr>
      </w:pPr>
    </w:p>
    <w:p w14:paraId="5BC3D157">
      <w:pPr>
        <w:pStyle w:val="13"/>
        <w:spacing w:line="360" w:lineRule="auto"/>
        <w:rPr>
          <w:rFonts w:ascii="仿宋" w:hAnsi="仿宋" w:eastAsia="仿宋" w:cs="仿宋"/>
          <w:color w:val="auto"/>
          <w:szCs w:val="21"/>
          <w:highlight w:val="none"/>
        </w:rPr>
      </w:pPr>
      <w:r>
        <w:rPr>
          <w:rFonts w:hint="eastAsia" w:ascii="仿宋" w:hAnsi="仿宋" w:eastAsia="仿宋" w:cs="仿宋"/>
          <w:color w:val="auto"/>
          <w:spacing w:val="-3"/>
          <w:szCs w:val="21"/>
          <w:highlight w:val="none"/>
        </w:rPr>
        <w:t>注：1.节能产品认证应依据相关国家标准的最新版本，依据国家标准中二级能效（水效）</w:t>
      </w:r>
      <w:r>
        <w:rPr>
          <w:rFonts w:hint="eastAsia" w:ascii="仿宋" w:hAnsi="仿宋" w:eastAsia="仿宋" w:cs="仿宋"/>
          <w:color w:val="auto"/>
          <w:szCs w:val="21"/>
          <w:highlight w:val="none"/>
        </w:rPr>
        <w:t>指标。</w:t>
      </w:r>
    </w:p>
    <w:p w14:paraId="0242D1CC">
      <w:pPr>
        <w:pStyle w:val="13"/>
        <w:spacing w:line="360" w:lineRule="auto"/>
        <w:rPr>
          <w:rFonts w:ascii="仿宋" w:hAnsi="仿宋" w:eastAsia="仿宋" w:cs="仿宋"/>
          <w:b/>
          <w:bCs/>
          <w:color w:val="auto"/>
          <w:szCs w:val="21"/>
          <w:highlight w:val="none"/>
        </w:rPr>
      </w:pPr>
      <w:r>
        <w:rPr>
          <w:rFonts w:hint="eastAsia" w:ascii="仿宋" w:hAnsi="仿宋" w:eastAsia="仿宋" w:cs="仿宋"/>
          <w:color w:val="auto"/>
          <w:szCs w:val="21"/>
          <w:highlight w:val="none"/>
        </w:rPr>
        <w:t xml:space="preserve">    2</w:t>
      </w:r>
      <w:r>
        <w:rPr>
          <w:rFonts w:hint="eastAsia" w:ascii="仿宋" w:hAnsi="仿宋" w:eastAsia="仿宋" w:cs="仿宋"/>
          <w:b/>
          <w:bCs/>
          <w:color w:val="auto"/>
          <w:szCs w:val="21"/>
          <w:highlight w:val="none"/>
        </w:rPr>
        <w:t>.以“★”标注的为政府强制采购产品。</w:t>
      </w:r>
    </w:p>
    <w:p w14:paraId="587734C2">
      <w:pPr>
        <w:pStyle w:val="14"/>
        <w:jc w:val="left"/>
        <w:rPr>
          <w:rFonts w:ascii="Arial Unicode MS" w:hAnsi="Arial Unicode MS" w:eastAsia="Arial Unicode MS" w:cs="Arial Unicode MS"/>
          <w:color w:val="auto"/>
          <w:sz w:val="32"/>
          <w:szCs w:val="32"/>
          <w:highlight w:val="none"/>
        </w:rPr>
      </w:pPr>
      <w:r>
        <w:rPr>
          <w:rFonts w:hint="eastAsia" w:hAnsi="宋体"/>
          <w:color w:val="auto"/>
          <w:highlight w:val="none"/>
        </w:rPr>
        <w:br w:type="page"/>
      </w:r>
      <w:r>
        <w:rPr>
          <w:rFonts w:hint="eastAsia" w:ascii="微软雅黑" w:hAnsi="微软雅黑" w:eastAsia="微软雅黑" w:cs="微软雅黑"/>
          <w:color w:val="auto"/>
          <w:sz w:val="32"/>
          <w:szCs w:val="32"/>
          <w:highlight w:val="none"/>
        </w:rPr>
        <w:t>附件12：</w:t>
      </w:r>
    </w:p>
    <w:p w14:paraId="702FD26A">
      <w:pPr>
        <w:spacing w:line="528" w:lineRule="exact"/>
        <w:jc w:val="center"/>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35"/>
        <w:tblW w:w="9358" w:type="dxa"/>
        <w:tblInd w:w="250" w:type="dxa"/>
        <w:tblLayout w:type="fixed"/>
        <w:tblCellMar>
          <w:top w:w="0" w:type="dxa"/>
          <w:left w:w="108" w:type="dxa"/>
          <w:bottom w:w="0" w:type="dxa"/>
          <w:right w:w="108" w:type="dxa"/>
        </w:tblCellMar>
      </w:tblPr>
      <w:tblGrid>
        <w:gridCol w:w="1995"/>
        <w:gridCol w:w="1622"/>
        <w:gridCol w:w="1254"/>
        <w:gridCol w:w="1715"/>
        <w:gridCol w:w="1687"/>
        <w:gridCol w:w="1085"/>
      </w:tblGrid>
      <w:tr w14:paraId="0F45B698">
        <w:tblPrEx>
          <w:tblCellMar>
            <w:top w:w="0" w:type="dxa"/>
            <w:left w:w="108" w:type="dxa"/>
            <w:bottom w:w="0" w:type="dxa"/>
            <w:right w:w="108" w:type="dxa"/>
          </w:tblCellMar>
        </w:tblPrEx>
        <w:trPr>
          <w:trHeight w:val="660" w:hRule="atLeast"/>
        </w:trPr>
        <w:tc>
          <w:tcPr>
            <w:tcW w:w="1995" w:type="dxa"/>
            <w:tcBorders>
              <w:top w:val="single" w:color="auto" w:sz="4" w:space="0"/>
              <w:left w:val="single" w:color="auto" w:sz="4" w:space="0"/>
              <w:bottom w:val="single" w:color="auto" w:sz="4" w:space="0"/>
              <w:right w:val="single" w:color="auto" w:sz="4" w:space="0"/>
            </w:tcBorders>
            <w:vAlign w:val="center"/>
          </w:tcPr>
          <w:p w14:paraId="75A8187A">
            <w:pPr>
              <w:widowControl/>
              <w:jc w:val="left"/>
              <w:rPr>
                <w:rFonts w:ascii="仿宋" w:hAnsi="仿宋" w:eastAsia="仿宋" w:cs="仿宋"/>
                <w:b/>
                <w:color w:val="auto"/>
                <w:kern w:val="0"/>
                <w:sz w:val="24"/>
                <w:highlight w:val="none"/>
              </w:rPr>
            </w:pPr>
            <w:r>
              <w:rPr>
                <w:rFonts w:hint="eastAsia" w:ascii="仿宋" w:hAnsi="仿宋" w:eastAsia="仿宋" w:cs="仿宋"/>
                <w:b/>
                <w:color w:val="auto"/>
                <w:kern w:val="0"/>
                <w:sz w:val="24"/>
                <w:highlight w:val="none"/>
              </w:rPr>
              <w:t>行业名称</w:t>
            </w:r>
          </w:p>
        </w:tc>
        <w:tc>
          <w:tcPr>
            <w:tcW w:w="1622" w:type="dxa"/>
            <w:tcBorders>
              <w:top w:val="single" w:color="auto" w:sz="4" w:space="0"/>
              <w:left w:val="nil"/>
              <w:bottom w:val="single" w:color="auto" w:sz="4" w:space="0"/>
              <w:right w:val="single" w:color="auto" w:sz="4" w:space="0"/>
            </w:tcBorders>
            <w:vAlign w:val="center"/>
          </w:tcPr>
          <w:p w14:paraId="4CBFF6C8">
            <w:pPr>
              <w:widowControl/>
              <w:jc w:val="left"/>
              <w:rPr>
                <w:rFonts w:ascii="仿宋" w:hAnsi="仿宋" w:eastAsia="仿宋" w:cs="仿宋"/>
                <w:b/>
                <w:color w:val="auto"/>
                <w:kern w:val="0"/>
                <w:sz w:val="24"/>
                <w:highlight w:val="none"/>
              </w:rPr>
            </w:pPr>
            <w:r>
              <w:rPr>
                <w:rFonts w:hint="eastAsia" w:ascii="仿宋" w:hAnsi="仿宋" w:eastAsia="仿宋" w:cs="仿宋"/>
                <w:b/>
                <w:color w:val="auto"/>
                <w:kern w:val="0"/>
                <w:sz w:val="24"/>
                <w:highlight w:val="none"/>
              </w:rPr>
              <w:t>指标名称</w:t>
            </w:r>
          </w:p>
        </w:tc>
        <w:tc>
          <w:tcPr>
            <w:tcW w:w="1254" w:type="dxa"/>
            <w:tcBorders>
              <w:top w:val="single" w:color="auto" w:sz="4" w:space="0"/>
              <w:left w:val="nil"/>
              <w:bottom w:val="single" w:color="auto" w:sz="4" w:space="0"/>
              <w:right w:val="single" w:color="auto" w:sz="4" w:space="0"/>
            </w:tcBorders>
            <w:vAlign w:val="center"/>
          </w:tcPr>
          <w:p w14:paraId="7B6B373C">
            <w:pPr>
              <w:widowControl/>
              <w:jc w:val="left"/>
              <w:rPr>
                <w:rFonts w:ascii="仿宋" w:hAnsi="仿宋" w:eastAsia="仿宋" w:cs="仿宋"/>
                <w:b/>
                <w:color w:val="auto"/>
                <w:kern w:val="0"/>
                <w:sz w:val="24"/>
                <w:highlight w:val="none"/>
              </w:rPr>
            </w:pPr>
            <w:r>
              <w:rPr>
                <w:rFonts w:hint="eastAsia" w:ascii="仿宋" w:hAnsi="仿宋" w:eastAsia="仿宋" w:cs="仿宋"/>
                <w:b/>
                <w:color w:val="auto"/>
                <w:kern w:val="0"/>
                <w:sz w:val="24"/>
                <w:highlight w:val="none"/>
              </w:rPr>
              <w:t>计量单位</w:t>
            </w:r>
          </w:p>
        </w:tc>
        <w:tc>
          <w:tcPr>
            <w:tcW w:w="1715" w:type="dxa"/>
            <w:tcBorders>
              <w:top w:val="single" w:color="auto" w:sz="4" w:space="0"/>
              <w:left w:val="nil"/>
              <w:bottom w:val="single" w:color="auto" w:sz="4" w:space="0"/>
              <w:right w:val="single" w:color="auto" w:sz="4" w:space="0"/>
            </w:tcBorders>
            <w:vAlign w:val="center"/>
          </w:tcPr>
          <w:p w14:paraId="5B32FE2B">
            <w:pPr>
              <w:widowControl/>
              <w:jc w:val="center"/>
              <w:rPr>
                <w:rFonts w:ascii="仿宋" w:hAnsi="仿宋" w:eastAsia="仿宋" w:cs="仿宋"/>
                <w:b/>
                <w:color w:val="auto"/>
                <w:kern w:val="0"/>
                <w:sz w:val="24"/>
                <w:highlight w:val="none"/>
              </w:rPr>
            </w:pPr>
            <w:r>
              <w:rPr>
                <w:rFonts w:hint="eastAsia" w:ascii="仿宋" w:hAnsi="仿宋" w:eastAsia="仿宋" w:cs="仿宋"/>
                <w:b/>
                <w:color w:val="auto"/>
                <w:kern w:val="0"/>
                <w:sz w:val="24"/>
                <w:highlight w:val="none"/>
              </w:rPr>
              <w:t>中型</w:t>
            </w:r>
          </w:p>
        </w:tc>
        <w:tc>
          <w:tcPr>
            <w:tcW w:w="1687" w:type="dxa"/>
            <w:tcBorders>
              <w:top w:val="single" w:color="auto" w:sz="4" w:space="0"/>
              <w:left w:val="nil"/>
              <w:bottom w:val="single" w:color="auto" w:sz="4" w:space="0"/>
              <w:right w:val="single" w:color="auto" w:sz="4" w:space="0"/>
            </w:tcBorders>
            <w:vAlign w:val="center"/>
          </w:tcPr>
          <w:p w14:paraId="4E4D9DBF">
            <w:pPr>
              <w:widowControl/>
              <w:jc w:val="center"/>
              <w:rPr>
                <w:rFonts w:ascii="仿宋" w:hAnsi="仿宋" w:eastAsia="仿宋" w:cs="仿宋"/>
                <w:b/>
                <w:color w:val="auto"/>
                <w:kern w:val="0"/>
                <w:sz w:val="24"/>
                <w:highlight w:val="none"/>
              </w:rPr>
            </w:pPr>
            <w:r>
              <w:rPr>
                <w:rFonts w:hint="eastAsia" w:ascii="仿宋" w:hAnsi="仿宋" w:eastAsia="仿宋" w:cs="仿宋"/>
                <w:b/>
                <w:color w:val="auto"/>
                <w:kern w:val="0"/>
                <w:sz w:val="24"/>
                <w:highlight w:val="none"/>
              </w:rPr>
              <w:t>小型</w:t>
            </w:r>
          </w:p>
        </w:tc>
        <w:tc>
          <w:tcPr>
            <w:tcW w:w="1085" w:type="dxa"/>
            <w:tcBorders>
              <w:top w:val="single" w:color="auto" w:sz="4" w:space="0"/>
              <w:left w:val="nil"/>
              <w:bottom w:val="single" w:color="auto" w:sz="4" w:space="0"/>
              <w:right w:val="single" w:color="auto" w:sz="4" w:space="0"/>
            </w:tcBorders>
            <w:vAlign w:val="center"/>
          </w:tcPr>
          <w:p w14:paraId="12A99855">
            <w:pPr>
              <w:widowControl/>
              <w:jc w:val="center"/>
              <w:rPr>
                <w:rFonts w:ascii="仿宋" w:hAnsi="仿宋" w:eastAsia="仿宋" w:cs="仿宋"/>
                <w:b/>
                <w:color w:val="auto"/>
                <w:kern w:val="0"/>
                <w:sz w:val="24"/>
                <w:highlight w:val="none"/>
              </w:rPr>
            </w:pPr>
            <w:r>
              <w:rPr>
                <w:rFonts w:hint="eastAsia" w:ascii="仿宋" w:hAnsi="仿宋" w:eastAsia="仿宋" w:cs="仿宋"/>
                <w:b/>
                <w:color w:val="auto"/>
                <w:kern w:val="0"/>
                <w:sz w:val="24"/>
                <w:highlight w:val="none"/>
              </w:rPr>
              <w:t>微型</w:t>
            </w:r>
          </w:p>
        </w:tc>
      </w:tr>
      <w:tr w14:paraId="0BA5A891">
        <w:tblPrEx>
          <w:tblCellMar>
            <w:top w:w="0" w:type="dxa"/>
            <w:left w:w="108" w:type="dxa"/>
            <w:bottom w:w="0" w:type="dxa"/>
            <w:right w:w="108" w:type="dxa"/>
          </w:tblCellMar>
        </w:tblPrEx>
        <w:trPr>
          <w:trHeight w:val="335" w:hRule="atLeast"/>
        </w:trPr>
        <w:tc>
          <w:tcPr>
            <w:tcW w:w="1995" w:type="dxa"/>
            <w:tcBorders>
              <w:top w:val="nil"/>
              <w:left w:val="single" w:color="auto" w:sz="4" w:space="0"/>
              <w:bottom w:val="single" w:color="auto" w:sz="4" w:space="0"/>
              <w:right w:val="single" w:color="auto" w:sz="4" w:space="0"/>
            </w:tcBorders>
            <w:vAlign w:val="bottom"/>
          </w:tcPr>
          <w:p w14:paraId="007AA42A">
            <w:pPr>
              <w:widowControl/>
              <w:jc w:val="center"/>
              <w:rPr>
                <w:rFonts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农、林、牧、渔</w:t>
            </w:r>
          </w:p>
        </w:tc>
        <w:tc>
          <w:tcPr>
            <w:tcW w:w="1622" w:type="dxa"/>
            <w:tcBorders>
              <w:top w:val="nil"/>
              <w:left w:val="nil"/>
              <w:bottom w:val="single" w:color="auto" w:sz="4" w:space="0"/>
              <w:right w:val="single" w:color="auto" w:sz="4" w:space="0"/>
            </w:tcBorders>
            <w:vAlign w:val="center"/>
          </w:tcPr>
          <w:p w14:paraId="7BF8828C">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254" w:type="dxa"/>
            <w:tcBorders>
              <w:top w:val="nil"/>
              <w:left w:val="nil"/>
              <w:bottom w:val="single" w:color="auto" w:sz="4" w:space="0"/>
              <w:right w:val="single" w:color="auto" w:sz="4" w:space="0"/>
            </w:tcBorders>
            <w:vAlign w:val="center"/>
          </w:tcPr>
          <w:p w14:paraId="07B523E8">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15" w:type="dxa"/>
            <w:tcBorders>
              <w:top w:val="nil"/>
              <w:left w:val="nil"/>
              <w:bottom w:val="single" w:color="auto" w:sz="4" w:space="0"/>
              <w:right w:val="single" w:color="auto" w:sz="4" w:space="0"/>
            </w:tcBorders>
            <w:vAlign w:val="center"/>
          </w:tcPr>
          <w:p w14:paraId="4B2F41A3">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687" w:type="dxa"/>
            <w:tcBorders>
              <w:top w:val="nil"/>
              <w:left w:val="nil"/>
              <w:bottom w:val="single" w:color="auto" w:sz="4" w:space="0"/>
              <w:right w:val="single" w:color="auto" w:sz="4" w:space="0"/>
            </w:tcBorders>
            <w:vAlign w:val="center"/>
          </w:tcPr>
          <w:p w14:paraId="6EF5F98E">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50≤Y＜500</w:t>
            </w:r>
          </w:p>
        </w:tc>
        <w:tc>
          <w:tcPr>
            <w:tcW w:w="1085" w:type="dxa"/>
            <w:tcBorders>
              <w:top w:val="nil"/>
              <w:left w:val="nil"/>
              <w:bottom w:val="single" w:color="auto" w:sz="4" w:space="0"/>
              <w:right w:val="single" w:color="auto" w:sz="4" w:space="0"/>
            </w:tcBorders>
            <w:vAlign w:val="center"/>
          </w:tcPr>
          <w:p w14:paraId="6D73B9A4">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4A4288E7">
        <w:tblPrEx>
          <w:tblCellMar>
            <w:top w:w="0" w:type="dxa"/>
            <w:left w:w="108" w:type="dxa"/>
            <w:bottom w:w="0" w:type="dxa"/>
            <w:right w:w="108" w:type="dxa"/>
          </w:tblCellMar>
        </w:tblPrEx>
        <w:trPr>
          <w:trHeight w:val="335" w:hRule="atLeast"/>
        </w:trPr>
        <w:tc>
          <w:tcPr>
            <w:tcW w:w="1995" w:type="dxa"/>
            <w:vMerge w:val="restart"/>
            <w:tcBorders>
              <w:top w:val="nil"/>
              <w:left w:val="single" w:color="auto" w:sz="4" w:space="0"/>
              <w:bottom w:val="single" w:color="auto" w:sz="4" w:space="0"/>
              <w:right w:val="single" w:color="auto" w:sz="4" w:space="0"/>
            </w:tcBorders>
            <w:vAlign w:val="bottom"/>
          </w:tcPr>
          <w:p w14:paraId="6D406A03">
            <w:pPr>
              <w:widowControl/>
              <w:jc w:val="center"/>
              <w:rPr>
                <w:rFonts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工业</w:t>
            </w:r>
          </w:p>
        </w:tc>
        <w:tc>
          <w:tcPr>
            <w:tcW w:w="1622" w:type="dxa"/>
            <w:tcBorders>
              <w:top w:val="nil"/>
              <w:left w:val="nil"/>
              <w:bottom w:val="single" w:color="auto" w:sz="4" w:space="0"/>
              <w:right w:val="single" w:color="auto" w:sz="4" w:space="0"/>
            </w:tcBorders>
            <w:vAlign w:val="center"/>
          </w:tcPr>
          <w:p w14:paraId="5B2FDCCA">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254" w:type="dxa"/>
            <w:tcBorders>
              <w:top w:val="nil"/>
              <w:left w:val="nil"/>
              <w:bottom w:val="single" w:color="auto" w:sz="4" w:space="0"/>
              <w:right w:val="single" w:color="auto" w:sz="4" w:space="0"/>
            </w:tcBorders>
            <w:vAlign w:val="center"/>
          </w:tcPr>
          <w:p w14:paraId="56361A35">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15" w:type="dxa"/>
            <w:tcBorders>
              <w:top w:val="nil"/>
              <w:left w:val="nil"/>
              <w:bottom w:val="single" w:color="auto" w:sz="4" w:space="0"/>
              <w:right w:val="single" w:color="auto" w:sz="4" w:space="0"/>
            </w:tcBorders>
            <w:vAlign w:val="center"/>
          </w:tcPr>
          <w:p w14:paraId="74984183">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87" w:type="dxa"/>
            <w:tcBorders>
              <w:top w:val="nil"/>
              <w:left w:val="nil"/>
              <w:bottom w:val="single" w:color="auto" w:sz="4" w:space="0"/>
              <w:right w:val="single" w:color="auto" w:sz="4" w:space="0"/>
            </w:tcBorders>
            <w:vAlign w:val="center"/>
          </w:tcPr>
          <w:p w14:paraId="10162BC3">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085" w:type="dxa"/>
            <w:tcBorders>
              <w:top w:val="nil"/>
              <w:left w:val="nil"/>
              <w:bottom w:val="single" w:color="auto" w:sz="4" w:space="0"/>
              <w:right w:val="single" w:color="auto" w:sz="4" w:space="0"/>
            </w:tcBorders>
            <w:vAlign w:val="center"/>
          </w:tcPr>
          <w:p w14:paraId="3D99A458">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54850214">
        <w:tblPrEx>
          <w:tblCellMar>
            <w:top w:w="0" w:type="dxa"/>
            <w:left w:w="108" w:type="dxa"/>
            <w:bottom w:w="0" w:type="dxa"/>
            <w:right w:w="108" w:type="dxa"/>
          </w:tblCellMar>
        </w:tblPrEx>
        <w:trPr>
          <w:trHeight w:val="335" w:hRule="atLeast"/>
        </w:trPr>
        <w:tc>
          <w:tcPr>
            <w:tcW w:w="1995" w:type="dxa"/>
            <w:vMerge w:val="continue"/>
            <w:tcBorders>
              <w:top w:val="nil"/>
              <w:left w:val="single" w:color="auto" w:sz="4" w:space="0"/>
              <w:bottom w:val="single" w:color="auto" w:sz="4" w:space="0"/>
              <w:right w:val="single" w:color="auto" w:sz="4" w:space="0"/>
            </w:tcBorders>
            <w:vAlign w:val="center"/>
          </w:tcPr>
          <w:p w14:paraId="758AE3F3">
            <w:pPr>
              <w:widowControl/>
              <w:jc w:val="left"/>
              <w:rPr>
                <w:rFonts w:ascii="仿宋" w:hAnsi="仿宋" w:eastAsia="仿宋" w:cs="仿宋"/>
                <w:b/>
                <w:bCs/>
                <w:color w:val="auto"/>
                <w:kern w:val="0"/>
                <w:sz w:val="18"/>
                <w:szCs w:val="18"/>
                <w:highlight w:val="none"/>
              </w:rPr>
            </w:pPr>
          </w:p>
        </w:tc>
        <w:tc>
          <w:tcPr>
            <w:tcW w:w="1622" w:type="dxa"/>
            <w:tcBorders>
              <w:top w:val="nil"/>
              <w:left w:val="nil"/>
              <w:bottom w:val="single" w:color="auto" w:sz="4" w:space="0"/>
              <w:right w:val="single" w:color="auto" w:sz="4" w:space="0"/>
            </w:tcBorders>
            <w:vAlign w:val="center"/>
          </w:tcPr>
          <w:p w14:paraId="6C57DFE7">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254" w:type="dxa"/>
            <w:tcBorders>
              <w:top w:val="nil"/>
              <w:left w:val="nil"/>
              <w:bottom w:val="single" w:color="auto" w:sz="4" w:space="0"/>
              <w:right w:val="single" w:color="auto" w:sz="4" w:space="0"/>
            </w:tcBorders>
            <w:vAlign w:val="center"/>
          </w:tcPr>
          <w:p w14:paraId="0235A03A">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15" w:type="dxa"/>
            <w:tcBorders>
              <w:top w:val="nil"/>
              <w:left w:val="nil"/>
              <w:bottom w:val="single" w:color="auto" w:sz="4" w:space="0"/>
              <w:right w:val="single" w:color="auto" w:sz="4" w:space="0"/>
            </w:tcBorders>
            <w:vAlign w:val="center"/>
          </w:tcPr>
          <w:p w14:paraId="5E50758F">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2000≤Y＜40000</w:t>
            </w:r>
          </w:p>
        </w:tc>
        <w:tc>
          <w:tcPr>
            <w:tcW w:w="1687" w:type="dxa"/>
            <w:tcBorders>
              <w:top w:val="nil"/>
              <w:left w:val="nil"/>
              <w:bottom w:val="single" w:color="auto" w:sz="4" w:space="0"/>
              <w:right w:val="single" w:color="auto" w:sz="4" w:space="0"/>
            </w:tcBorders>
            <w:vAlign w:val="center"/>
          </w:tcPr>
          <w:p w14:paraId="4FBADA66">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300≤Y＜2000</w:t>
            </w:r>
          </w:p>
        </w:tc>
        <w:tc>
          <w:tcPr>
            <w:tcW w:w="1085" w:type="dxa"/>
            <w:tcBorders>
              <w:top w:val="nil"/>
              <w:left w:val="nil"/>
              <w:bottom w:val="single" w:color="auto" w:sz="4" w:space="0"/>
              <w:right w:val="single" w:color="auto" w:sz="4" w:space="0"/>
            </w:tcBorders>
            <w:vAlign w:val="center"/>
          </w:tcPr>
          <w:p w14:paraId="4E5957AA">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57E496F6">
        <w:tblPrEx>
          <w:tblCellMar>
            <w:top w:w="0" w:type="dxa"/>
            <w:left w:w="108" w:type="dxa"/>
            <w:bottom w:w="0" w:type="dxa"/>
            <w:right w:w="108" w:type="dxa"/>
          </w:tblCellMar>
        </w:tblPrEx>
        <w:trPr>
          <w:trHeight w:val="335" w:hRule="atLeast"/>
        </w:trPr>
        <w:tc>
          <w:tcPr>
            <w:tcW w:w="1995" w:type="dxa"/>
            <w:vMerge w:val="restart"/>
            <w:tcBorders>
              <w:top w:val="nil"/>
              <w:left w:val="single" w:color="auto" w:sz="4" w:space="0"/>
              <w:bottom w:val="single" w:color="auto" w:sz="4" w:space="0"/>
              <w:right w:val="single" w:color="auto" w:sz="4" w:space="0"/>
            </w:tcBorders>
            <w:vAlign w:val="bottom"/>
          </w:tcPr>
          <w:p w14:paraId="0DAD93A2">
            <w:pPr>
              <w:widowControl/>
              <w:jc w:val="center"/>
              <w:rPr>
                <w:rFonts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建筑业</w:t>
            </w:r>
          </w:p>
        </w:tc>
        <w:tc>
          <w:tcPr>
            <w:tcW w:w="1622" w:type="dxa"/>
            <w:tcBorders>
              <w:top w:val="nil"/>
              <w:left w:val="nil"/>
              <w:bottom w:val="single" w:color="auto" w:sz="4" w:space="0"/>
              <w:right w:val="single" w:color="auto" w:sz="4" w:space="0"/>
            </w:tcBorders>
            <w:vAlign w:val="center"/>
          </w:tcPr>
          <w:p w14:paraId="57056393">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254" w:type="dxa"/>
            <w:tcBorders>
              <w:top w:val="nil"/>
              <w:left w:val="nil"/>
              <w:bottom w:val="single" w:color="auto" w:sz="4" w:space="0"/>
              <w:right w:val="single" w:color="auto" w:sz="4" w:space="0"/>
            </w:tcBorders>
            <w:vAlign w:val="center"/>
          </w:tcPr>
          <w:p w14:paraId="04C9E150">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15" w:type="dxa"/>
            <w:tcBorders>
              <w:top w:val="nil"/>
              <w:left w:val="nil"/>
              <w:bottom w:val="single" w:color="auto" w:sz="4" w:space="0"/>
              <w:right w:val="single" w:color="auto" w:sz="4" w:space="0"/>
            </w:tcBorders>
            <w:vAlign w:val="center"/>
          </w:tcPr>
          <w:p w14:paraId="4FD5648C">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6000≤Y＜80000</w:t>
            </w:r>
          </w:p>
        </w:tc>
        <w:tc>
          <w:tcPr>
            <w:tcW w:w="1687" w:type="dxa"/>
            <w:tcBorders>
              <w:top w:val="nil"/>
              <w:left w:val="nil"/>
              <w:bottom w:val="single" w:color="auto" w:sz="4" w:space="0"/>
              <w:right w:val="single" w:color="auto" w:sz="4" w:space="0"/>
            </w:tcBorders>
            <w:vAlign w:val="center"/>
          </w:tcPr>
          <w:p w14:paraId="487F2853">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300≤Y＜6000</w:t>
            </w:r>
          </w:p>
        </w:tc>
        <w:tc>
          <w:tcPr>
            <w:tcW w:w="1085" w:type="dxa"/>
            <w:tcBorders>
              <w:top w:val="nil"/>
              <w:left w:val="nil"/>
              <w:bottom w:val="single" w:color="auto" w:sz="4" w:space="0"/>
              <w:right w:val="single" w:color="auto" w:sz="4" w:space="0"/>
            </w:tcBorders>
            <w:vAlign w:val="center"/>
          </w:tcPr>
          <w:p w14:paraId="513ACD58">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0F4A0C63">
        <w:tblPrEx>
          <w:tblCellMar>
            <w:top w:w="0" w:type="dxa"/>
            <w:left w:w="108" w:type="dxa"/>
            <w:bottom w:w="0" w:type="dxa"/>
            <w:right w:w="108" w:type="dxa"/>
          </w:tblCellMar>
        </w:tblPrEx>
        <w:trPr>
          <w:trHeight w:val="335" w:hRule="atLeast"/>
        </w:trPr>
        <w:tc>
          <w:tcPr>
            <w:tcW w:w="1995" w:type="dxa"/>
            <w:vMerge w:val="continue"/>
            <w:tcBorders>
              <w:top w:val="nil"/>
              <w:left w:val="single" w:color="auto" w:sz="4" w:space="0"/>
              <w:bottom w:val="single" w:color="auto" w:sz="4" w:space="0"/>
              <w:right w:val="single" w:color="auto" w:sz="4" w:space="0"/>
            </w:tcBorders>
            <w:vAlign w:val="center"/>
          </w:tcPr>
          <w:p w14:paraId="77804E14">
            <w:pPr>
              <w:widowControl/>
              <w:jc w:val="left"/>
              <w:rPr>
                <w:rFonts w:ascii="仿宋" w:hAnsi="仿宋" w:eastAsia="仿宋" w:cs="仿宋"/>
                <w:b/>
                <w:bCs/>
                <w:color w:val="auto"/>
                <w:kern w:val="0"/>
                <w:sz w:val="18"/>
                <w:szCs w:val="18"/>
                <w:highlight w:val="none"/>
              </w:rPr>
            </w:pPr>
          </w:p>
        </w:tc>
        <w:tc>
          <w:tcPr>
            <w:tcW w:w="1622" w:type="dxa"/>
            <w:tcBorders>
              <w:top w:val="nil"/>
              <w:left w:val="nil"/>
              <w:bottom w:val="single" w:color="auto" w:sz="4" w:space="0"/>
              <w:right w:val="single" w:color="auto" w:sz="4" w:space="0"/>
            </w:tcBorders>
            <w:vAlign w:val="center"/>
          </w:tcPr>
          <w:p w14:paraId="104058FE">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1254" w:type="dxa"/>
            <w:tcBorders>
              <w:top w:val="nil"/>
              <w:left w:val="nil"/>
              <w:bottom w:val="single" w:color="auto" w:sz="4" w:space="0"/>
              <w:right w:val="single" w:color="auto" w:sz="4" w:space="0"/>
            </w:tcBorders>
            <w:vAlign w:val="center"/>
          </w:tcPr>
          <w:p w14:paraId="0FA2C857">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15" w:type="dxa"/>
            <w:tcBorders>
              <w:top w:val="nil"/>
              <w:left w:val="nil"/>
              <w:bottom w:val="single" w:color="auto" w:sz="4" w:space="0"/>
              <w:right w:val="single" w:color="auto" w:sz="4" w:space="0"/>
            </w:tcBorders>
            <w:vAlign w:val="center"/>
          </w:tcPr>
          <w:p w14:paraId="72EC70B1">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5000≤Z＜80000</w:t>
            </w:r>
          </w:p>
        </w:tc>
        <w:tc>
          <w:tcPr>
            <w:tcW w:w="1687" w:type="dxa"/>
            <w:tcBorders>
              <w:top w:val="nil"/>
              <w:left w:val="nil"/>
              <w:bottom w:val="single" w:color="auto" w:sz="4" w:space="0"/>
              <w:right w:val="single" w:color="auto" w:sz="4" w:space="0"/>
            </w:tcBorders>
            <w:vAlign w:val="center"/>
          </w:tcPr>
          <w:p w14:paraId="73AC3441">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300≤Z＜5000</w:t>
            </w:r>
          </w:p>
        </w:tc>
        <w:tc>
          <w:tcPr>
            <w:tcW w:w="1085" w:type="dxa"/>
            <w:tcBorders>
              <w:top w:val="nil"/>
              <w:left w:val="nil"/>
              <w:bottom w:val="single" w:color="auto" w:sz="4" w:space="0"/>
              <w:right w:val="single" w:color="auto" w:sz="4" w:space="0"/>
            </w:tcBorders>
            <w:vAlign w:val="center"/>
          </w:tcPr>
          <w:p w14:paraId="305D887E">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Z＜300</w:t>
            </w:r>
          </w:p>
        </w:tc>
      </w:tr>
      <w:tr w14:paraId="0A872620">
        <w:tblPrEx>
          <w:tblCellMar>
            <w:top w:w="0" w:type="dxa"/>
            <w:left w:w="108" w:type="dxa"/>
            <w:bottom w:w="0" w:type="dxa"/>
            <w:right w:w="108" w:type="dxa"/>
          </w:tblCellMar>
        </w:tblPrEx>
        <w:trPr>
          <w:trHeight w:val="335" w:hRule="atLeast"/>
        </w:trPr>
        <w:tc>
          <w:tcPr>
            <w:tcW w:w="1995" w:type="dxa"/>
            <w:vMerge w:val="restart"/>
            <w:tcBorders>
              <w:top w:val="nil"/>
              <w:left w:val="single" w:color="auto" w:sz="4" w:space="0"/>
              <w:bottom w:val="single" w:color="auto" w:sz="4" w:space="0"/>
              <w:right w:val="single" w:color="auto" w:sz="4" w:space="0"/>
            </w:tcBorders>
            <w:vAlign w:val="bottom"/>
          </w:tcPr>
          <w:p w14:paraId="26C9F7CD">
            <w:pPr>
              <w:widowControl/>
              <w:jc w:val="center"/>
              <w:rPr>
                <w:rFonts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批发业</w:t>
            </w:r>
          </w:p>
        </w:tc>
        <w:tc>
          <w:tcPr>
            <w:tcW w:w="1622" w:type="dxa"/>
            <w:tcBorders>
              <w:top w:val="nil"/>
              <w:left w:val="nil"/>
              <w:bottom w:val="single" w:color="auto" w:sz="4" w:space="0"/>
              <w:right w:val="single" w:color="auto" w:sz="4" w:space="0"/>
            </w:tcBorders>
            <w:vAlign w:val="center"/>
          </w:tcPr>
          <w:p w14:paraId="2D34320A">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254" w:type="dxa"/>
            <w:tcBorders>
              <w:top w:val="nil"/>
              <w:left w:val="nil"/>
              <w:bottom w:val="single" w:color="auto" w:sz="4" w:space="0"/>
              <w:right w:val="single" w:color="auto" w:sz="4" w:space="0"/>
            </w:tcBorders>
            <w:vAlign w:val="center"/>
          </w:tcPr>
          <w:p w14:paraId="467076CF">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15" w:type="dxa"/>
            <w:tcBorders>
              <w:top w:val="nil"/>
              <w:left w:val="nil"/>
              <w:bottom w:val="single" w:color="auto" w:sz="4" w:space="0"/>
              <w:right w:val="single" w:color="auto" w:sz="4" w:space="0"/>
            </w:tcBorders>
            <w:vAlign w:val="center"/>
          </w:tcPr>
          <w:p w14:paraId="638AC07C">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20≤X＜200</w:t>
            </w:r>
          </w:p>
        </w:tc>
        <w:tc>
          <w:tcPr>
            <w:tcW w:w="1687" w:type="dxa"/>
            <w:tcBorders>
              <w:top w:val="nil"/>
              <w:left w:val="nil"/>
              <w:bottom w:val="single" w:color="auto" w:sz="4" w:space="0"/>
              <w:right w:val="single" w:color="auto" w:sz="4" w:space="0"/>
            </w:tcBorders>
            <w:vAlign w:val="center"/>
          </w:tcPr>
          <w:p w14:paraId="5D07345B">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5≤X＜20</w:t>
            </w:r>
          </w:p>
        </w:tc>
        <w:tc>
          <w:tcPr>
            <w:tcW w:w="1085" w:type="dxa"/>
            <w:tcBorders>
              <w:top w:val="nil"/>
              <w:left w:val="nil"/>
              <w:bottom w:val="single" w:color="auto" w:sz="4" w:space="0"/>
              <w:right w:val="single" w:color="auto" w:sz="4" w:space="0"/>
            </w:tcBorders>
            <w:vAlign w:val="center"/>
          </w:tcPr>
          <w:p w14:paraId="787062B1">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X＜5</w:t>
            </w:r>
          </w:p>
        </w:tc>
      </w:tr>
      <w:tr w14:paraId="57E28F36">
        <w:tblPrEx>
          <w:tblCellMar>
            <w:top w:w="0" w:type="dxa"/>
            <w:left w:w="108" w:type="dxa"/>
            <w:bottom w:w="0" w:type="dxa"/>
            <w:right w:w="108" w:type="dxa"/>
          </w:tblCellMar>
        </w:tblPrEx>
        <w:trPr>
          <w:trHeight w:val="335" w:hRule="atLeast"/>
        </w:trPr>
        <w:tc>
          <w:tcPr>
            <w:tcW w:w="1995" w:type="dxa"/>
            <w:vMerge w:val="continue"/>
            <w:tcBorders>
              <w:top w:val="nil"/>
              <w:left w:val="single" w:color="auto" w:sz="4" w:space="0"/>
              <w:bottom w:val="single" w:color="auto" w:sz="4" w:space="0"/>
              <w:right w:val="single" w:color="auto" w:sz="4" w:space="0"/>
            </w:tcBorders>
            <w:vAlign w:val="center"/>
          </w:tcPr>
          <w:p w14:paraId="7DCE5CFB">
            <w:pPr>
              <w:widowControl/>
              <w:jc w:val="left"/>
              <w:rPr>
                <w:rFonts w:ascii="仿宋" w:hAnsi="仿宋" w:eastAsia="仿宋" w:cs="仿宋"/>
                <w:b/>
                <w:bCs/>
                <w:color w:val="auto"/>
                <w:kern w:val="0"/>
                <w:sz w:val="18"/>
                <w:szCs w:val="18"/>
                <w:highlight w:val="none"/>
              </w:rPr>
            </w:pPr>
          </w:p>
        </w:tc>
        <w:tc>
          <w:tcPr>
            <w:tcW w:w="1622" w:type="dxa"/>
            <w:tcBorders>
              <w:top w:val="nil"/>
              <w:left w:val="nil"/>
              <w:bottom w:val="single" w:color="auto" w:sz="4" w:space="0"/>
              <w:right w:val="single" w:color="auto" w:sz="4" w:space="0"/>
            </w:tcBorders>
            <w:vAlign w:val="center"/>
          </w:tcPr>
          <w:p w14:paraId="70D214B3">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254" w:type="dxa"/>
            <w:tcBorders>
              <w:top w:val="nil"/>
              <w:left w:val="nil"/>
              <w:bottom w:val="single" w:color="auto" w:sz="4" w:space="0"/>
              <w:right w:val="single" w:color="auto" w:sz="4" w:space="0"/>
            </w:tcBorders>
            <w:vAlign w:val="center"/>
          </w:tcPr>
          <w:p w14:paraId="4670F942">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15" w:type="dxa"/>
            <w:tcBorders>
              <w:top w:val="nil"/>
              <w:left w:val="nil"/>
              <w:bottom w:val="single" w:color="auto" w:sz="4" w:space="0"/>
              <w:right w:val="single" w:color="auto" w:sz="4" w:space="0"/>
            </w:tcBorders>
            <w:vAlign w:val="center"/>
          </w:tcPr>
          <w:p w14:paraId="771737E8">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5000≤Y＜40000</w:t>
            </w:r>
          </w:p>
        </w:tc>
        <w:tc>
          <w:tcPr>
            <w:tcW w:w="1687" w:type="dxa"/>
            <w:tcBorders>
              <w:top w:val="nil"/>
              <w:left w:val="nil"/>
              <w:bottom w:val="single" w:color="auto" w:sz="4" w:space="0"/>
              <w:right w:val="single" w:color="auto" w:sz="4" w:space="0"/>
            </w:tcBorders>
            <w:vAlign w:val="center"/>
          </w:tcPr>
          <w:p w14:paraId="50C8C4CE">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085" w:type="dxa"/>
            <w:tcBorders>
              <w:top w:val="nil"/>
              <w:left w:val="nil"/>
              <w:bottom w:val="single" w:color="auto" w:sz="4" w:space="0"/>
              <w:right w:val="single" w:color="auto" w:sz="4" w:space="0"/>
            </w:tcBorders>
            <w:vAlign w:val="center"/>
          </w:tcPr>
          <w:p w14:paraId="4132E0B0">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w:t>
            </w:r>
          </w:p>
        </w:tc>
      </w:tr>
      <w:tr w14:paraId="67D8F592">
        <w:tblPrEx>
          <w:tblCellMar>
            <w:top w:w="0" w:type="dxa"/>
            <w:left w:w="108" w:type="dxa"/>
            <w:bottom w:w="0" w:type="dxa"/>
            <w:right w:w="108" w:type="dxa"/>
          </w:tblCellMar>
        </w:tblPrEx>
        <w:trPr>
          <w:trHeight w:val="335" w:hRule="atLeast"/>
        </w:trPr>
        <w:tc>
          <w:tcPr>
            <w:tcW w:w="1995" w:type="dxa"/>
            <w:vMerge w:val="restart"/>
            <w:tcBorders>
              <w:top w:val="nil"/>
              <w:left w:val="single" w:color="auto" w:sz="4" w:space="0"/>
              <w:bottom w:val="single" w:color="auto" w:sz="4" w:space="0"/>
              <w:right w:val="single" w:color="auto" w:sz="4" w:space="0"/>
            </w:tcBorders>
            <w:vAlign w:val="bottom"/>
          </w:tcPr>
          <w:p w14:paraId="299CEB34">
            <w:pPr>
              <w:widowControl/>
              <w:jc w:val="center"/>
              <w:rPr>
                <w:rFonts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零售业</w:t>
            </w:r>
          </w:p>
        </w:tc>
        <w:tc>
          <w:tcPr>
            <w:tcW w:w="1622" w:type="dxa"/>
            <w:tcBorders>
              <w:top w:val="nil"/>
              <w:left w:val="nil"/>
              <w:bottom w:val="single" w:color="auto" w:sz="4" w:space="0"/>
              <w:right w:val="single" w:color="auto" w:sz="4" w:space="0"/>
            </w:tcBorders>
            <w:vAlign w:val="center"/>
          </w:tcPr>
          <w:p w14:paraId="03F7E28A">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254" w:type="dxa"/>
            <w:tcBorders>
              <w:top w:val="nil"/>
              <w:left w:val="nil"/>
              <w:bottom w:val="single" w:color="auto" w:sz="4" w:space="0"/>
              <w:right w:val="single" w:color="auto" w:sz="4" w:space="0"/>
            </w:tcBorders>
            <w:vAlign w:val="center"/>
          </w:tcPr>
          <w:p w14:paraId="57BA87E5">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15" w:type="dxa"/>
            <w:tcBorders>
              <w:top w:val="nil"/>
              <w:left w:val="nil"/>
              <w:bottom w:val="single" w:color="auto" w:sz="4" w:space="0"/>
              <w:right w:val="single" w:color="auto" w:sz="4" w:space="0"/>
            </w:tcBorders>
            <w:vAlign w:val="center"/>
          </w:tcPr>
          <w:p w14:paraId="29FC4C23">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50≤X＜300</w:t>
            </w:r>
          </w:p>
        </w:tc>
        <w:tc>
          <w:tcPr>
            <w:tcW w:w="1687" w:type="dxa"/>
            <w:tcBorders>
              <w:top w:val="nil"/>
              <w:left w:val="nil"/>
              <w:bottom w:val="single" w:color="auto" w:sz="4" w:space="0"/>
              <w:right w:val="single" w:color="auto" w:sz="4" w:space="0"/>
            </w:tcBorders>
            <w:vAlign w:val="center"/>
          </w:tcPr>
          <w:p w14:paraId="4F019C6D">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10≤X＜50</w:t>
            </w:r>
          </w:p>
        </w:tc>
        <w:tc>
          <w:tcPr>
            <w:tcW w:w="1085" w:type="dxa"/>
            <w:tcBorders>
              <w:top w:val="nil"/>
              <w:left w:val="nil"/>
              <w:bottom w:val="single" w:color="auto" w:sz="4" w:space="0"/>
              <w:right w:val="single" w:color="auto" w:sz="4" w:space="0"/>
            </w:tcBorders>
            <w:vAlign w:val="center"/>
          </w:tcPr>
          <w:p w14:paraId="0BDAE6E7">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6393E6C4">
        <w:tblPrEx>
          <w:tblCellMar>
            <w:top w:w="0" w:type="dxa"/>
            <w:left w:w="108" w:type="dxa"/>
            <w:bottom w:w="0" w:type="dxa"/>
            <w:right w:w="108" w:type="dxa"/>
          </w:tblCellMar>
        </w:tblPrEx>
        <w:trPr>
          <w:trHeight w:val="335" w:hRule="atLeast"/>
        </w:trPr>
        <w:tc>
          <w:tcPr>
            <w:tcW w:w="1995" w:type="dxa"/>
            <w:vMerge w:val="continue"/>
            <w:tcBorders>
              <w:top w:val="nil"/>
              <w:left w:val="single" w:color="auto" w:sz="4" w:space="0"/>
              <w:bottom w:val="single" w:color="auto" w:sz="4" w:space="0"/>
              <w:right w:val="single" w:color="auto" w:sz="4" w:space="0"/>
            </w:tcBorders>
            <w:vAlign w:val="center"/>
          </w:tcPr>
          <w:p w14:paraId="0951D116">
            <w:pPr>
              <w:widowControl/>
              <w:jc w:val="left"/>
              <w:rPr>
                <w:rFonts w:ascii="仿宋" w:hAnsi="仿宋" w:eastAsia="仿宋" w:cs="仿宋"/>
                <w:b/>
                <w:bCs/>
                <w:color w:val="auto"/>
                <w:kern w:val="0"/>
                <w:sz w:val="18"/>
                <w:szCs w:val="18"/>
                <w:highlight w:val="none"/>
              </w:rPr>
            </w:pPr>
          </w:p>
        </w:tc>
        <w:tc>
          <w:tcPr>
            <w:tcW w:w="1622" w:type="dxa"/>
            <w:tcBorders>
              <w:top w:val="nil"/>
              <w:left w:val="nil"/>
              <w:bottom w:val="single" w:color="auto" w:sz="4" w:space="0"/>
              <w:right w:val="single" w:color="auto" w:sz="4" w:space="0"/>
            </w:tcBorders>
            <w:vAlign w:val="center"/>
          </w:tcPr>
          <w:p w14:paraId="22CEF3D0">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254" w:type="dxa"/>
            <w:tcBorders>
              <w:top w:val="nil"/>
              <w:left w:val="nil"/>
              <w:bottom w:val="single" w:color="auto" w:sz="4" w:space="0"/>
              <w:right w:val="single" w:color="auto" w:sz="4" w:space="0"/>
            </w:tcBorders>
            <w:vAlign w:val="center"/>
          </w:tcPr>
          <w:p w14:paraId="786C3C97">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15" w:type="dxa"/>
            <w:tcBorders>
              <w:top w:val="nil"/>
              <w:left w:val="nil"/>
              <w:bottom w:val="single" w:color="auto" w:sz="4" w:space="0"/>
              <w:right w:val="single" w:color="auto" w:sz="4" w:space="0"/>
            </w:tcBorders>
            <w:vAlign w:val="center"/>
          </w:tcPr>
          <w:p w14:paraId="6B5D5860">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687" w:type="dxa"/>
            <w:tcBorders>
              <w:top w:val="nil"/>
              <w:left w:val="nil"/>
              <w:bottom w:val="single" w:color="auto" w:sz="4" w:space="0"/>
              <w:right w:val="single" w:color="auto" w:sz="4" w:space="0"/>
            </w:tcBorders>
            <w:vAlign w:val="center"/>
          </w:tcPr>
          <w:p w14:paraId="77144DE3">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100≤Y＜500</w:t>
            </w:r>
          </w:p>
        </w:tc>
        <w:tc>
          <w:tcPr>
            <w:tcW w:w="1085" w:type="dxa"/>
            <w:tcBorders>
              <w:top w:val="nil"/>
              <w:left w:val="nil"/>
              <w:bottom w:val="single" w:color="auto" w:sz="4" w:space="0"/>
              <w:right w:val="single" w:color="auto" w:sz="4" w:space="0"/>
            </w:tcBorders>
            <w:vAlign w:val="center"/>
          </w:tcPr>
          <w:p w14:paraId="60FCF6C6">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524EAC7D">
        <w:tblPrEx>
          <w:tblCellMar>
            <w:top w:w="0" w:type="dxa"/>
            <w:left w:w="108" w:type="dxa"/>
            <w:bottom w:w="0" w:type="dxa"/>
            <w:right w:w="108" w:type="dxa"/>
          </w:tblCellMar>
        </w:tblPrEx>
        <w:trPr>
          <w:trHeight w:val="335" w:hRule="atLeast"/>
        </w:trPr>
        <w:tc>
          <w:tcPr>
            <w:tcW w:w="1995" w:type="dxa"/>
            <w:vMerge w:val="restart"/>
            <w:tcBorders>
              <w:top w:val="nil"/>
              <w:left w:val="single" w:color="auto" w:sz="4" w:space="0"/>
              <w:bottom w:val="single" w:color="auto" w:sz="4" w:space="0"/>
              <w:right w:val="single" w:color="auto" w:sz="4" w:space="0"/>
            </w:tcBorders>
            <w:vAlign w:val="bottom"/>
          </w:tcPr>
          <w:p w14:paraId="3C08C911">
            <w:pPr>
              <w:widowControl/>
              <w:jc w:val="center"/>
              <w:rPr>
                <w:rFonts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交通运输业</w:t>
            </w:r>
          </w:p>
        </w:tc>
        <w:tc>
          <w:tcPr>
            <w:tcW w:w="1622" w:type="dxa"/>
            <w:tcBorders>
              <w:top w:val="nil"/>
              <w:left w:val="nil"/>
              <w:bottom w:val="single" w:color="auto" w:sz="4" w:space="0"/>
              <w:right w:val="single" w:color="auto" w:sz="4" w:space="0"/>
            </w:tcBorders>
            <w:vAlign w:val="center"/>
          </w:tcPr>
          <w:p w14:paraId="38165F2D">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254" w:type="dxa"/>
            <w:tcBorders>
              <w:top w:val="nil"/>
              <w:left w:val="nil"/>
              <w:bottom w:val="single" w:color="auto" w:sz="4" w:space="0"/>
              <w:right w:val="single" w:color="auto" w:sz="4" w:space="0"/>
            </w:tcBorders>
            <w:vAlign w:val="center"/>
          </w:tcPr>
          <w:p w14:paraId="4D4E1E8F">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15" w:type="dxa"/>
            <w:tcBorders>
              <w:top w:val="nil"/>
              <w:left w:val="nil"/>
              <w:bottom w:val="single" w:color="auto" w:sz="4" w:space="0"/>
              <w:right w:val="single" w:color="auto" w:sz="4" w:space="0"/>
            </w:tcBorders>
            <w:vAlign w:val="center"/>
          </w:tcPr>
          <w:p w14:paraId="48F72C4A">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87" w:type="dxa"/>
            <w:tcBorders>
              <w:top w:val="nil"/>
              <w:left w:val="nil"/>
              <w:bottom w:val="single" w:color="auto" w:sz="4" w:space="0"/>
              <w:right w:val="single" w:color="auto" w:sz="4" w:space="0"/>
            </w:tcBorders>
            <w:vAlign w:val="center"/>
          </w:tcPr>
          <w:p w14:paraId="4D6AF2A4">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085" w:type="dxa"/>
            <w:tcBorders>
              <w:top w:val="nil"/>
              <w:left w:val="nil"/>
              <w:bottom w:val="single" w:color="auto" w:sz="4" w:space="0"/>
              <w:right w:val="single" w:color="auto" w:sz="4" w:space="0"/>
            </w:tcBorders>
            <w:vAlign w:val="center"/>
          </w:tcPr>
          <w:p w14:paraId="1AEB5CAA">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706BBC6F">
        <w:tblPrEx>
          <w:tblCellMar>
            <w:top w:w="0" w:type="dxa"/>
            <w:left w:w="108" w:type="dxa"/>
            <w:bottom w:w="0" w:type="dxa"/>
            <w:right w:w="108" w:type="dxa"/>
          </w:tblCellMar>
        </w:tblPrEx>
        <w:trPr>
          <w:trHeight w:val="335" w:hRule="atLeast"/>
        </w:trPr>
        <w:tc>
          <w:tcPr>
            <w:tcW w:w="1995" w:type="dxa"/>
            <w:vMerge w:val="continue"/>
            <w:tcBorders>
              <w:top w:val="nil"/>
              <w:left w:val="single" w:color="auto" w:sz="4" w:space="0"/>
              <w:bottom w:val="single" w:color="auto" w:sz="4" w:space="0"/>
              <w:right w:val="single" w:color="auto" w:sz="4" w:space="0"/>
            </w:tcBorders>
            <w:vAlign w:val="center"/>
          </w:tcPr>
          <w:p w14:paraId="2F3C233C">
            <w:pPr>
              <w:widowControl/>
              <w:jc w:val="left"/>
              <w:rPr>
                <w:rFonts w:ascii="仿宋" w:hAnsi="仿宋" w:eastAsia="仿宋" w:cs="仿宋"/>
                <w:b/>
                <w:bCs/>
                <w:color w:val="auto"/>
                <w:kern w:val="0"/>
                <w:sz w:val="18"/>
                <w:szCs w:val="18"/>
                <w:highlight w:val="none"/>
              </w:rPr>
            </w:pPr>
          </w:p>
        </w:tc>
        <w:tc>
          <w:tcPr>
            <w:tcW w:w="1622" w:type="dxa"/>
            <w:tcBorders>
              <w:top w:val="nil"/>
              <w:left w:val="nil"/>
              <w:bottom w:val="single" w:color="auto" w:sz="4" w:space="0"/>
              <w:right w:val="single" w:color="auto" w:sz="4" w:space="0"/>
            </w:tcBorders>
            <w:vAlign w:val="center"/>
          </w:tcPr>
          <w:p w14:paraId="312076E3">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254" w:type="dxa"/>
            <w:tcBorders>
              <w:top w:val="nil"/>
              <w:left w:val="nil"/>
              <w:bottom w:val="single" w:color="auto" w:sz="4" w:space="0"/>
              <w:right w:val="single" w:color="auto" w:sz="4" w:space="0"/>
            </w:tcBorders>
            <w:vAlign w:val="center"/>
          </w:tcPr>
          <w:p w14:paraId="457D9DE2">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15" w:type="dxa"/>
            <w:tcBorders>
              <w:top w:val="nil"/>
              <w:left w:val="nil"/>
              <w:bottom w:val="single" w:color="auto" w:sz="4" w:space="0"/>
              <w:right w:val="single" w:color="auto" w:sz="4" w:space="0"/>
            </w:tcBorders>
            <w:vAlign w:val="center"/>
          </w:tcPr>
          <w:p w14:paraId="7F1EC283">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3000≤Y＜30000</w:t>
            </w:r>
          </w:p>
        </w:tc>
        <w:tc>
          <w:tcPr>
            <w:tcW w:w="1687" w:type="dxa"/>
            <w:tcBorders>
              <w:top w:val="nil"/>
              <w:left w:val="nil"/>
              <w:bottom w:val="single" w:color="auto" w:sz="4" w:space="0"/>
              <w:right w:val="single" w:color="auto" w:sz="4" w:space="0"/>
            </w:tcBorders>
            <w:vAlign w:val="center"/>
          </w:tcPr>
          <w:p w14:paraId="5A190C81">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200≤Y＜3000</w:t>
            </w:r>
          </w:p>
        </w:tc>
        <w:tc>
          <w:tcPr>
            <w:tcW w:w="1085" w:type="dxa"/>
            <w:tcBorders>
              <w:top w:val="nil"/>
              <w:left w:val="nil"/>
              <w:bottom w:val="single" w:color="auto" w:sz="4" w:space="0"/>
              <w:right w:val="single" w:color="auto" w:sz="4" w:space="0"/>
            </w:tcBorders>
            <w:vAlign w:val="center"/>
          </w:tcPr>
          <w:p w14:paraId="0E01A6E1">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w:t>
            </w:r>
          </w:p>
        </w:tc>
      </w:tr>
      <w:tr w14:paraId="17AA37FC">
        <w:tblPrEx>
          <w:tblCellMar>
            <w:top w:w="0" w:type="dxa"/>
            <w:left w:w="108" w:type="dxa"/>
            <w:bottom w:w="0" w:type="dxa"/>
            <w:right w:w="108" w:type="dxa"/>
          </w:tblCellMar>
        </w:tblPrEx>
        <w:trPr>
          <w:trHeight w:val="335" w:hRule="atLeast"/>
        </w:trPr>
        <w:tc>
          <w:tcPr>
            <w:tcW w:w="1995" w:type="dxa"/>
            <w:vMerge w:val="restart"/>
            <w:tcBorders>
              <w:top w:val="nil"/>
              <w:left w:val="single" w:color="auto" w:sz="4" w:space="0"/>
              <w:bottom w:val="single" w:color="auto" w:sz="4" w:space="0"/>
              <w:right w:val="single" w:color="auto" w:sz="4" w:space="0"/>
            </w:tcBorders>
            <w:vAlign w:val="bottom"/>
          </w:tcPr>
          <w:p w14:paraId="7028DF17">
            <w:pPr>
              <w:widowControl/>
              <w:jc w:val="center"/>
              <w:rPr>
                <w:rFonts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仓储业</w:t>
            </w:r>
          </w:p>
        </w:tc>
        <w:tc>
          <w:tcPr>
            <w:tcW w:w="1622" w:type="dxa"/>
            <w:tcBorders>
              <w:top w:val="nil"/>
              <w:left w:val="nil"/>
              <w:bottom w:val="single" w:color="auto" w:sz="4" w:space="0"/>
              <w:right w:val="single" w:color="auto" w:sz="4" w:space="0"/>
            </w:tcBorders>
            <w:vAlign w:val="center"/>
          </w:tcPr>
          <w:p w14:paraId="6B035D6E">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254" w:type="dxa"/>
            <w:tcBorders>
              <w:top w:val="nil"/>
              <w:left w:val="nil"/>
              <w:bottom w:val="single" w:color="auto" w:sz="4" w:space="0"/>
              <w:right w:val="single" w:color="auto" w:sz="4" w:space="0"/>
            </w:tcBorders>
            <w:vAlign w:val="center"/>
          </w:tcPr>
          <w:p w14:paraId="7B242A56">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15" w:type="dxa"/>
            <w:tcBorders>
              <w:top w:val="nil"/>
              <w:left w:val="nil"/>
              <w:bottom w:val="single" w:color="auto" w:sz="4" w:space="0"/>
              <w:right w:val="single" w:color="auto" w:sz="4" w:space="0"/>
            </w:tcBorders>
            <w:vAlign w:val="center"/>
          </w:tcPr>
          <w:p w14:paraId="35791C4E">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w:t>
            </w:r>
          </w:p>
        </w:tc>
        <w:tc>
          <w:tcPr>
            <w:tcW w:w="1687" w:type="dxa"/>
            <w:tcBorders>
              <w:top w:val="nil"/>
              <w:left w:val="nil"/>
              <w:bottom w:val="single" w:color="auto" w:sz="4" w:space="0"/>
              <w:right w:val="single" w:color="auto" w:sz="4" w:space="0"/>
            </w:tcBorders>
            <w:vAlign w:val="center"/>
          </w:tcPr>
          <w:p w14:paraId="023FA7F1">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20≤X＜100</w:t>
            </w:r>
          </w:p>
        </w:tc>
        <w:tc>
          <w:tcPr>
            <w:tcW w:w="1085" w:type="dxa"/>
            <w:tcBorders>
              <w:top w:val="nil"/>
              <w:left w:val="nil"/>
              <w:bottom w:val="single" w:color="auto" w:sz="4" w:space="0"/>
              <w:right w:val="single" w:color="auto" w:sz="4" w:space="0"/>
            </w:tcBorders>
            <w:vAlign w:val="center"/>
          </w:tcPr>
          <w:p w14:paraId="5F1A8697">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6F618184">
        <w:tblPrEx>
          <w:tblCellMar>
            <w:top w:w="0" w:type="dxa"/>
            <w:left w:w="108" w:type="dxa"/>
            <w:bottom w:w="0" w:type="dxa"/>
            <w:right w:w="108" w:type="dxa"/>
          </w:tblCellMar>
        </w:tblPrEx>
        <w:trPr>
          <w:trHeight w:val="335" w:hRule="atLeast"/>
        </w:trPr>
        <w:tc>
          <w:tcPr>
            <w:tcW w:w="1995" w:type="dxa"/>
            <w:vMerge w:val="continue"/>
            <w:tcBorders>
              <w:top w:val="nil"/>
              <w:left w:val="single" w:color="auto" w:sz="4" w:space="0"/>
              <w:bottom w:val="single" w:color="auto" w:sz="4" w:space="0"/>
              <w:right w:val="single" w:color="auto" w:sz="4" w:space="0"/>
            </w:tcBorders>
            <w:vAlign w:val="center"/>
          </w:tcPr>
          <w:p w14:paraId="783282F4">
            <w:pPr>
              <w:widowControl/>
              <w:jc w:val="left"/>
              <w:rPr>
                <w:rFonts w:ascii="仿宋" w:hAnsi="仿宋" w:eastAsia="仿宋" w:cs="仿宋"/>
                <w:b/>
                <w:bCs/>
                <w:color w:val="auto"/>
                <w:kern w:val="0"/>
                <w:sz w:val="18"/>
                <w:szCs w:val="18"/>
                <w:highlight w:val="none"/>
              </w:rPr>
            </w:pPr>
          </w:p>
        </w:tc>
        <w:tc>
          <w:tcPr>
            <w:tcW w:w="1622" w:type="dxa"/>
            <w:tcBorders>
              <w:top w:val="nil"/>
              <w:left w:val="nil"/>
              <w:bottom w:val="single" w:color="auto" w:sz="4" w:space="0"/>
              <w:right w:val="single" w:color="auto" w:sz="4" w:space="0"/>
            </w:tcBorders>
            <w:vAlign w:val="center"/>
          </w:tcPr>
          <w:p w14:paraId="44D6C4A0">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254" w:type="dxa"/>
            <w:tcBorders>
              <w:top w:val="nil"/>
              <w:left w:val="nil"/>
              <w:bottom w:val="single" w:color="auto" w:sz="4" w:space="0"/>
              <w:right w:val="single" w:color="auto" w:sz="4" w:space="0"/>
            </w:tcBorders>
            <w:vAlign w:val="center"/>
          </w:tcPr>
          <w:p w14:paraId="7E41FCDF">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15" w:type="dxa"/>
            <w:tcBorders>
              <w:top w:val="nil"/>
              <w:left w:val="nil"/>
              <w:bottom w:val="single" w:color="auto" w:sz="4" w:space="0"/>
              <w:right w:val="single" w:color="auto" w:sz="4" w:space="0"/>
            </w:tcBorders>
            <w:vAlign w:val="center"/>
          </w:tcPr>
          <w:p w14:paraId="448EF38B">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1000≤Y＜30000</w:t>
            </w:r>
          </w:p>
        </w:tc>
        <w:tc>
          <w:tcPr>
            <w:tcW w:w="1687" w:type="dxa"/>
            <w:tcBorders>
              <w:top w:val="nil"/>
              <w:left w:val="nil"/>
              <w:bottom w:val="single" w:color="auto" w:sz="4" w:space="0"/>
              <w:right w:val="single" w:color="auto" w:sz="4" w:space="0"/>
            </w:tcBorders>
            <w:vAlign w:val="center"/>
          </w:tcPr>
          <w:p w14:paraId="3B21F124">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085" w:type="dxa"/>
            <w:tcBorders>
              <w:top w:val="nil"/>
              <w:left w:val="nil"/>
              <w:bottom w:val="single" w:color="auto" w:sz="4" w:space="0"/>
              <w:right w:val="single" w:color="auto" w:sz="4" w:space="0"/>
            </w:tcBorders>
            <w:vAlign w:val="center"/>
          </w:tcPr>
          <w:p w14:paraId="202CBD29">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4EEC717A">
        <w:tblPrEx>
          <w:tblCellMar>
            <w:top w:w="0" w:type="dxa"/>
            <w:left w:w="108" w:type="dxa"/>
            <w:bottom w:w="0" w:type="dxa"/>
            <w:right w:w="108" w:type="dxa"/>
          </w:tblCellMar>
        </w:tblPrEx>
        <w:trPr>
          <w:trHeight w:val="335" w:hRule="atLeast"/>
        </w:trPr>
        <w:tc>
          <w:tcPr>
            <w:tcW w:w="1995" w:type="dxa"/>
            <w:vMerge w:val="restart"/>
            <w:tcBorders>
              <w:top w:val="nil"/>
              <w:left w:val="single" w:color="auto" w:sz="4" w:space="0"/>
              <w:bottom w:val="single" w:color="auto" w:sz="4" w:space="0"/>
              <w:right w:val="single" w:color="auto" w:sz="4" w:space="0"/>
            </w:tcBorders>
            <w:vAlign w:val="bottom"/>
          </w:tcPr>
          <w:p w14:paraId="0AB2AAEE">
            <w:pPr>
              <w:widowControl/>
              <w:jc w:val="center"/>
              <w:rPr>
                <w:rFonts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邮政业</w:t>
            </w:r>
          </w:p>
        </w:tc>
        <w:tc>
          <w:tcPr>
            <w:tcW w:w="1622" w:type="dxa"/>
            <w:tcBorders>
              <w:top w:val="nil"/>
              <w:left w:val="nil"/>
              <w:bottom w:val="single" w:color="auto" w:sz="4" w:space="0"/>
              <w:right w:val="single" w:color="auto" w:sz="4" w:space="0"/>
            </w:tcBorders>
            <w:vAlign w:val="center"/>
          </w:tcPr>
          <w:p w14:paraId="03541740">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254" w:type="dxa"/>
            <w:tcBorders>
              <w:top w:val="nil"/>
              <w:left w:val="nil"/>
              <w:bottom w:val="single" w:color="auto" w:sz="4" w:space="0"/>
              <w:right w:val="single" w:color="auto" w:sz="4" w:space="0"/>
            </w:tcBorders>
            <w:vAlign w:val="center"/>
          </w:tcPr>
          <w:p w14:paraId="4C0C9ADC">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15" w:type="dxa"/>
            <w:tcBorders>
              <w:top w:val="nil"/>
              <w:left w:val="nil"/>
              <w:bottom w:val="single" w:color="auto" w:sz="4" w:space="0"/>
              <w:right w:val="single" w:color="auto" w:sz="4" w:space="0"/>
            </w:tcBorders>
            <w:vAlign w:val="center"/>
          </w:tcPr>
          <w:p w14:paraId="1A9DD500">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87" w:type="dxa"/>
            <w:tcBorders>
              <w:top w:val="nil"/>
              <w:left w:val="nil"/>
              <w:bottom w:val="single" w:color="auto" w:sz="4" w:space="0"/>
              <w:right w:val="single" w:color="auto" w:sz="4" w:space="0"/>
            </w:tcBorders>
            <w:vAlign w:val="center"/>
          </w:tcPr>
          <w:p w14:paraId="34011AC5">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085" w:type="dxa"/>
            <w:tcBorders>
              <w:top w:val="nil"/>
              <w:left w:val="nil"/>
              <w:bottom w:val="single" w:color="auto" w:sz="4" w:space="0"/>
              <w:right w:val="single" w:color="auto" w:sz="4" w:space="0"/>
            </w:tcBorders>
            <w:vAlign w:val="center"/>
          </w:tcPr>
          <w:p w14:paraId="296CD321">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5689E67A">
        <w:tblPrEx>
          <w:tblCellMar>
            <w:top w:w="0" w:type="dxa"/>
            <w:left w:w="108" w:type="dxa"/>
            <w:bottom w:w="0" w:type="dxa"/>
            <w:right w:w="108" w:type="dxa"/>
          </w:tblCellMar>
        </w:tblPrEx>
        <w:trPr>
          <w:trHeight w:val="335" w:hRule="atLeast"/>
        </w:trPr>
        <w:tc>
          <w:tcPr>
            <w:tcW w:w="1995" w:type="dxa"/>
            <w:vMerge w:val="continue"/>
            <w:tcBorders>
              <w:top w:val="nil"/>
              <w:left w:val="single" w:color="auto" w:sz="4" w:space="0"/>
              <w:bottom w:val="single" w:color="auto" w:sz="4" w:space="0"/>
              <w:right w:val="single" w:color="auto" w:sz="4" w:space="0"/>
            </w:tcBorders>
            <w:vAlign w:val="center"/>
          </w:tcPr>
          <w:p w14:paraId="5FCA4304">
            <w:pPr>
              <w:widowControl/>
              <w:jc w:val="left"/>
              <w:rPr>
                <w:rFonts w:ascii="仿宋" w:hAnsi="仿宋" w:eastAsia="仿宋" w:cs="仿宋"/>
                <w:b/>
                <w:bCs/>
                <w:color w:val="auto"/>
                <w:kern w:val="0"/>
                <w:sz w:val="18"/>
                <w:szCs w:val="18"/>
                <w:highlight w:val="none"/>
              </w:rPr>
            </w:pPr>
          </w:p>
        </w:tc>
        <w:tc>
          <w:tcPr>
            <w:tcW w:w="1622" w:type="dxa"/>
            <w:tcBorders>
              <w:top w:val="nil"/>
              <w:left w:val="nil"/>
              <w:bottom w:val="single" w:color="auto" w:sz="4" w:space="0"/>
              <w:right w:val="single" w:color="auto" w:sz="4" w:space="0"/>
            </w:tcBorders>
            <w:vAlign w:val="center"/>
          </w:tcPr>
          <w:p w14:paraId="6D79C74B">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254" w:type="dxa"/>
            <w:tcBorders>
              <w:top w:val="nil"/>
              <w:left w:val="nil"/>
              <w:bottom w:val="single" w:color="auto" w:sz="4" w:space="0"/>
              <w:right w:val="single" w:color="auto" w:sz="4" w:space="0"/>
            </w:tcBorders>
            <w:vAlign w:val="center"/>
          </w:tcPr>
          <w:p w14:paraId="73DF7617">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15" w:type="dxa"/>
            <w:tcBorders>
              <w:top w:val="nil"/>
              <w:left w:val="nil"/>
              <w:bottom w:val="single" w:color="auto" w:sz="4" w:space="0"/>
              <w:right w:val="single" w:color="auto" w:sz="4" w:space="0"/>
            </w:tcBorders>
            <w:vAlign w:val="center"/>
          </w:tcPr>
          <w:p w14:paraId="5EC23548">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2000≤Y＜30000</w:t>
            </w:r>
          </w:p>
        </w:tc>
        <w:tc>
          <w:tcPr>
            <w:tcW w:w="1687" w:type="dxa"/>
            <w:tcBorders>
              <w:top w:val="nil"/>
              <w:left w:val="nil"/>
              <w:bottom w:val="single" w:color="auto" w:sz="4" w:space="0"/>
              <w:right w:val="single" w:color="auto" w:sz="4" w:space="0"/>
            </w:tcBorders>
            <w:vAlign w:val="center"/>
          </w:tcPr>
          <w:p w14:paraId="5B82FEC5">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085" w:type="dxa"/>
            <w:tcBorders>
              <w:top w:val="nil"/>
              <w:left w:val="nil"/>
              <w:bottom w:val="single" w:color="auto" w:sz="4" w:space="0"/>
              <w:right w:val="single" w:color="auto" w:sz="4" w:space="0"/>
            </w:tcBorders>
            <w:vAlign w:val="center"/>
          </w:tcPr>
          <w:p w14:paraId="4B74AFD2">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2827F136">
        <w:tblPrEx>
          <w:tblCellMar>
            <w:top w:w="0" w:type="dxa"/>
            <w:left w:w="108" w:type="dxa"/>
            <w:bottom w:w="0" w:type="dxa"/>
            <w:right w:w="108" w:type="dxa"/>
          </w:tblCellMar>
        </w:tblPrEx>
        <w:trPr>
          <w:trHeight w:val="335" w:hRule="atLeast"/>
        </w:trPr>
        <w:tc>
          <w:tcPr>
            <w:tcW w:w="1995" w:type="dxa"/>
            <w:vMerge w:val="restart"/>
            <w:tcBorders>
              <w:top w:val="nil"/>
              <w:left w:val="single" w:color="auto" w:sz="4" w:space="0"/>
              <w:bottom w:val="single" w:color="auto" w:sz="4" w:space="0"/>
              <w:right w:val="single" w:color="auto" w:sz="4" w:space="0"/>
            </w:tcBorders>
            <w:vAlign w:val="bottom"/>
          </w:tcPr>
          <w:p w14:paraId="035BB256">
            <w:pPr>
              <w:widowControl/>
              <w:jc w:val="center"/>
              <w:rPr>
                <w:rFonts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住宿业</w:t>
            </w:r>
          </w:p>
        </w:tc>
        <w:tc>
          <w:tcPr>
            <w:tcW w:w="1622" w:type="dxa"/>
            <w:tcBorders>
              <w:top w:val="nil"/>
              <w:left w:val="nil"/>
              <w:bottom w:val="single" w:color="auto" w:sz="4" w:space="0"/>
              <w:right w:val="single" w:color="auto" w:sz="4" w:space="0"/>
            </w:tcBorders>
            <w:vAlign w:val="center"/>
          </w:tcPr>
          <w:p w14:paraId="6FD542D0">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254" w:type="dxa"/>
            <w:tcBorders>
              <w:top w:val="nil"/>
              <w:left w:val="nil"/>
              <w:bottom w:val="single" w:color="auto" w:sz="4" w:space="0"/>
              <w:right w:val="single" w:color="auto" w:sz="4" w:space="0"/>
            </w:tcBorders>
            <w:vAlign w:val="center"/>
          </w:tcPr>
          <w:p w14:paraId="637120E5">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15" w:type="dxa"/>
            <w:tcBorders>
              <w:top w:val="nil"/>
              <w:left w:val="nil"/>
              <w:bottom w:val="single" w:color="auto" w:sz="4" w:space="0"/>
              <w:right w:val="single" w:color="auto" w:sz="4" w:space="0"/>
            </w:tcBorders>
            <w:vAlign w:val="center"/>
          </w:tcPr>
          <w:p w14:paraId="0607CA6F">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87" w:type="dxa"/>
            <w:tcBorders>
              <w:top w:val="nil"/>
              <w:left w:val="nil"/>
              <w:bottom w:val="single" w:color="auto" w:sz="4" w:space="0"/>
              <w:right w:val="single" w:color="auto" w:sz="4" w:space="0"/>
            </w:tcBorders>
            <w:vAlign w:val="center"/>
          </w:tcPr>
          <w:p w14:paraId="73EDC49C">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85" w:type="dxa"/>
            <w:tcBorders>
              <w:top w:val="nil"/>
              <w:left w:val="nil"/>
              <w:bottom w:val="single" w:color="auto" w:sz="4" w:space="0"/>
              <w:right w:val="single" w:color="auto" w:sz="4" w:space="0"/>
            </w:tcBorders>
            <w:vAlign w:val="center"/>
          </w:tcPr>
          <w:p w14:paraId="039C8F09">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11C30DFF">
        <w:tblPrEx>
          <w:tblCellMar>
            <w:top w:w="0" w:type="dxa"/>
            <w:left w:w="108" w:type="dxa"/>
            <w:bottom w:w="0" w:type="dxa"/>
            <w:right w:w="108" w:type="dxa"/>
          </w:tblCellMar>
        </w:tblPrEx>
        <w:trPr>
          <w:trHeight w:val="335" w:hRule="atLeast"/>
        </w:trPr>
        <w:tc>
          <w:tcPr>
            <w:tcW w:w="1995" w:type="dxa"/>
            <w:vMerge w:val="continue"/>
            <w:tcBorders>
              <w:top w:val="nil"/>
              <w:left w:val="single" w:color="auto" w:sz="4" w:space="0"/>
              <w:bottom w:val="single" w:color="auto" w:sz="4" w:space="0"/>
              <w:right w:val="single" w:color="auto" w:sz="4" w:space="0"/>
            </w:tcBorders>
            <w:vAlign w:val="center"/>
          </w:tcPr>
          <w:p w14:paraId="1F5D6D26">
            <w:pPr>
              <w:widowControl/>
              <w:jc w:val="left"/>
              <w:rPr>
                <w:rFonts w:ascii="仿宋" w:hAnsi="仿宋" w:eastAsia="仿宋" w:cs="仿宋"/>
                <w:b/>
                <w:bCs/>
                <w:color w:val="auto"/>
                <w:kern w:val="0"/>
                <w:sz w:val="18"/>
                <w:szCs w:val="18"/>
                <w:highlight w:val="none"/>
              </w:rPr>
            </w:pPr>
          </w:p>
        </w:tc>
        <w:tc>
          <w:tcPr>
            <w:tcW w:w="1622" w:type="dxa"/>
            <w:tcBorders>
              <w:top w:val="nil"/>
              <w:left w:val="nil"/>
              <w:bottom w:val="single" w:color="auto" w:sz="4" w:space="0"/>
              <w:right w:val="single" w:color="auto" w:sz="4" w:space="0"/>
            </w:tcBorders>
            <w:vAlign w:val="center"/>
          </w:tcPr>
          <w:p w14:paraId="5E311E0C">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254" w:type="dxa"/>
            <w:tcBorders>
              <w:top w:val="nil"/>
              <w:left w:val="nil"/>
              <w:bottom w:val="single" w:color="auto" w:sz="4" w:space="0"/>
              <w:right w:val="single" w:color="auto" w:sz="4" w:space="0"/>
            </w:tcBorders>
            <w:vAlign w:val="center"/>
          </w:tcPr>
          <w:p w14:paraId="1D5AAAFF">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15" w:type="dxa"/>
            <w:tcBorders>
              <w:top w:val="nil"/>
              <w:left w:val="nil"/>
              <w:bottom w:val="single" w:color="auto" w:sz="4" w:space="0"/>
              <w:right w:val="single" w:color="auto" w:sz="4" w:space="0"/>
            </w:tcBorders>
            <w:vAlign w:val="center"/>
          </w:tcPr>
          <w:p w14:paraId="3A5EBD0C">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687" w:type="dxa"/>
            <w:tcBorders>
              <w:top w:val="nil"/>
              <w:left w:val="nil"/>
              <w:bottom w:val="single" w:color="auto" w:sz="4" w:space="0"/>
              <w:right w:val="single" w:color="auto" w:sz="4" w:space="0"/>
            </w:tcBorders>
            <w:vAlign w:val="center"/>
          </w:tcPr>
          <w:p w14:paraId="5F8748FA">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085" w:type="dxa"/>
            <w:tcBorders>
              <w:top w:val="nil"/>
              <w:left w:val="nil"/>
              <w:bottom w:val="single" w:color="auto" w:sz="4" w:space="0"/>
              <w:right w:val="single" w:color="auto" w:sz="4" w:space="0"/>
            </w:tcBorders>
            <w:vAlign w:val="center"/>
          </w:tcPr>
          <w:p w14:paraId="640793EE">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152E9543">
        <w:tblPrEx>
          <w:tblCellMar>
            <w:top w:w="0" w:type="dxa"/>
            <w:left w:w="108" w:type="dxa"/>
            <w:bottom w:w="0" w:type="dxa"/>
            <w:right w:w="108" w:type="dxa"/>
          </w:tblCellMar>
        </w:tblPrEx>
        <w:trPr>
          <w:trHeight w:val="335" w:hRule="atLeast"/>
        </w:trPr>
        <w:tc>
          <w:tcPr>
            <w:tcW w:w="1995" w:type="dxa"/>
            <w:vMerge w:val="restart"/>
            <w:tcBorders>
              <w:top w:val="nil"/>
              <w:left w:val="single" w:color="auto" w:sz="4" w:space="0"/>
              <w:bottom w:val="single" w:color="auto" w:sz="4" w:space="0"/>
              <w:right w:val="single" w:color="auto" w:sz="4" w:space="0"/>
            </w:tcBorders>
            <w:vAlign w:val="bottom"/>
          </w:tcPr>
          <w:p w14:paraId="02FC9EC5">
            <w:pPr>
              <w:widowControl/>
              <w:jc w:val="center"/>
              <w:rPr>
                <w:rFonts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餐饮业</w:t>
            </w:r>
          </w:p>
        </w:tc>
        <w:tc>
          <w:tcPr>
            <w:tcW w:w="1622" w:type="dxa"/>
            <w:tcBorders>
              <w:top w:val="nil"/>
              <w:left w:val="nil"/>
              <w:bottom w:val="single" w:color="auto" w:sz="4" w:space="0"/>
              <w:right w:val="single" w:color="auto" w:sz="4" w:space="0"/>
            </w:tcBorders>
            <w:vAlign w:val="center"/>
          </w:tcPr>
          <w:p w14:paraId="3063A8B6">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254" w:type="dxa"/>
            <w:tcBorders>
              <w:top w:val="nil"/>
              <w:left w:val="nil"/>
              <w:bottom w:val="single" w:color="auto" w:sz="4" w:space="0"/>
              <w:right w:val="single" w:color="auto" w:sz="4" w:space="0"/>
            </w:tcBorders>
            <w:vAlign w:val="center"/>
          </w:tcPr>
          <w:p w14:paraId="7A4C09FC">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15" w:type="dxa"/>
            <w:tcBorders>
              <w:top w:val="nil"/>
              <w:left w:val="nil"/>
              <w:bottom w:val="single" w:color="auto" w:sz="4" w:space="0"/>
              <w:right w:val="single" w:color="auto" w:sz="4" w:space="0"/>
            </w:tcBorders>
            <w:vAlign w:val="center"/>
          </w:tcPr>
          <w:p w14:paraId="5227FE69">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87" w:type="dxa"/>
            <w:tcBorders>
              <w:top w:val="nil"/>
              <w:left w:val="nil"/>
              <w:bottom w:val="single" w:color="auto" w:sz="4" w:space="0"/>
              <w:right w:val="single" w:color="auto" w:sz="4" w:space="0"/>
            </w:tcBorders>
            <w:vAlign w:val="center"/>
          </w:tcPr>
          <w:p w14:paraId="6357D158">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85" w:type="dxa"/>
            <w:tcBorders>
              <w:top w:val="nil"/>
              <w:left w:val="nil"/>
              <w:bottom w:val="single" w:color="auto" w:sz="4" w:space="0"/>
              <w:right w:val="single" w:color="auto" w:sz="4" w:space="0"/>
            </w:tcBorders>
            <w:vAlign w:val="center"/>
          </w:tcPr>
          <w:p w14:paraId="3B06F695">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038AF338">
        <w:tblPrEx>
          <w:tblCellMar>
            <w:top w:w="0" w:type="dxa"/>
            <w:left w:w="108" w:type="dxa"/>
            <w:bottom w:w="0" w:type="dxa"/>
            <w:right w:w="108" w:type="dxa"/>
          </w:tblCellMar>
        </w:tblPrEx>
        <w:trPr>
          <w:trHeight w:val="335" w:hRule="atLeast"/>
        </w:trPr>
        <w:tc>
          <w:tcPr>
            <w:tcW w:w="1995" w:type="dxa"/>
            <w:vMerge w:val="continue"/>
            <w:tcBorders>
              <w:top w:val="nil"/>
              <w:left w:val="single" w:color="auto" w:sz="4" w:space="0"/>
              <w:bottom w:val="single" w:color="auto" w:sz="4" w:space="0"/>
              <w:right w:val="single" w:color="auto" w:sz="4" w:space="0"/>
            </w:tcBorders>
            <w:vAlign w:val="center"/>
          </w:tcPr>
          <w:p w14:paraId="3720EABB">
            <w:pPr>
              <w:widowControl/>
              <w:jc w:val="left"/>
              <w:rPr>
                <w:rFonts w:ascii="仿宋" w:hAnsi="仿宋" w:eastAsia="仿宋" w:cs="仿宋"/>
                <w:b/>
                <w:bCs/>
                <w:color w:val="auto"/>
                <w:kern w:val="0"/>
                <w:sz w:val="18"/>
                <w:szCs w:val="18"/>
                <w:highlight w:val="none"/>
              </w:rPr>
            </w:pPr>
          </w:p>
        </w:tc>
        <w:tc>
          <w:tcPr>
            <w:tcW w:w="1622" w:type="dxa"/>
            <w:tcBorders>
              <w:top w:val="nil"/>
              <w:left w:val="nil"/>
              <w:bottom w:val="single" w:color="auto" w:sz="4" w:space="0"/>
              <w:right w:val="single" w:color="auto" w:sz="4" w:space="0"/>
            </w:tcBorders>
            <w:vAlign w:val="center"/>
          </w:tcPr>
          <w:p w14:paraId="04D9D50A">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254" w:type="dxa"/>
            <w:tcBorders>
              <w:top w:val="nil"/>
              <w:left w:val="nil"/>
              <w:bottom w:val="single" w:color="auto" w:sz="4" w:space="0"/>
              <w:right w:val="single" w:color="auto" w:sz="4" w:space="0"/>
            </w:tcBorders>
            <w:vAlign w:val="center"/>
          </w:tcPr>
          <w:p w14:paraId="33CE9097">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15" w:type="dxa"/>
            <w:tcBorders>
              <w:top w:val="nil"/>
              <w:left w:val="nil"/>
              <w:bottom w:val="single" w:color="auto" w:sz="4" w:space="0"/>
              <w:right w:val="single" w:color="auto" w:sz="4" w:space="0"/>
            </w:tcBorders>
            <w:vAlign w:val="center"/>
          </w:tcPr>
          <w:p w14:paraId="168DADED">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687" w:type="dxa"/>
            <w:tcBorders>
              <w:top w:val="nil"/>
              <w:left w:val="nil"/>
              <w:bottom w:val="single" w:color="auto" w:sz="4" w:space="0"/>
              <w:right w:val="single" w:color="auto" w:sz="4" w:space="0"/>
            </w:tcBorders>
            <w:vAlign w:val="center"/>
          </w:tcPr>
          <w:p w14:paraId="545611FF">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085" w:type="dxa"/>
            <w:tcBorders>
              <w:top w:val="nil"/>
              <w:left w:val="nil"/>
              <w:bottom w:val="single" w:color="auto" w:sz="4" w:space="0"/>
              <w:right w:val="single" w:color="auto" w:sz="4" w:space="0"/>
            </w:tcBorders>
            <w:vAlign w:val="center"/>
          </w:tcPr>
          <w:p w14:paraId="04FD469F">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7EDCE17C">
        <w:tblPrEx>
          <w:tblCellMar>
            <w:top w:w="0" w:type="dxa"/>
            <w:left w:w="108" w:type="dxa"/>
            <w:bottom w:w="0" w:type="dxa"/>
            <w:right w:w="108" w:type="dxa"/>
          </w:tblCellMar>
        </w:tblPrEx>
        <w:trPr>
          <w:trHeight w:val="335" w:hRule="atLeast"/>
        </w:trPr>
        <w:tc>
          <w:tcPr>
            <w:tcW w:w="1995" w:type="dxa"/>
            <w:vMerge w:val="restart"/>
            <w:tcBorders>
              <w:top w:val="nil"/>
              <w:left w:val="single" w:color="auto" w:sz="4" w:space="0"/>
              <w:bottom w:val="single" w:color="auto" w:sz="4" w:space="0"/>
              <w:right w:val="single" w:color="auto" w:sz="4" w:space="0"/>
            </w:tcBorders>
            <w:vAlign w:val="bottom"/>
          </w:tcPr>
          <w:p w14:paraId="04A15A54">
            <w:pPr>
              <w:widowControl/>
              <w:jc w:val="center"/>
              <w:rPr>
                <w:rFonts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信息传输业</w:t>
            </w:r>
          </w:p>
        </w:tc>
        <w:tc>
          <w:tcPr>
            <w:tcW w:w="1622" w:type="dxa"/>
            <w:tcBorders>
              <w:top w:val="nil"/>
              <w:left w:val="nil"/>
              <w:bottom w:val="single" w:color="auto" w:sz="4" w:space="0"/>
              <w:right w:val="single" w:color="auto" w:sz="4" w:space="0"/>
            </w:tcBorders>
            <w:vAlign w:val="center"/>
          </w:tcPr>
          <w:p w14:paraId="3D12F7B9">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254" w:type="dxa"/>
            <w:tcBorders>
              <w:top w:val="nil"/>
              <w:left w:val="nil"/>
              <w:bottom w:val="single" w:color="auto" w:sz="4" w:space="0"/>
              <w:right w:val="single" w:color="auto" w:sz="4" w:space="0"/>
            </w:tcBorders>
            <w:vAlign w:val="center"/>
          </w:tcPr>
          <w:p w14:paraId="1BB63852">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15" w:type="dxa"/>
            <w:tcBorders>
              <w:top w:val="nil"/>
              <w:left w:val="nil"/>
              <w:bottom w:val="single" w:color="auto" w:sz="4" w:space="0"/>
              <w:right w:val="single" w:color="auto" w:sz="4" w:space="0"/>
            </w:tcBorders>
            <w:vAlign w:val="center"/>
          </w:tcPr>
          <w:p w14:paraId="389B5989">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100≤X＜2000</w:t>
            </w:r>
          </w:p>
        </w:tc>
        <w:tc>
          <w:tcPr>
            <w:tcW w:w="1687" w:type="dxa"/>
            <w:tcBorders>
              <w:top w:val="nil"/>
              <w:left w:val="nil"/>
              <w:bottom w:val="single" w:color="auto" w:sz="4" w:space="0"/>
              <w:right w:val="single" w:color="auto" w:sz="4" w:space="0"/>
            </w:tcBorders>
            <w:vAlign w:val="center"/>
          </w:tcPr>
          <w:p w14:paraId="3AC6BC01">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85" w:type="dxa"/>
            <w:tcBorders>
              <w:top w:val="nil"/>
              <w:left w:val="nil"/>
              <w:bottom w:val="single" w:color="auto" w:sz="4" w:space="0"/>
              <w:right w:val="single" w:color="auto" w:sz="4" w:space="0"/>
            </w:tcBorders>
            <w:vAlign w:val="center"/>
          </w:tcPr>
          <w:p w14:paraId="75274708">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47337B82">
        <w:tblPrEx>
          <w:tblCellMar>
            <w:top w:w="0" w:type="dxa"/>
            <w:left w:w="108" w:type="dxa"/>
            <w:bottom w:w="0" w:type="dxa"/>
            <w:right w:w="108" w:type="dxa"/>
          </w:tblCellMar>
        </w:tblPrEx>
        <w:trPr>
          <w:trHeight w:val="335" w:hRule="atLeast"/>
        </w:trPr>
        <w:tc>
          <w:tcPr>
            <w:tcW w:w="1995" w:type="dxa"/>
            <w:vMerge w:val="continue"/>
            <w:tcBorders>
              <w:top w:val="nil"/>
              <w:left w:val="single" w:color="auto" w:sz="4" w:space="0"/>
              <w:bottom w:val="single" w:color="auto" w:sz="4" w:space="0"/>
              <w:right w:val="single" w:color="auto" w:sz="4" w:space="0"/>
            </w:tcBorders>
            <w:vAlign w:val="center"/>
          </w:tcPr>
          <w:p w14:paraId="7AC33B51">
            <w:pPr>
              <w:widowControl/>
              <w:jc w:val="left"/>
              <w:rPr>
                <w:rFonts w:ascii="仿宋" w:hAnsi="仿宋" w:eastAsia="仿宋" w:cs="仿宋"/>
                <w:b/>
                <w:bCs/>
                <w:color w:val="auto"/>
                <w:kern w:val="0"/>
                <w:sz w:val="18"/>
                <w:szCs w:val="18"/>
                <w:highlight w:val="none"/>
              </w:rPr>
            </w:pPr>
          </w:p>
        </w:tc>
        <w:tc>
          <w:tcPr>
            <w:tcW w:w="1622" w:type="dxa"/>
            <w:tcBorders>
              <w:top w:val="nil"/>
              <w:left w:val="nil"/>
              <w:bottom w:val="single" w:color="auto" w:sz="4" w:space="0"/>
              <w:right w:val="single" w:color="auto" w:sz="4" w:space="0"/>
            </w:tcBorders>
            <w:vAlign w:val="center"/>
          </w:tcPr>
          <w:p w14:paraId="2EC79A92">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254" w:type="dxa"/>
            <w:tcBorders>
              <w:top w:val="nil"/>
              <w:left w:val="nil"/>
              <w:bottom w:val="single" w:color="auto" w:sz="4" w:space="0"/>
              <w:right w:val="single" w:color="auto" w:sz="4" w:space="0"/>
            </w:tcBorders>
            <w:vAlign w:val="center"/>
          </w:tcPr>
          <w:p w14:paraId="3A81AE87">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15" w:type="dxa"/>
            <w:tcBorders>
              <w:top w:val="nil"/>
              <w:left w:val="nil"/>
              <w:bottom w:val="single" w:color="auto" w:sz="4" w:space="0"/>
              <w:right w:val="single" w:color="auto" w:sz="4" w:space="0"/>
            </w:tcBorders>
            <w:vAlign w:val="center"/>
          </w:tcPr>
          <w:p w14:paraId="1C114291">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1000≤Y＜100000</w:t>
            </w:r>
          </w:p>
        </w:tc>
        <w:tc>
          <w:tcPr>
            <w:tcW w:w="1687" w:type="dxa"/>
            <w:tcBorders>
              <w:top w:val="nil"/>
              <w:left w:val="nil"/>
              <w:bottom w:val="single" w:color="auto" w:sz="4" w:space="0"/>
              <w:right w:val="single" w:color="auto" w:sz="4" w:space="0"/>
            </w:tcBorders>
            <w:vAlign w:val="center"/>
          </w:tcPr>
          <w:p w14:paraId="5D338021">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085" w:type="dxa"/>
            <w:tcBorders>
              <w:top w:val="nil"/>
              <w:left w:val="nil"/>
              <w:bottom w:val="single" w:color="auto" w:sz="4" w:space="0"/>
              <w:right w:val="single" w:color="auto" w:sz="4" w:space="0"/>
            </w:tcBorders>
            <w:vAlign w:val="center"/>
          </w:tcPr>
          <w:p w14:paraId="1BC74875">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55549042">
        <w:tblPrEx>
          <w:tblCellMar>
            <w:top w:w="0" w:type="dxa"/>
            <w:left w:w="108" w:type="dxa"/>
            <w:bottom w:w="0" w:type="dxa"/>
            <w:right w:w="108" w:type="dxa"/>
          </w:tblCellMar>
        </w:tblPrEx>
        <w:trPr>
          <w:trHeight w:val="335" w:hRule="atLeast"/>
        </w:trPr>
        <w:tc>
          <w:tcPr>
            <w:tcW w:w="1995" w:type="dxa"/>
            <w:vMerge w:val="restart"/>
            <w:tcBorders>
              <w:top w:val="nil"/>
              <w:left w:val="single" w:color="auto" w:sz="4" w:space="0"/>
              <w:bottom w:val="single" w:color="auto" w:sz="4" w:space="0"/>
              <w:right w:val="single" w:color="auto" w:sz="4" w:space="0"/>
            </w:tcBorders>
            <w:vAlign w:val="bottom"/>
          </w:tcPr>
          <w:p w14:paraId="1D15FD40">
            <w:pPr>
              <w:widowControl/>
              <w:jc w:val="center"/>
              <w:rPr>
                <w:rFonts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软件和信息技术服务业</w:t>
            </w:r>
          </w:p>
        </w:tc>
        <w:tc>
          <w:tcPr>
            <w:tcW w:w="1622" w:type="dxa"/>
            <w:tcBorders>
              <w:top w:val="nil"/>
              <w:left w:val="nil"/>
              <w:bottom w:val="single" w:color="auto" w:sz="4" w:space="0"/>
              <w:right w:val="single" w:color="auto" w:sz="4" w:space="0"/>
            </w:tcBorders>
            <w:vAlign w:val="center"/>
          </w:tcPr>
          <w:p w14:paraId="6FA13D9D">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254" w:type="dxa"/>
            <w:tcBorders>
              <w:top w:val="nil"/>
              <w:left w:val="nil"/>
              <w:bottom w:val="single" w:color="auto" w:sz="4" w:space="0"/>
              <w:right w:val="single" w:color="auto" w:sz="4" w:space="0"/>
            </w:tcBorders>
            <w:vAlign w:val="center"/>
          </w:tcPr>
          <w:p w14:paraId="17C5A72D">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15" w:type="dxa"/>
            <w:tcBorders>
              <w:top w:val="nil"/>
              <w:left w:val="nil"/>
              <w:bottom w:val="single" w:color="auto" w:sz="4" w:space="0"/>
              <w:right w:val="single" w:color="auto" w:sz="4" w:space="0"/>
            </w:tcBorders>
            <w:vAlign w:val="center"/>
          </w:tcPr>
          <w:p w14:paraId="14AB15A2">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87" w:type="dxa"/>
            <w:tcBorders>
              <w:top w:val="nil"/>
              <w:left w:val="nil"/>
              <w:bottom w:val="single" w:color="auto" w:sz="4" w:space="0"/>
              <w:right w:val="single" w:color="auto" w:sz="4" w:space="0"/>
            </w:tcBorders>
            <w:vAlign w:val="center"/>
          </w:tcPr>
          <w:p w14:paraId="0269A8BE">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85" w:type="dxa"/>
            <w:tcBorders>
              <w:top w:val="nil"/>
              <w:left w:val="nil"/>
              <w:bottom w:val="single" w:color="auto" w:sz="4" w:space="0"/>
              <w:right w:val="single" w:color="auto" w:sz="4" w:space="0"/>
            </w:tcBorders>
            <w:vAlign w:val="center"/>
          </w:tcPr>
          <w:p w14:paraId="2A7B400A">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0A5DDF1A">
        <w:tblPrEx>
          <w:tblCellMar>
            <w:top w:w="0" w:type="dxa"/>
            <w:left w:w="108" w:type="dxa"/>
            <w:bottom w:w="0" w:type="dxa"/>
            <w:right w:w="108" w:type="dxa"/>
          </w:tblCellMar>
        </w:tblPrEx>
        <w:trPr>
          <w:trHeight w:val="335" w:hRule="atLeast"/>
        </w:trPr>
        <w:tc>
          <w:tcPr>
            <w:tcW w:w="1995" w:type="dxa"/>
            <w:vMerge w:val="continue"/>
            <w:tcBorders>
              <w:top w:val="nil"/>
              <w:left w:val="single" w:color="auto" w:sz="4" w:space="0"/>
              <w:bottom w:val="single" w:color="auto" w:sz="4" w:space="0"/>
              <w:right w:val="single" w:color="auto" w:sz="4" w:space="0"/>
            </w:tcBorders>
            <w:vAlign w:val="center"/>
          </w:tcPr>
          <w:p w14:paraId="282F0F8A">
            <w:pPr>
              <w:widowControl/>
              <w:jc w:val="left"/>
              <w:rPr>
                <w:rFonts w:ascii="仿宋" w:hAnsi="仿宋" w:eastAsia="仿宋" w:cs="仿宋"/>
                <w:b/>
                <w:bCs/>
                <w:color w:val="auto"/>
                <w:kern w:val="0"/>
                <w:sz w:val="18"/>
                <w:szCs w:val="18"/>
                <w:highlight w:val="none"/>
              </w:rPr>
            </w:pPr>
          </w:p>
        </w:tc>
        <w:tc>
          <w:tcPr>
            <w:tcW w:w="1622" w:type="dxa"/>
            <w:tcBorders>
              <w:top w:val="nil"/>
              <w:left w:val="nil"/>
              <w:bottom w:val="single" w:color="auto" w:sz="4" w:space="0"/>
              <w:right w:val="single" w:color="auto" w:sz="4" w:space="0"/>
            </w:tcBorders>
            <w:vAlign w:val="center"/>
          </w:tcPr>
          <w:p w14:paraId="3073F9A0">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254" w:type="dxa"/>
            <w:tcBorders>
              <w:top w:val="nil"/>
              <w:left w:val="nil"/>
              <w:bottom w:val="single" w:color="auto" w:sz="4" w:space="0"/>
              <w:right w:val="single" w:color="auto" w:sz="4" w:space="0"/>
            </w:tcBorders>
            <w:vAlign w:val="center"/>
          </w:tcPr>
          <w:p w14:paraId="6C3C3674">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15" w:type="dxa"/>
            <w:tcBorders>
              <w:top w:val="nil"/>
              <w:left w:val="nil"/>
              <w:bottom w:val="single" w:color="auto" w:sz="4" w:space="0"/>
              <w:right w:val="single" w:color="auto" w:sz="4" w:space="0"/>
            </w:tcBorders>
            <w:vAlign w:val="center"/>
          </w:tcPr>
          <w:p w14:paraId="5D01FD58">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w:t>
            </w:r>
          </w:p>
        </w:tc>
        <w:tc>
          <w:tcPr>
            <w:tcW w:w="1687" w:type="dxa"/>
            <w:tcBorders>
              <w:top w:val="nil"/>
              <w:left w:val="nil"/>
              <w:bottom w:val="single" w:color="auto" w:sz="4" w:space="0"/>
              <w:right w:val="single" w:color="auto" w:sz="4" w:space="0"/>
            </w:tcBorders>
            <w:vAlign w:val="center"/>
          </w:tcPr>
          <w:p w14:paraId="306106E4">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50≤Y＜1000</w:t>
            </w:r>
          </w:p>
        </w:tc>
        <w:tc>
          <w:tcPr>
            <w:tcW w:w="1085" w:type="dxa"/>
            <w:tcBorders>
              <w:top w:val="nil"/>
              <w:left w:val="nil"/>
              <w:bottom w:val="single" w:color="auto" w:sz="4" w:space="0"/>
              <w:right w:val="single" w:color="auto" w:sz="4" w:space="0"/>
            </w:tcBorders>
            <w:vAlign w:val="center"/>
          </w:tcPr>
          <w:p w14:paraId="15521E37">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08DEDB2A">
        <w:tblPrEx>
          <w:tblCellMar>
            <w:top w:w="0" w:type="dxa"/>
            <w:left w:w="108" w:type="dxa"/>
            <w:bottom w:w="0" w:type="dxa"/>
            <w:right w:w="108" w:type="dxa"/>
          </w:tblCellMar>
        </w:tblPrEx>
        <w:trPr>
          <w:trHeight w:val="335" w:hRule="atLeast"/>
        </w:trPr>
        <w:tc>
          <w:tcPr>
            <w:tcW w:w="1995" w:type="dxa"/>
            <w:vMerge w:val="restart"/>
            <w:tcBorders>
              <w:top w:val="nil"/>
              <w:left w:val="single" w:color="auto" w:sz="4" w:space="0"/>
              <w:bottom w:val="single" w:color="auto" w:sz="4" w:space="0"/>
              <w:right w:val="single" w:color="auto" w:sz="4" w:space="0"/>
            </w:tcBorders>
            <w:vAlign w:val="bottom"/>
          </w:tcPr>
          <w:p w14:paraId="4E44A7FC">
            <w:pPr>
              <w:widowControl/>
              <w:jc w:val="center"/>
              <w:rPr>
                <w:rFonts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房地产开发经营</w:t>
            </w:r>
          </w:p>
        </w:tc>
        <w:tc>
          <w:tcPr>
            <w:tcW w:w="1622" w:type="dxa"/>
            <w:tcBorders>
              <w:top w:val="nil"/>
              <w:left w:val="nil"/>
              <w:bottom w:val="single" w:color="auto" w:sz="4" w:space="0"/>
              <w:right w:val="single" w:color="auto" w:sz="4" w:space="0"/>
            </w:tcBorders>
            <w:vAlign w:val="center"/>
          </w:tcPr>
          <w:p w14:paraId="3AED4996">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254" w:type="dxa"/>
            <w:tcBorders>
              <w:top w:val="nil"/>
              <w:left w:val="nil"/>
              <w:bottom w:val="single" w:color="auto" w:sz="4" w:space="0"/>
              <w:right w:val="single" w:color="auto" w:sz="4" w:space="0"/>
            </w:tcBorders>
            <w:vAlign w:val="center"/>
          </w:tcPr>
          <w:p w14:paraId="3C2CCD91">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15" w:type="dxa"/>
            <w:tcBorders>
              <w:top w:val="nil"/>
              <w:left w:val="nil"/>
              <w:bottom w:val="single" w:color="auto" w:sz="4" w:space="0"/>
              <w:right w:val="single" w:color="auto" w:sz="4" w:space="0"/>
            </w:tcBorders>
            <w:vAlign w:val="center"/>
          </w:tcPr>
          <w:p w14:paraId="1DD717DB">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1000≤Y＜200000</w:t>
            </w:r>
          </w:p>
        </w:tc>
        <w:tc>
          <w:tcPr>
            <w:tcW w:w="1687" w:type="dxa"/>
            <w:tcBorders>
              <w:top w:val="nil"/>
              <w:left w:val="nil"/>
              <w:bottom w:val="single" w:color="auto" w:sz="4" w:space="0"/>
              <w:right w:val="single" w:color="auto" w:sz="4" w:space="0"/>
            </w:tcBorders>
            <w:vAlign w:val="center"/>
          </w:tcPr>
          <w:p w14:paraId="5FBB00C7">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100≤X＜1000</w:t>
            </w:r>
          </w:p>
        </w:tc>
        <w:tc>
          <w:tcPr>
            <w:tcW w:w="1085" w:type="dxa"/>
            <w:tcBorders>
              <w:top w:val="nil"/>
              <w:left w:val="nil"/>
              <w:bottom w:val="single" w:color="auto" w:sz="4" w:space="0"/>
              <w:right w:val="single" w:color="auto" w:sz="4" w:space="0"/>
            </w:tcBorders>
            <w:vAlign w:val="center"/>
          </w:tcPr>
          <w:p w14:paraId="2419B26E">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3FBA1CD3">
        <w:tblPrEx>
          <w:tblCellMar>
            <w:top w:w="0" w:type="dxa"/>
            <w:left w:w="108" w:type="dxa"/>
            <w:bottom w:w="0" w:type="dxa"/>
            <w:right w:w="108" w:type="dxa"/>
          </w:tblCellMar>
        </w:tblPrEx>
        <w:trPr>
          <w:trHeight w:val="335" w:hRule="atLeast"/>
        </w:trPr>
        <w:tc>
          <w:tcPr>
            <w:tcW w:w="1995" w:type="dxa"/>
            <w:vMerge w:val="continue"/>
            <w:tcBorders>
              <w:top w:val="nil"/>
              <w:left w:val="single" w:color="auto" w:sz="4" w:space="0"/>
              <w:bottom w:val="single" w:color="auto" w:sz="4" w:space="0"/>
              <w:right w:val="single" w:color="auto" w:sz="4" w:space="0"/>
            </w:tcBorders>
            <w:vAlign w:val="center"/>
          </w:tcPr>
          <w:p w14:paraId="688A8C62">
            <w:pPr>
              <w:widowControl/>
              <w:jc w:val="left"/>
              <w:rPr>
                <w:rFonts w:ascii="仿宋" w:hAnsi="仿宋" w:eastAsia="仿宋" w:cs="仿宋"/>
                <w:b/>
                <w:bCs/>
                <w:color w:val="auto"/>
                <w:kern w:val="0"/>
                <w:sz w:val="18"/>
                <w:szCs w:val="18"/>
                <w:highlight w:val="none"/>
              </w:rPr>
            </w:pPr>
          </w:p>
        </w:tc>
        <w:tc>
          <w:tcPr>
            <w:tcW w:w="1622" w:type="dxa"/>
            <w:tcBorders>
              <w:top w:val="nil"/>
              <w:left w:val="nil"/>
              <w:bottom w:val="single" w:color="auto" w:sz="4" w:space="0"/>
              <w:right w:val="single" w:color="auto" w:sz="4" w:space="0"/>
            </w:tcBorders>
            <w:vAlign w:val="center"/>
          </w:tcPr>
          <w:p w14:paraId="2638794C">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1254" w:type="dxa"/>
            <w:tcBorders>
              <w:top w:val="nil"/>
              <w:left w:val="nil"/>
              <w:bottom w:val="single" w:color="auto" w:sz="4" w:space="0"/>
              <w:right w:val="single" w:color="auto" w:sz="4" w:space="0"/>
            </w:tcBorders>
            <w:vAlign w:val="center"/>
          </w:tcPr>
          <w:p w14:paraId="5F922F73">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15" w:type="dxa"/>
            <w:tcBorders>
              <w:top w:val="nil"/>
              <w:left w:val="nil"/>
              <w:bottom w:val="single" w:color="auto" w:sz="4" w:space="0"/>
              <w:right w:val="single" w:color="auto" w:sz="4" w:space="0"/>
            </w:tcBorders>
            <w:vAlign w:val="center"/>
          </w:tcPr>
          <w:p w14:paraId="06333CA0">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5000≤Z＜10000</w:t>
            </w:r>
          </w:p>
        </w:tc>
        <w:tc>
          <w:tcPr>
            <w:tcW w:w="1687" w:type="dxa"/>
            <w:tcBorders>
              <w:top w:val="nil"/>
              <w:left w:val="nil"/>
              <w:bottom w:val="single" w:color="auto" w:sz="4" w:space="0"/>
              <w:right w:val="single" w:color="auto" w:sz="4" w:space="0"/>
            </w:tcBorders>
            <w:vAlign w:val="center"/>
          </w:tcPr>
          <w:p w14:paraId="76A9848A">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2000≤Y＜5000</w:t>
            </w:r>
          </w:p>
        </w:tc>
        <w:tc>
          <w:tcPr>
            <w:tcW w:w="1085" w:type="dxa"/>
            <w:tcBorders>
              <w:top w:val="nil"/>
              <w:left w:val="nil"/>
              <w:bottom w:val="single" w:color="auto" w:sz="4" w:space="0"/>
              <w:right w:val="single" w:color="auto" w:sz="4" w:space="0"/>
            </w:tcBorders>
            <w:vAlign w:val="center"/>
          </w:tcPr>
          <w:p w14:paraId="604E87BC">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w:t>
            </w:r>
          </w:p>
        </w:tc>
      </w:tr>
      <w:tr w14:paraId="698AC247">
        <w:tblPrEx>
          <w:tblCellMar>
            <w:top w:w="0" w:type="dxa"/>
            <w:left w:w="108" w:type="dxa"/>
            <w:bottom w:w="0" w:type="dxa"/>
            <w:right w:w="108" w:type="dxa"/>
          </w:tblCellMar>
        </w:tblPrEx>
        <w:trPr>
          <w:trHeight w:val="335" w:hRule="atLeast"/>
        </w:trPr>
        <w:tc>
          <w:tcPr>
            <w:tcW w:w="1995" w:type="dxa"/>
            <w:vMerge w:val="restart"/>
            <w:tcBorders>
              <w:top w:val="nil"/>
              <w:left w:val="single" w:color="auto" w:sz="4" w:space="0"/>
              <w:bottom w:val="single" w:color="auto" w:sz="4" w:space="0"/>
              <w:right w:val="single" w:color="auto" w:sz="4" w:space="0"/>
            </w:tcBorders>
            <w:vAlign w:val="bottom"/>
          </w:tcPr>
          <w:p w14:paraId="61F0A936">
            <w:pPr>
              <w:widowControl/>
              <w:jc w:val="center"/>
              <w:rPr>
                <w:rFonts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物业管理</w:t>
            </w:r>
          </w:p>
        </w:tc>
        <w:tc>
          <w:tcPr>
            <w:tcW w:w="1622" w:type="dxa"/>
            <w:tcBorders>
              <w:top w:val="nil"/>
              <w:left w:val="nil"/>
              <w:bottom w:val="single" w:color="auto" w:sz="4" w:space="0"/>
              <w:right w:val="single" w:color="auto" w:sz="4" w:space="0"/>
            </w:tcBorders>
            <w:vAlign w:val="center"/>
          </w:tcPr>
          <w:p w14:paraId="68985F4C">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254" w:type="dxa"/>
            <w:tcBorders>
              <w:top w:val="nil"/>
              <w:left w:val="nil"/>
              <w:bottom w:val="single" w:color="auto" w:sz="4" w:space="0"/>
              <w:right w:val="single" w:color="auto" w:sz="4" w:space="0"/>
            </w:tcBorders>
            <w:vAlign w:val="center"/>
          </w:tcPr>
          <w:p w14:paraId="388CC8EB">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15" w:type="dxa"/>
            <w:tcBorders>
              <w:top w:val="nil"/>
              <w:left w:val="nil"/>
              <w:bottom w:val="single" w:color="auto" w:sz="4" w:space="0"/>
              <w:right w:val="single" w:color="auto" w:sz="4" w:space="0"/>
            </w:tcBorders>
            <w:vAlign w:val="center"/>
          </w:tcPr>
          <w:p w14:paraId="0C049ED7">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87" w:type="dxa"/>
            <w:tcBorders>
              <w:top w:val="nil"/>
              <w:left w:val="nil"/>
              <w:bottom w:val="single" w:color="auto" w:sz="4" w:space="0"/>
              <w:right w:val="single" w:color="auto" w:sz="4" w:space="0"/>
            </w:tcBorders>
            <w:vAlign w:val="center"/>
          </w:tcPr>
          <w:p w14:paraId="284E4BD0">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085" w:type="dxa"/>
            <w:tcBorders>
              <w:top w:val="nil"/>
              <w:left w:val="nil"/>
              <w:bottom w:val="single" w:color="auto" w:sz="4" w:space="0"/>
              <w:right w:val="single" w:color="auto" w:sz="4" w:space="0"/>
            </w:tcBorders>
            <w:vAlign w:val="center"/>
          </w:tcPr>
          <w:p w14:paraId="5EBF3CC2">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30481E42">
        <w:tblPrEx>
          <w:tblCellMar>
            <w:top w:w="0" w:type="dxa"/>
            <w:left w:w="108" w:type="dxa"/>
            <w:bottom w:w="0" w:type="dxa"/>
            <w:right w:w="108" w:type="dxa"/>
          </w:tblCellMar>
        </w:tblPrEx>
        <w:trPr>
          <w:trHeight w:val="335" w:hRule="atLeast"/>
        </w:trPr>
        <w:tc>
          <w:tcPr>
            <w:tcW w:w="1995" w:type="dxa"/>
            <w:vMerge w:val="continue"/>
            <w:tcBorders>
              <w:top w:val="nil"/>
              <w:left w:val="single" w:color="auto" w:sz="4" w:space="0"/>
              <w:bottom w:val="single" w:color="auto" w:sz="4" w:space="0"/>
              <w:right w:val="single" w:color="auto" w:sz="4" w:space="0"/>
            </w:tcBorders>
            <w:vAlign w:val="center"/>
          </w:tcPr>
          <w:p w14:paraId="0B4C1BE7">
            <w:pPr>
              <w:widowControl/>
              <w:jc w:val="left"/>
              <w:rPr>
                <w:rFonts w:ascii="仿宋" w:hAnsi="仿宋" w:eastAsia="仿宋" w:cs="仿宋"/>
                <w:b/>
                <w:bCs/>
                <w:color w:val="auto"/>
                <w:kern w:val="0"/>
                <w:sz w:val="18"/>
                <w:szCs w:val="18"/>
                <w:highlight w:val="none"/>
              </w:rPr>
            </w:pPr>
          </w:p>
        </w:tc>
        <w:tc>
          <w:tcPr>
            <w:tcW w:w="1622" w:type="dxa"/>
            <w:tcBorders>
              <w:top w:val="nil"/>
              <w:left w:val="nil"/>
              <w:bottom w:val="single" w:color="auto" w:sz="4" w:space="0"/>
              <w:right w:val="single" w:color="auto" w:sz="4" w:space="0"/>
            </w:tcBorders>
            <w:vAlign w:val="center"/>
          </w:tcPr>
          <w:p w14:paraId="01D714EF">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254" w:type="dxa"/>
            <w:tcBorders>
              <w:top w:val="nil"/>
              <w:left w:val="nil"/>
              <w:bottom w:val="single" w:color="auto" w:sz="4" w:space="0"/>
              <w:right w:val="single" w:color="auto" w:sz="4" w:space="0"/>
            </w:tcBorders>
            <w:vAlign w:val="center"/>
          </w:tcPr>
          <w:p w14:paraId="334AC827">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15" w:type="dxa"/>
            <w:tcBorders>
              <w:top w:val="nil"/>
              <w:left w:val="nil"/>
              <w:bottom w:val="single" w:color="auto" w:sz="4" w:space="0"/>
              <w:right w:val="single" w:color="auto" w:sz="4" w:space="0"/>
            </w:tcBorders>
            <w:vAlign w:val="center"/>
          </w:tcPr>
          <w:p w14:paraId="56ED43E8">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687" w:type="dxa"/>
            <w:tcBorders>
              <w:top w:val="nil"/>
              <w:left w:val="nil"/>
              <w:bottom w:val="single" w:color="auto" w:sz="4" w:space="0"/>
              <w:right w:val="single" w:color="auto" w:sz="4" w:space="0"/>
            </w:tcBorders>
            <w:vAlign w:val="center"/>
          </w:tcPr>
          <w:p w14:paraId="6752ED8D">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500≤Y＜1000</w:t>
            </w:r>
          </w:p>
        </w:tc>
        <w:tc>
          <w:tcPr>
            <w:tcW w:w="1085" w:type="dxa"/>
            <w:tcBorders>
              <w:top w:val="nil"/>
              <w:left w:val="nil"/>
              <w:bottom w:val="single" w:color="auto" w:sz="4" w:space="0"/>
              <w:right w:val="single" w:color="auto" w:sz="4" w:space="0"/>
            </w:tcBorders>
            <w:vAlign w:val="center"/>
          </w:tcPr>
          <w:p w14:paraId="737024FE">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w:t>
            </w:r>
          </w:p>
        </w:tc>
      </w:tr>
      <w:tr w14:paraId="0407C0CD">
        <w:tblPrEx>
          <w:tblCellMar>
            <w:top w:w="0" w:type="dxa"/>
            <w:left w:w="108" w:type="dxa"/>
            <w:bottom w:w="0" w:type="dxa"/>
            <w:right w:w="108" w:type="dxa"/>
          </w:tblCellMar>
        </w:tblPrEx>
        <w:trPr>
          <w:trHeight w:val="335" w:hRule="atLeast"/>
        </w:trPr>
        <w:tc>
          <w:tcPr>
            <w:tcW w:w="1995" w:type="dxa"/>
            <w:vMerge w:val="restart"/>
            <w:tcBorders>
              <w:top w:val="nil"/>
              <w:left w:val="single" w:color="auto" w:sz="4" w:space="0"/>
              <w:bottom w:val="single" w:color="auto" w:sz="4" w:space="0"/>
              <w:right w:val="single" w:color="auto" w:sz="4" w:space="0"/>
            </w:tcBorders>
            <w:vAlign w:val="bottom"/>
          </w:tcPr>
          <w:p w14:paraId="59BD98BA">
            <w:pPr>
              <w:widowControl/>
              <w:jc w:val="center"/>
              <w:rPr>
                <w:rFonts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租赁和商务服务业</w:t>
            </w:r>
          </w:p>
        </w:tc>
        <w:tc>
          <w:tcPr>
            <w:tcW w:w="1622" w:type="dxa"/>
            <w:tcBorders>
              <w:top w:val="nil"/>
              <w:left w:val="nil"/>
              <w:bottom w:val="single" w:color="auto" w:sz="4" w:space="0"/>
              <w:right w:val="single" w:color="auto" w:sz="4" w:space="0"/>
            </w:tcBorders>
            <w:vAlign w:val="center"/>
          </w:tcPr>
          <w:p w14:paraId="5998EDBD">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254" w:type="dxa"/>
            <w:tcBorders>
              <w:top w:val="nil"/>
              <w:left w:val="nil"/>
              <w:bottom w:val="single" w:color="auto" w:sz="4" w:space="0"/>
              <w:right w:val="single" w:color="auto" w:sz="4" w:space="0"/>
            </w:tcBorders>
            <w:vAlign w:val="center"/>
          </w:tcPr>
          <w:p w14:paraId="5AE54127">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15" w:type="dxa"/>
            <w:tcBorders>
              <w:top w:val="nil"/>
              <w:left w:val="nil"/>
              <w:bottom w:val="single" w:color="auto" w:sz="4" w:space="0"/>
              <w:right w:val="single" w:color="auto" w:sz="4" w:space="0"/>
            </w:tcBorders>
            <w:vAlign w:val="center"/>
          </w:tcPr>
          <w:p w14:paraId="280158AD">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87" w:type="dxa"/>
            <w:tcBorders>
              <w:top w:val="nil"/>
              <w:left w:val="nil"/>
              <w:bottom w:val="single" w:color="auto" w:sz="4" w:space="0"/>
              <w:right w:val="single" w:color="auto" w:sz="4" w:space="0"/>
            </w:tcBorders>
            <w:vAlign w:val="center"/>
          </w:tcPr>
          <w:p w14:paraId="56B3A0B7">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85" w:type="dxa"/>
            <w:tcBorders>
              <w:top w:val="nil"/>
              <w:left w:val="nil"/>
              <w:bottom w:val="single" w:color="auto" w:sz="4" w:space="0"/>
              <w:right w:val="single" w:color="auto" w:sz="4" w:space="0"/>
            </w:tcBorders>
            <w:vAlign w:val="center"/>
          </w:tcPr>
          <w:p w14:paraId="44296B57">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1B3B7274">
        <w:tblPrEx>
          <w:tblCellMar>
            <w:top w:w="0" w:type="dxa"/>
            <w:left w:w="108" w:type="dxa"/>
            <w:bottom w:w="0" w:type="dxa"/>
            <w:right w:w="108" w:type="dxa"/>
          </w:tblCellMar>
        </w:tblPrEx>
        <w:trPr>
          <w:trHeight w:val="335" w:hRule="atLeast"/>
        </w:trPr>
        <w:tc>
          <w:tcPr>
            <w:tcW w:w="1995" w:type="dxa"/>
            <w:vMerge w:val="continue"/>
            <w:tcBorders>
              <w:top w:val="nil"/>
              <w:left w:val="single" w:color="auto" w:sz="4" w:space="0"/>
              <w:bottom w:val="single" w:color="auto" w:sz="4" w:space="0"/>
              <w:right w:val="single" w:color="auto" w:sz="4" w:space="0"/>
            </w:tcBorders>
            <w:vAlign w:val="center"/>
          </w:tcPr>
          <w:p w14:paraId="387C23EF">
            <w:pPr>
              <w:widowControl/>
              <w:jc w:val="left"/>
              <w:rPr>
                <w:rFonts w:ascii="仿宋" w:hAnsi="仿宋" w:eastAsia="仿宋" w:cs="仿宋"/>
                <w:b/>
                <w:bCs/>
                <w:color w:val="auto"/>
                <w:kern w:val="0"/>
                <w:sz w:val="18"/>
                <w:szCs w:val="18"/>
                <w:highlight w:val="none"/>
              </w:rPr>
            </w:pPr>
          </w:p>
        </w:tc>
        <w:tc>
          <w:tcPr>
            <w:tcW w:w="1622" w:type="dxa"/>
            <w:tcBorders>
              <w:top w:val="nil"/>
              <w:left w:val="nil"/>
              <w:bottom w:val="single" w:color="auto" w:sz="4" w:space="0"/>
              <w:right w:val="single" w:color="auto" w:sz="4" w:space="0"/>
            </w:tcBorders>
            <w:vAlign w:val="center"/>
          </w:tcPr>
          <w:p w14:paraId="0D7B48CA">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1254" w:type="dxa"/>
            <w:tcBorders>
              <w:top w:val="nil"/>
              <w:left w:val="nil"/>
              <w:bottom w:val="single" w:color="auto" w:sz="4" w:space="0"/>
              <w:right w:val="single" w:color="auto" w:sz="4" w:space="0"/>
            </w:tcBorders>
            <w:vAlign w:val="center"/>
          </w:tcPr>
          <w:p w14:paraId="4DA4335E">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715" w:type="dxa"/>
            <w:tcBorders>
              <w:top w:val="nil"/>
              <w:left w:val="nil"/>
              <w:bottom w:val="single" w:color="auto" w:sz="4" w:space="0"/>
              <w:right w:val="single" w:color="auto" w:sz="4" w:space="0"/>
            </w:tcBorders>
            <w:vAlign w:val="center"/>
          </w:tcPr>
          <w:p w14:paraId="2F5369A7">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8000≤Z＜120000</w:t>
            </w:r>
          </w:p>
        </w:tc>
        <w:tc>
          <w:tcPr>
            <w:tcW w:w="1687" w:type="dxa"/>
            <w:tcBorders>
              <w:top w:val="nil"/>
              <w:left w:val="nil"/>
              <w:bottom w:val="single" w:color="auto" w:sz="4" w:space="0"/>
              <w:right w:val="single" w:color="auto" w:sz="4" w:space="0"/>
            </w:tcBorders>
            <w:vAlign w:val="center"/>
          </w:tcPr>
          <w:p w14:paraId="2E08F09A">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100≤Z＜8000</w:t>
            </w:r>
          </w:p>
        </w:tc>
        <w:tc>
          <w:tcPr>
            <w:tcW w:w="1085" w:type="dxa"/>
            <w:tcBorders>
              <w:top w:val="nil"/>
              <w:left w:val="nil"/>
              <w:bottom w:val="single" w:color="auto" w:sz="4" w:space="0"/>
              <w:right w:val="single" w:color="auto" w:sz="4" w:space="0"/>
            </w:tcBorders>
            <w:vAlign w:val="center"/>
          </w:tcPr>
          <w:p w14:paraId="280321FB">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1BE2304C">
        <w:tblPrEx>
          <w:tblCellMar>
            <w:top w:w="0" w:type="dxa"/>
            <w:left w:w="108" w:type="dxa"/>
            <w:bottom w:w="0" w:type="dxa"/>
            <w:right w:w="108" w:type="dxa"/>
          </w:tblCellMar>
        </w:tblPrEx>
        <w:trPr>
          <w:trHeight w:val="345" w:hRule="atLeast"/>
        </w:trPr>
        <w:tc>
          <w:tcPr>
            <w:tcW w:w="1995" w:type="dxa"/>
            <w:tcBorders>
              <w:top w:val="nil"/>
              <w:left w:val="single" w:color="auto" w:sz="4" w:space="0"/>
              <w:bottom w:val="single" w:color="auto" w:sz="4" w:space="0"/>
              <w:right w:val="single" w:color="auto" w:sz="4" w:space="0"/>
            </w:tcBorders>
            <w:vAlign w:val="bottom"/>
          </w:tcPr>
          <w:p w14:paraId="52A27E91">
            <w:pPr>
              <w:widowControl/>
              <w:jc w:val="center"/>
              <w:rPr>
                <w:rFonts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其他未列明行业</w:t>
            </w:r>
          </w:p>
        </w:tc>
        <w:tc>
          <w:tcPr>
            <w:tcW w:w="1622" w:type="dxa"/>
            <w:tcBorders>
              <w:top w:val="nil"/>
              <w:left w:val="nil"/>
              <w:bottom w:val="single" w:color="auto" w:sz="4" w:space="0"/>
              <w:right w:val="single" w:color="auto" w:sz="4" w:space="0"/>
            </w:tcBorders>
            <w:vAlign w:val="center"/>
          </w:tcPr>
          <w:p w14:paraId="3EDE63E2">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254" w:type="dxa"/>
            <w:tcBorders>
              <w:top w:val="nil"/>
              <w:left w:val="nil"/>
              <w:bottom w:val="single" w:color="auto" w:sz="4" w:space="0"/>
              <w:right w:val="single" w:color="auto" w:sz="4" w:space="0"/>
            </w:tcBorders>
            <w:vAlign w:val="center"/>
          </w:tcPr>
          <w:p w14:paraId="74AA9B75">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715" w:type="dxa"/>
            <w:tcBorders>
              <w:top w:val="nil"/>
              <w:left w:val="nil"/>
              <w:bottom w:val="single" w:color="auto" w:sz="4" w:space="0"/>
              <w:right w:val="single" w:color="auto" w:sz="4" w:space="0"/>
            </w:tcBorders>
            <w:vAlign w:val="center"/>
          </w:tcPr>
          <w:p w14:paraId="501AC6D9">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87" w:type="dxa"/>
            <w:tcBorders>
              <w:top w:val="nil"/>
              <w:left w:val="nil"/>
              <w:bottom w:val="single" w:color="auto" w:sz="4" w:space="0"/>
              <w:right w:val="single" w:color="auto" w:sz="4" w:space="0"/>
            </w:tcBorders>
            <w:vAlign w:val="center"/>
          </w:tcPr>
          <w:p w14:paraId="2E4B49AD">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085" w:type="dxa"/>
            <w:tcBorders>
              <w:top w:val="nil"/>
              <w:left w:val="nil"/>
              <w:bottom w:val="single" w:color="auto" w:sz="4" w:space="0"/>
              <w:right w:val="single" w:color="auto" w:sz="4" w:space="0"/>
            </w:tcBorders>
            <w:vAlign w:val="center"/>
          </w:tcPr>
          <w:p w14:paraId="19563955">
            <w:pPr>
              <w:widowControl/>
              <w:jc w:val="left"/>
              <w:rPr>
                <w:rFonts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bl>
    <w:p w14:paraId="4F6392D9">
      <w:pPr>
        <w:spacing w:line="360" w:lineRule="auto"/>
        <w:ind w:firstLine="525" w:firstLineChars="250"/>
        <w:rPr>
          <w:rFonts w:ascii="仿宋" w:hAnsi="仿宋" w:eastAsia="仿宋" w:cs="仿宋"/>
          <w:color w:val="auto"/>
          <w:szCs w:val="21"/>
          <w:highlight w:val="none"/>
        </w:rPr>
      </w:pPr>
      <w:r>
        <w:rPr>
          <w:rFonts w:hint="eastAsia" w:ascii="仿宋" w:hAnsi="仿宋" w:eastAsia="仿宋" w:cs="仿宋"/>
          <w:color w:val="auto"/>
          <w:szCs w:val="21"/>
          <w:highlight w:val="none"/>
        </w:rPr>
        <w:t>说明：上述标准参照《关于印发中小企业划型标准规定的通知》（工信部联企业</w:t>
      </w:r>
      <w:r>
        <w:rPr>
          <w:rFonts w:hint="eastAsia" w:ascii="仿宋" w:hAnsi="仿宋" w:eastAsia="仿宋" w:cs="仿宋"/>
          <w:color w:val="auto"/>
          <w:szCs w:val="21"/>
          <w:highlight w:val="none"/>
          <w:lang w:eastAsia="zh-CN"/>
        </w:rPr>
        <w:t>〔2011〕300号</w:t>
      </w:r>
      <w:r>
        <w:rPr>
          <w:rFonts w:hint="eastAsia" w:ascii="仿宋" w:hAnsi="仿宋" w:eastAsia="仿宋" w:cs="仿宋"/>
          <w:color w:val="auto"/>
          <w:szCs w:val="21"/>
          <w:highlight w:val="none"/>
        </w:rPr>
        <w:t>），大型、中型和小型企业须同时满足所列指标的下限，否则下划一档；微型企业只</w:t>
      </w:r>
      <w:r>
        <w:rPr>
          <w:rFonts w:hint="eastAsia" w:ascii="仿宋" w:hAnsi="仿宋" w:eastAsia="仿宋" w:cs="仿宋"/>
          <w:color w:val="auto"/>
          <w:szCs w:val="21"/>
          <w:highlight w:val="none"/>
          <w:lang w:eastAsia="zh-CN"/>
        </w:rPr>
        <w:t>需</w:t>
      </w:r>
      <w:r>
        <w:rPr>
          <w:rFonts w:hint="eastAsia" w:ascii="仿宋" w:hAnsi="仿宋" w:eastAsia="仿宋" w:cs="仿宋"/>
          <w:color w:val="auto"/>
          <w:szCs w:val="21"/>
          <w:highlight w:val="none"/>
        </w:rPr>
        <w:t>满足所列指标中的一项即可。</w:t>
      </w:r>
    </w:p>
    <w:p w14:paraId="3A05745C">
      <w:pPr>
        <w:widowControl/>
        <w:jc w:val="left"/>
        <w:rPr>
          <w:rFonts w:ascii="仿宋" w:hAnsi="仿宋" w:eastAsia="仿宋" w:cs="仿宋"/>
          <w:color w:val="auto"/>
          <w:szCs w:val="20"/>
          <w:highlight w:val="none"/>
        </w:rPr>
        <w:sectPr>
          <w:footerReference r:id="rId6" w:type="default"/>
          <w:pgSz w:w="11906" w:h="16838"/>
          <w:pgMar w:top="1134" w:right="1134" w:bottom="1134" w:left="1134" w:header="720" w:footer="720" w:gutter="0"/>
          <w:cols w:space="720" w:num="1"/>
          <w:docGrid w:type="lines" w:linePitch="331" w:charSpace="0"/>
        </w:sectPr>
      </w:pPr>
    </w:p>
    <w:p w14:paraId="7E4DCBFA">
      <w:pPr>
        <w:pStyle w:val="14"/>
        <w:jc w:val="center"/>
        <w:outlineLvl w:val="0"/>
        <w:rPr>
          <w:rFonts w:hAnsi="宋体"/>
          <w:b/>
          <w:color w:val="auto"/>
          <w:sz w:val="36"/>
          <w:szCs w:val="36"/>
          <w:highlight w:val="none"/>
        </w:rPr>
      </w:pPr>
      <w:bookmarkStart w:id="8" w:name="_Toc27369"/>
      <w:r>
        <w:rPr>
          <w:rFonts w:hint="eastAsia" w:ascii="Times New Roman" w:hAnsi="Times New Roman"/>
          <w:b/>
          <w:color w:val="auto"/>
          <w:sz w:val="36"/>
          <w:highlight w:val="none"/>
        </w:rPr>
        <w:t>第三章</w:t>
      </w:r>
      <w:r>
        <w:rPr>
          <w:rFonts w:ascii="Times New Roman" w:hAnsi="Times New Roman"/>
          <w:b/>
          <w:color w:val="auto"/>
          <w:sz w:val="36"/>
          <w:highlight w:val="none"/>
        </w:rPr>
        <w:t xml:space="preserve">  </w:t>
      </w:r>
      <w:r>
        <w:rPr>
          <w:rFonts w:hint="eastAsia" w:ascii="Times New Roman" w:hAnsi="Times New Roman"/>
          <w:b/>
          <w:color w:val="auto"/>
          <w:sz w:val="36"/>
          <w:highlight w:val="none"/>
        </w:rPr>
        <w:t>投标人须知</w:t>
      </w:r>
      <w:bookmarkEnd w:id="8"/>
    </w:p>
    <w:p w14:paraId="09973EDE">
      <w:pPr>
        <w:pStyle w:val="14"/>
        <w:spacing w:line="720" w:lineRule="auto"/>
        <w:jc w:val="center"/>
        <w:outlineLvl w:val="1"/>
        <w:rPr>
          <w:rFonts w:ascii="Times New Roman" w:hAnsi="Times New Roman"/>
          <w:b/>
          <w:color w:val="auto"/>
          <w:sz w:val="30"/>
          <w:szCs w:val="30"/>
          <w:highlight w:val="none"/>
        </w:rPr>
      </w:pPr>
      <w:bookmarkStart w:id="9" w:name="_Toc12164"/>
      <w:r>
        <w:rPr>
          <w:rFonts w:hint="eastAsia" w:ascii="Times New Roman" w:hAnsi="Times New Roman"/>
          <w:b/>
          <w:color w:val="auto"/>
          <w:sz w:val="30"/>
          <w:szCs w:val="30"/>
          <w:highlight w:val="none"/>
        </w:rPr>
        <w:t>第一节</w:t>
      </w:r>
      <w:r>
        <w:rPr>
          <w:rFonts w:ascii="Times New Roman" w:hAnsi="Times New Roman"/>
          <w:b/>
          <w:color w:val="auto"/>
          <w:sz w:val="30"/>
          <w:szCs w:val="30"/>
          <w:highlight w:val="none"/>
        </w:rPr>
        <w:t xml:space="preserve"> </w:t>
      </w:r>
      <w:r>
        <w:rPr>
          <w:rFonts w:hint="eastAsia" w:ascii="Times New Roman" w:hAnsi="Times New Roman"/>
          <w:b/>
          <w:color w:val="auto"/>
          <w:sz w:val="30"/>
          <w:szCs w:val="30"/>
          <w:highlight w:val="none"/>
        </w:rPr>
        <w:t>投标人须知前附表</w:t>
      </w:r>
      <w:bookmarkEnd w:id="9"/>
    </w:p>
    <w:tbl>
      <w:tblPr>
        <w:tblStyle w:val="35"/>
        <w:tblW w:w="998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037"/>
      </w:tblGrid>
      <w:tr w14:paraId="30B369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A5386AB">
            <w:pPr>
              <w:snapToGrid w:val="0"/>
              <w:spacing w:line="400" w:lineRule="exact"/>
              <w:jc w:val="left"/>
              <w:rPr>
                <w:rFonts w:ascii="宋体" w:hAnsi="宋体"/>
                <w:color w:val="auto"/>
                <w:szCs w:val="21"/>
                <w:highlight w:val="none"/>
              </w:rPr>
            </w:pPr>
            <w:r>
              <w:rPr>
                <w:rFonts w:hint="eastAsia" w:ascii="宋体" w:hAnsi="宋体"/>
                <w:color w:val="auto"/>
                <w:szCs w:val="21"/>
                <w:highlight w:val="none"/>
              </w:rPr>
              <w:t>条款号</w:t>
            </w:r>
          </w:p>
        </w:tc>
        <w:tc>
          <w:tcPr>
            <w:tcW w:w="2268" w:type="dxa"/>
            <w:tcBorders>
              <w:top w:val="single" w:color="auto" w:sz="4" w:space="0"/>
              <w:left w:val="single" w:color="auto" w:sz="4" w:space="0"/>
              <w:bottom w:val="single" w:color="auto" w:sz="4" w:space="0"/>
              <w:right w:val="single" w:color="auto" w:sz="4" w:space="0"/>
            </w:tcBorders>
            <w:vAlign w:val="center"/>
          </w:tcPr>
          <w:p w14:paraId="4162148E">
            <w:pPr>
              <w:snapToGrid w:val="0"/>
              <w:spacing w:line="400" w:lineRule="exact"/>
              <w:jc w:val="left"/>
              <w:rPr>
                <w:rFonts w:ascii="宋体" w:hAnsi="宋体"/>
                <w:color w:val="auto"/>
                <w:szCs w:val="21"/>
                <w:highlight w:val="none"/>
              </w:rPr>
            </w:pPr>
            <w:r>
              <w:rPr>
                <w:rFonts w:hint="eastAsia" w:ascii="宋体" w:hAnsi="宋体"/>
                <w:color w:val="auto"/>
                <w:szCs w:val="21"/>
                <w:highlight w:val="none"/>
              </w:rPr>
              <w:t>项目内容</w:t>
            </w:r>
          </w:p>
        </w:tc>
        <w:tc>
          <w:tcPr>
            <w:tcW w:w="7037" w:type="dxa"/>
            <w:tcBorders>
              <w:top w:val="single" w:color="auto" w:sz="4" w:space="0"/>
              <w:left w:val="single" w:color="auto" w:sz="4" w:space="0"/>
              <w:bottom w:val="single" w:color="auto" w:sz="4" w:space="0"/>
              <w:right w:val="single" w:color="auto" w:sz="4" w:space="0"/>
            </w:tcBorders>
            <w:vAlign w:val="center"/>
          </w:tcPr>
          <w:p w14:paraId="6ABB5B88">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编列内容</w:t>
            </w:r>
          </w:p>
        </w:tc>
      </w:tr>
      <w:tr w14:paraId="13B067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DDD0EE3">
            <w:pPr>
              <w:spacing w:line="400" w:lineRule="exact"/>
              <w:rPr>
                <w:rFonts w:ascii="宋体" w:hAnsi="宋体"/>
                <w:color w:val="auto"/>
                <w:szCs w:val="21"/>
                <w:highlight w:val="none"/>
              </w:rPr>
            </w:pPr>
            <w:r>
              <w:rPr>
                <w:rFonts w:hint="eastAsia" w:ascii="宋体" w:hAnsi="宋体"/>
                <w:color w:val="auto"/>
                <w:szCs w:val="21"/>
                <w:highlight w:val="none"/>
              </w:rPr>
              <w:t>6.1</w:t>
            </w:r>
          </w:p>
        </w:tc>
        <w:tc>
          <w:tcPr>
            <w:tcW w:w="2268" w:type="dxa"/>
            <w:tcBorders>
              <w:top w:val="single" w:color="auto" w:sz="4" w:space="0"/>
              <w:left w:val="single" w:color="auto" w:sz="4" w:space="0"/>
              <w:bottom w:val="single" w:color="auto" w:sz="4" w:space="0"/>
              <w:right w:val="single" w:color="auto" w:sz="4" w:space="0"/>
            </w:tcBorders>
            <w:vAlign w:val="center"/>
          </w:tcPr>
          <w:p w14:paraId="549103F7">
            <w:pPr>
              <w:spacing w:line="400" w:lineRule="exact"/>
              <w:rPr>
                <w:rFonts w:ascii="宋体" w:hAnsi="宋体"/>
                <w:color w:val="auto"/>
                <w:szCs w:val="21"/>
                <w:highlight w:val="none"/>
              </w:rPr>
            </w:pPr>
            <w:r>
              <w:rPr>
                <w:rFonts w:hint="eastAsia" w:ascii="宋体" w:hAnsi="宋体"/>
                <w:color w:val="auto"/>
                <w:szCs w:val="21"/>
                <w:highlight w:val="none"/>
              </w:rPr>
              <w:t>是否接受联合体投标</w:t>
            </w:r>
          </w:p>
        </w:tc>
        <w:tc>
          <w:tcPr>
            <w:tcW w:w="7037" w:type="dxa"/>
            <w:tcBorders>
              <w:top w:val="single" w:color="auto" w:sz="4" w:space="0"/>
              <w:left w:val="single" w:color="auto" w:sz="4" w:space="0"/>
              <w:bottom w:val="single" w:color="auto" w:sz="4" w:space="0"/>
              <w:right w:val="single" w:color="auto" w:sz="4" w:space="0"/>
            </w:tcBorders>
            <w:vAlign w:val="center"/>
          </w:tcPr>
          <w:p w14:paraId="5A51EAFA">
            <w:pPr>
              <w:pStyle w:val="11"/>
              <w:spacing w:line="400" w:lineRule="exact"/>
              <w:rPr>
                <w:rFonts w:ascii="宋体" w:hAnsi="宋体"/>
                <w:color w:val="auto"/>
                <w:szCs w:val="21"/>
                <w:highlight w:val="none"/>
              </w:rPr>
            </w:pPr>
            <w:bookmarkStart w:id="10" w:name="PO_3000001866_PM007"/>
            <w:r>
              <w:rPr>
                <w:rFonts w:hint="eastAsia" w:ascii="宋体" w:hAnsi="宋体"/>
                <w:color w:val="auto"/>
                <w:szCs w:val="21"/>
                <w:highlight w:val="none"/>
              </w:rPr>
              <w:t>不接受联合体投标</w:t>
            </w:r>
            <w:bookmarkEnd w:id="10"/>
          </w:p>
        </w:tc>
      </w:tr>
      <w:tr w14:paraId="44F124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1766B80">
            <w:pPr>
              <w:spacing w:line="400" w:lineRule="exact"/>
              <w:rPr>
                <w:rFonts w:ascii="宋体" w:hAnsi="宋体"/>
                <w:color w:val="auto"/>
                <w:szCs w:val="21"/>
                <w:highlight w:val="none"/>
              </w:rPr>
            </w:pPr>
            <w:r>
              <w:rPr>
                <w:rFonts w:hint="eastAsia" w:ascii="宋体" w:hAnsi="宋体"/>
                <w:color w:val="auto"/>
                <w:szCs w:val="21"/>
                <w:highlight w:val="none"/>
              </w:rPr>
              <w:t>6.2</w:t>
            </w:r>
          </w:p>
        </w:tc>
        <w:tc>
          <w:tcPr>
            <w:tcW w:w="2268" w:type="dxa"/>
            <w:tcBorders>
              <w:top w:val="single" w:color="auto" w:sz="4" w:space="0"/>
              <w:left w:val="single" w:color="auto" w:sz="4" w:space="0"/>
              <w:bottom w:val="single" w:color="auto" w:sz="4" w:space="0"/>
              <w:right w:val="single" w:color="auto" w:sz="4" w:space="0"/>
            </w:tcBorders>
            <w:vAlign w:val="center"/>
          </w:tcPr>
          <w:p w14:paraId="6706F87F">
            <w:pPr>
              <w:spacing w:line="400" w:lineRule="exact"/>
              <w:rPr>
                <w:rFonts w:ascii="宋体" w:hAnsi="宋体"/>
                <w:color w:val="auto"/>
                <w:szCs w:val="21"/>
                <w:highlight w:val="none"/>
              </w:rPr>
            </w:pPr>
            <w:r>
              <w:rPr>
                <w:rFonts w:hint="eastAsia" w:ascii="宋体" w:hAnsi="宋体"/>
                <w:color w:val="auto"/>
                <w:szCs w:val="21"/>
                <w:highlight w:val="none"/>
              </w:rPr>
              <w:t>联合体投标要求</w:t>
            </w:r>
          </w:p>
        </w:tc>
        <w:tc>
          <w:tcPr>
            <w:tcW w:w="7037" w:type="dxa"/>
            <w:tcBorders>
              <w:top w:val="single" w:color="auto" w:sz="4" w:space="0"/>
              <w:left w:val="single" w:color="auto" w:sz="4" w:space="0"/>
              <w:bottom w:val="single" w:color="auto" w:sz="4" w:space="0"/>
              <w:right w:val="single" w:color="auto" w:sz="4" w:space="0"/>
            </w:tcBorders>
            <w:vAlign w:val="center"/>
          </w:tcPr>
          <w:p w14:paraId="117808AA">
            <w:pPr>
              <w:pStyle w:val="11"/>
              <w:spacing w:line="400" w:lineRule="exact"/>
              <w:rPr>
                <w:rFonts w:ascii="宋体" w:hAnsi="宋体"/>
                <w:color w:val="auto"/>
                <w:szCs w:val="21"/>
                <w:highlight w:val="none"/>
              </w:rPr>
            </w:pPr>
            <w:r>
              <w:rPr>
                <w:rFonts w:hint="eastAsia" w:ascii="宋体" w:hAnsi="宋体"/>
                <w:color w:val="auto"/>
                <w:szCs w:val="21"/>
                <w:highlight w:val="none"/>
              </w:rPr>
              <w:t>无</w:t>
            </w:r>
          </w:p>
        </w:tc>
      </w:tr>
      <w:tr w14:paraId="753933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20476BB">
            <w:pPr>
              <w:spacing w:line="400" w:lineRule="exact"/>
              <w:rPr>
                <w:rFonts w:ascii="宋体" w:hAnsi="宋体"/>
                <w:color w:val="auto"/>
                <w:szCs w:val="21"/>
                <w:highlight w:val="none"/>
              </w:rPr>
            </w:pPr>
            <w:r>
              <w:rPr>
                <w:rFonts w:hint="eastAsia" w:ascii="宋体" w:hAnsi="宋体"/>
                <w:color w:val="auto"/>
                <w:szCs w:val="21"/>
                <w:highlight w:val="none"/>
              </w:rPr>
              <w:t>7.2</w:t>
            </w:r>
          </w:p>
        </w:tc>
        <w:tc>
          <w:tcPr>
            <w:tcW w:w="2268" w:type="dxa"/>
            <w:tcBorders>
              <w:top w:val="single" w:color="auto" w:sz="4" w:space="0"/>
              <w:left w:val="single" w:color="auto" w:sz="4" w:space="0"/>
              <w:bottom w:val="single" w:color="auto" w:sz="4" w:space="0"/>
              <w:right w:val="single" w:color="auto" w:sz="4" w:space="0"/>
            </w:tcBorders>
            <w:vAlign w:val="center"/>
          </w:tcPr>
          <w:p w14:paraId="304BD53A">
            <w:pPr>
              <w:spacing w:line="400" w:lineRule="exact"/>
              <w:rPr>
                <w:rFonts w:ascii="宋体" w:hAnsi="宋体"/>
                <w:color w:val="auto"/>
                <w:szCs w:val="21"/>
                <w:highlight w:val="none"/>
              </w:rPr>
            </w:pPr>
            <w:r>
              <w:rPr>
                <w:rFonts w:hint="eastAsia" w:ascii="宋体" w:hAnsi="宋体"/>
                <w:color w:val="auto"/>
                <w:szCs w:val="21"/>
                <w:highlight w:val="none"/>
              </w:rPr>
              <w:t>是否允许转包/分包</w:t>
            </w:r>
          </w:p>
        </w:tc>
        <w:tc>
          <w:tcPr>
            <w:tcW w:w="7037" w:type="dxa"/>
            <w:tcBorders>
              <w:top w:val="single" w:color="auto" w:sz="4" w:space="0"/>
              <w:left w:val="single" w:color="auto" w:sz="4" w:space="0"/>
              <w:bottom w:val="single" w:color="auto" w:sz="4" w:space="0"/>
              <w:right w:val="single" w:color="auto" w:sz="4" w:space="0"/>
            </w:tcBorders>
            <w:vAlign w:val="center"/>
          </w:tcPr>
          <w:p w14:paraId="683FDE1F">
            <w:pPr>
              <w:pStyle w:val="11"/>
              <w:spacing w:line="400" w:lineRule="exact"/>
              <w:rPr>
                <w:rFonts w:ascii="宋体" w:hAnsi="宋体"/>
                <w:color w:val="auto"/>
                <w:szCs w:val="21"/>
                <w:highlight w:val="none"/>
              </w:rPr>
            </w:pPr>
            <w:r>
              <w:rPr>
                <w:rFonts w:hint="eastAsia" w:ascii="宋体" w:hAnsi="宋体"/>
                <w:color w:val="auto"/>
                <w:szCs w:val="21"/>
                <w:highlight w:val="none"/>
              </w:rPr>
              <w:t>不允许转包/分包</w:t>
            </w:r>
          </w:p>
        </w:tc>
      </w:tr>
      <w:tr w14:paraId="37ECCA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E6AAFEF">
            <w:pPr>
              <w:spacing w:line="400" w:lineRule="exact"/>
              <w:rPr>
                <w:rFonts w:ascii="宋体" w:hAnsi="宋体"/>
                <w:color w:val="auto"/>
                <w:szCs w:val="21"/>
                <w:highlight w:val="none"/>
              </w:rPr>
            </w:pPr>
            <w:r>
              <w:rPr>
                <w:rFonts w:hint="eastAsia" w:ascii="宋体" w:hAnsi="宋体"/>
                <w:color w:val="auto"/>
                <w:szCs w:val="21"/>
                <w:highlight w:val="none"/>
              </w:rPr>
              <w:t>11.4</w:t>
            </w:r>
          </w:p>
        </w:tc>
        <w:tc>
          <w:tcPr>
            <w:tcW w:w="2268" w:type="dxa"/>
            <w:tcBorders>
              <w:top w:val="single" w:color="auto" w:sz="4" w:space="0"/>
              <w:left w:val="single" w:color="auto" w:sz="4" w:space="0"/>
              <w:bottom w:val="single" w:color="auto" w:sz="4" w:space="0"/>
              <w:right w:val="single" w:color="auto" w:sz="4" w:space="0"/>
            </w:tcBorders>
            <w:vAlign w:val="center"/>
          </w:tcPr>
          <w:p w14:paraId="4DEC39EB">
            <w:pPr>
              <w:spacing w:line="400" w:lineRule="exact"/>
              <w:rPr>
                <w:rFonts w:ascii="宋体" w:hAnsi="宋体"/>
                <w:color w:val="auto"/>
                <w:szCs w:val="21"/>
                <w:highlight w:val="none"/>
              </w:rPr>
            </w:pPr>
            <w:r>
              <w:rPr>
                <w:rFonts w:hint="eastAsia" w:ascii="宋体" w:hAnsi="宋体"/>
                <w:color w:val="auto"/>
                <w:szCs w:val="21"/>
                <w:highlight w:val="none"/>
              </w:rPr>
              <w:t>媒体发布渠道</w:t>
            </w:r>
          </w:p>
        </w:tc>
        <w:tc>
          <w:tcPr>
            <w:tcW w:w="7037" w:type="dxa"/>
            <w:tcBorders>
              <w:top w:val="single" w:color="auto" w:sz="4" w:space="0"/>
              <w:left w:val="single" w:color="auto" w:sz="4" w:space="0"/>
              <w:bottom w:val="single" w:color="auto" w:sz="4" w:space="0"/>
              <w:right w:val="single" w:color="auto" w:sz="4" w:space="0"/>
            </w:tcBorders>
            <w:vAlign w:val="center"/>
          </w:tcPr>
          <w:p w14:paraId="7A76BAE5">
            <w:pPr>
              <w:spacing w:line="400" w:lineRule="exact"/>
              <w:rPr>
                <w:color w:val="auto"/>
                <w:sz w:val="28"/>
                <w:szCs w:val="18"/>
                <w:highlight w:val="none"/>
              </w:rPr>
            </w:pPr>
            <w:r>
              <w:rPr>
                <w:rFonts w:hint="eastAsia" w:ascii="宋体" w:hAnsi="宋体" w:cs="宋体"/>
                <w:color w:val="auto"/>
                <w:szCs w:val="21"/>
                <w:highlight w:val="none"/>
              </w:rPr>
              <w:t>与本项目相关的政府采购业务澄清、更正及与之相关的事项将在采购公告中“</w:t>
            </w:r>
            <w:r>
              <w:rPr>
                <w:rFonts w:hint="eastAsia" w:ascii="宋体" w:hAnsi="宋体"/>
                <w:color w:val="auto"/>
                <w:szCs w:val="21"/>
                <w:highlight w:val="none"/>
              </w:rPr>
              <w:t>六、其他补充事宜”中网上查询地址</w:t>
            </w:r>
            <w:r>
              <w:rPr>
                <w:rFonts w:hint="eastAsia" w:ascii="宋体" w:hAnsi="宋体" w:cs="宋体"/>
                <w:color w:val="auto"/>
                <w:szCs w:val="21"/>
                <w:highlight w:val="none"/>
              </w:rPr>
              <w:t>上发布</w:t>
            </w:r>
            <w:r>
              <w:rPr>
                <w:rFonts w:hint="eastAsia" w:ascii="宋体" w:hAnsi="宋体" w:cs="宋体"/>
                <w:color w:val="auto"/>
                <w:kern w:val="0"/>
                <w:szCs w:val="21"/>
                <w:highlight w:val="none"/>
              </w:rPr>
              <w:t>。</w:t>
            </w:r>
          </w:p>
        </w:tc>
      </w:tr>
      <w:tr w14:paraId="348FF6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675" w:type="dxa"/>
            <w:tcBorders>
              <w:top w:val="single" w:color="auto" w:sz="4" w:space="0"/>
              <w:left w:val="single" w:color="auto" w:sz="4" w:space="0"/>
              <w:bottom w:val="single" w:color="auto" w:sz="4" w:space="0"/>
              <w:right w:val="single" w:color="auto" w:sz="4" w:space="0"/>
            </w:tcBorders>
            <w:vAlign w:val="center"/>
          </w:tcPr>
          <w:p w14:paraId="122D95DC">
            <w:pPr>
              <w:spacing w:line="400" w:lineRule="exact"/>
              <w:rPr>
                <w:rFonts w:ascii="宋体" w:hAnsi="宋体"/>
                <w:color w:val="auto"/>
                <w:szCs w:val="21"/>
                <w:highlight w:val="none"/>
              </w:rPr>
            </w:pPr>
            <w:r>
              <w:rPr>
                <w:rFonts w:hint="eastAsia" w:ascii="宋体" w:hAnsi="宋体"/>
                <w:color w:val="auto"/>
                <w:szCs w:val="21"/>
                <w:highlight w:val="none"/>
              </w:rPr>
              <w:t>11.6</w:t>
            </w:r>
          </w:p>
        </w:tc>
        <w:tc>
          <w:tcPr>
            <w:tcW w:w="2268" w:type="dxa"/>
            <w:tcBorders>
              <w:top w:val="single" w:color="auto" w:sz="4" w:space="0"/>
              <w:left w:val="single" w:color="auto" w:sz="4" w:space="0"/>
              <w:bottom w:val="single" w:color="auto" w:sz="4" w:space="0"/>
              <w:right w:val="single" w:color="auto" w:sz="4" w:space="0"/>
            </w:tcBorders>
            <w:vAlign w:val="center"/>
          </w:tcPr>
          <w:p w14:paraId="79DADBE8">
            <w:pPr>
              <w:spacing w:line="400" w:lineRule="exact"/>
              <w:rPr>
                <w:rFonts w:ascii="宋体" w:hAnsi="宋体"/>
                <w:color w:val="auto"/>
                <w:szCs w:val="21"/>
                <w:highlight w:val="none"/>
              </w:rPr>
            </w:pPr>
            <w:r>
              <w:rPr>
                <w:rFonts w:hint="eastAsia" w:ascii="宋体" w:hAnsi="宋体"/>
                <w:color w:val="auto"/>
                <w:szCs w:val="21"/>
                <w:highlight w:val="none"/>
              </w:rPr>
              <w:t>是否组织标前答疑会</w:t>
            </w:r>
          </w:p>
        </w:tc>
        <w:tc>
          <w:tcPr>
            <w:tcW w:w="7037" w:type="dxa"/>
            <w:tcBorders>
              <w:top w:val="single" w:color="auto" w:sz="4" w:space="0"/>
              <w:left w:val="single" w:color="auto" w:sz="4" w:space="0"/>
              <w:bottom w:val="single" w:color="auto" w:sz="4" w:space="0"/>
              <w:right w:val="single" w:color="auto" w:sz="4" w:space="0"/>
            </w:tcBorders>
            <w:vAlign w:val="center"/>
          </w:tcPr>
          <w:p w14:paraId="5C333BF4">
            <w:pPr>
              <w:snapToGrid w:val="0"/>
              <w:spacing w:line="400" w:lineRule="exact"/>
              <w:rPr>
                <w:rFonts w:ascii="宋体" w:hAnsi="宋体"/>
                <w:color w:val="auto"/>
                <w:szCs w:val="21"/>
                <w:highlight w:val="none"/>
                <w:u w:val="single"/>
              </w:rPr>
            </w:pPr>
            <w:r>
              <w:rPr>
                <w:rFonts w:hint="eastAsia" w:ascii="宋体" w:hAnsi="宋体"/>
                <w:color w:val="auto"/>
                <w:szCs w:val="21"/>
                <w:highlight w:val="none"/>
              </w:rPr>
              <w:t>☑不组织召开开标前答疑会</w:t>
            </w:r>
          </w:p>
        </w:tc>
      </w:tr>
      <w:tr w14:paraId="5AF457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11ECA370">
            <w:pPr>
              <w:spacing w:line="400" w:lineRule="exact"/>
              <w:rPr>
                <w:rFonts w:ascii="宋体" w:hAnsi="宋体"/>
                <w:color w:val="auto"/>
                <w:szCs w:val="21"/>
                <w:highlight w:val="none"/>
              </w:rPr>
            </w:pPr>
            <w:r>
              <w:rPr>
                <w:rFonts w:hint="eastAsia" w:ascii="宋体" w:hAnsi="宋体"/>
                <w:color w:val="auto"/>
                <w:szCs w:val="21"/>
                <w:highlight w:val="none"/>
              </w:rPr>
              <w:t>13.1</w:t>
            </w:r>
          </w:p>
        </w:tc>
        <w:tc>
          <w:tcPr>
            <w:tcW w:w="2268" w:type="dxa"/>
            <w:tcBorders>
              <w:top w:val="single" w:color="auto" w:sz="4" w:space="0"/>
              <w:left w:val="single" w:color="auto" w:sz="4" w:space="0"/>
              <w:bottom w:val="single" w:color="auto" w:sz="4" w:space="0"/>
              <w:right w:val="single" w:color="auto" w:sz="4" w:space="0"/>
            </w:tcBorders>
            <w:vAlign w:val="center"/>
          </w:tcPr>
          <w:p w14:paraId="3E46C73F">
            <w:pPr>
              <w:snapToGrid w:val="0"/>
              <w:spacing w:line="400" w:lineRule="exact"/>
              <w:jc w:val="left"/>
              <w:rPr>
                <w:rFonts w:ascii="宋体" w:hAnsi="宋体" w:cs="Courier New"/>
                <w:color w:val="auto"/>
                <w:szCs w:val="21"/>
                <w:highlight w:val="none"/>
              </w:rPr>
            </w:pPr>
            <w:r>
              <w:rPr>
                <w:rFonts w:hint="eastAsia" w:ascii="宋体" w:hAnsi="宋体" w:cs="Courier New"/>
                <w:color w:val="auto"/>
                <w:szCs w:val="21"/>
                <w:highlight w:val="none"/>
              </w:rPr>
              <w:t>资格证明文件组成</w:t>
            </w:r>
          </w:p>
        </w:tc>
        <w:tc>
          <w:tcPr>
            <w:tcW w:w="7037" w:type="dxa"/>
            <w:tcBorders>
              <w:top w:val="single" w:color="auto" w:sz="4" w:space="0"/>
              <w:left w:val="single" w:color="auto" w:sz="4" w:space="0"/>
              <w:bottom w:val="single" w:color="auto" w:sz="4" w:space="0"/>
              <w:right w:val="single" w:color="auto" w:sz="4" w:space="0"/>
            </w:tcBorders>
            <w:vAlign w:val="center"/>
          </w:tcPr>
          <w:p w14:paraId="3C568145">
            <w:pPr>
              <w:snapToGrid w:val="0"/>
              <w:spacing w:line="400" w:lineRule="exact"/>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rPr>
              <w:t>投标人为法人或者其他组织的，提供营业执照等证明文件</w:t>
            </w:r>
            <w:r>
              <w:rPr>
                <w:rFonts w:hint="eastAsia" w:ascii="宋体" w:hAnsi="宋体" w:cs="宋体"/>
                <w:color w:val="auto"/>
                <w:szCs w:val="21"/>
                <w:highlight w:val="none"/>
              </w:rPr>
              <w:t>（如营业执照或者事业单位法人证书或者执业许可证等）</w:t>
            </w:r>
            <w:r>
              <w:rPr>
                <w:rFonts w:hint="eastAsia" w:ascii="宋体" w:hAnsi="宋体"/>
                <w:color w:val="auto"/>
                <w:szCs w:val="21"/>
                <w:highlight w:val="none"/>
              </w:rPr>
              <w:t>，投标人为自然人的，提供身份证</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5DAA158C">
            <w:pPr>
              <w:snapToGrid w:val="0"/>
              <w:spacing w:line="400" w:lineRule="exact"/>
              <w:jc w:val="left"/>
              <w:rPr>
                <w:rFonts w:ascii="宋体" w:hAnsi="宋体"/>
                <w:color w:val="auto"/>
                <w:szCs w:val="21"/>
                <w:highlight w:val="none"/>
              </w:rPr>
            </w:pPr>
            <w:r>
              <w:rPr>
                <w:rFonts w:hint="eastAsia" w:ascii="宋体" w:hAnsi="宋体" w:cs="宋体"/>
                <w:color w:val="auto"/>
                <w:szCs w:val="21"/>
                <w:highlight w:val="none"/>
                <w:lang w:eastAsia="zh-CN"/>
              </w:rPr>
              <w:t>2.</w:t>
            </w:r>
            <w:r>
              <w:rPr>
                <w:rFonts w:hint="eastAsia" w:ascii="宋体" w:hAnsi="宋体" w:cs="宋体"/>
                <w:color w:val="auto"/>
                <w:szCs w:val="21"/>
                <w:highlight w:val="none"/>
              </w:rPr>
              <w:t>投标人依法缴纳税收的相关材料</w:t>
            </w:r>
            <w:r>
              <w:rPr>
                <w:rFonts w:hint="eastAsia" w:ascii="宋体" w:hAnsi="宋体" w:cs="宋体"/>
                <w:color w:val="auto"/>
                <w:szCs w:val="21"/>
                <w:highlight w:val="none"/>
                <w:u w:val="single"/>
              </w:rPr>
              <w:t>[2026年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月至2026年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月]</w:t>
            </w:r>
            <w:r>
              <w:rPr>
                <w:rFonts w:hint="eastAsia" w:ascii="宋体" w:hAnsi="宋体" w:cs="宋体"/>
                <w:color w:val="auto"/>
                <w:szCs w:val="21"/>
                <w:highlight w:val="none"/>
              </w:rPr>
              <w:t>任意</w:t>
            </w:r>
            <w:r>
              <w:rPr>
                <w:rFonts w:hint="eastAsia" w:ascii="宋体" w:hAnsi="宋体" w:cs="宋体"/>
                <w:color w:val="auto"/>
                <w:szCs w:val="21"/>
                <w:highlight w:val="none"/>
                <w:u w:val="single"/>
              </w:rPr>
              <w:t xml:space="preserve">1 </w:t>
            </w:r>
            <w:r>
              <w:rPr>
                <w:rFonts w:hint="eastAsia" w:ascii="宋体" w:hAnsi="宋体" w:cs="宋体"/>
                <w:color w:val="auto"/>
                <w:szCs w:val="21"/>
                <w:highlight w:val="none"/>
              </w:rPr>
              <w:t>个月的依法缴纳税收的凭据复印件；依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610981C3">
            <w:pPr>
              <w:snapToGrid w:val="0"/>
              <w:spacing w:line="400" w:lineRule="exact"/>
              <w:jc w:val="left"/>
              <w:rPr>
                <w:rFonts w:ascii="宋体" w:hAnsi="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投标人依法缴纳社会保障资金的相关材料[</w:t>
            </w:r>
            <w:r>
              <w:rPr>
                <w:rFonts w:hint="eastAsia" w:ascii="宋体" w:hAnsi="宋体" w:cs="宋体"/>
                <w:color w:val="auto"/>
                <w:szCs w:val="21"/>
                <w:highlight w:val="none"/>
                <w:u w:val="single"/>
              </w:rPr>
              <w:t>2026年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月至2026年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月</w:t>
            </w:r>
            <w:r>
              <w:rPr>
                <w:rFonts w:hint="eastAsia" w:ascii="宋体" w:hAnsi="宋体" w:cs="宋体"/>
                <w:color w:val="auto"/>
                <w:szCs w:val="21"/>
                <w:highlight w:val="none"/>
              </w:rPr>
              <w:t>]任意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个月的依法缴纳社会保障资金的缴费凭证复印件；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从取得营业执照时间起到投标文件提交截止时间为止不足要求月数的只需提供从取得营业执照起的依法缴纳社会保障资金的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44C3F0E1">
            <w:pPr>
              <w:snapToGrid w:val="0"/>
              <w:spacing w:line="400" w:lineRule="exact"/>
              <w:jc w:val="left"/>
              <w:rPr>
                <w:rFonts w:ascii="宋体" w:hAnsi="宋体"/>
                <w:color w:val="auto"/>
                <w:szCs w:val="21"/>
                <w:highlight w:val="none"/>
              </w:rPr>
            </w:pPr>
            <w:r>
              <w:rPr>
                <w:rFonts w:hint="eastAsia" w:ascii="宋体" w:hAnsi="宋体" w:cs="宋体"/>
                <w:color w:val="auto"/>
                <w:szCs w:val="21"/>
                <w:highlight w:val="none"/>
                <w:lang w:eastAsia="zh-CN"/>
              </w:rPr>
              <w:t>4.</w:t>
            </w:r>
            <w:r>
              <w:rPr>
                <w:rFonts w:hint="eastAsia" w:ascii="宋体" w:hAnsi="宋体" w:cs="宋体"/>
                <w:color w:val="auto"/>
                <w:szCs w:val="21"/>
                <w:highlight w:val="none"/>
              </w:rPr>
              <w:t>投标人财务状况报告：</w:t>
            </w:r>
            <w:r>
              <w:rPr>
                <w:rFonts w:hint="eastAsia" w:ascii="宋体" w:hAnsi="宋体"/>
                <w:color w:val="auto"/>
                <w:szCs w:val="21"/>
                <w:highlight w:val="none"/>
              </w:rPr>
              <w:t>[</w:t>
            </w:r>
            <w:r>
              <w:rPr>
                <w:rFonts w:hint="eastAsia" w:ascii="宋体" w:hAnsi="宋体" w:cs="宋体"/>
                <w:color w:val="auto"/>
                <w:szCs w:val="21"/>
                <w:highlight w:val="none"/>
                <w:u w:val="single"/>
              </w:rPr>
              <w:t>2024</w:t>
            </w:r>
            <w:r>
              <w:rPr>
                <w:rFonts w:hint="eastAsia" w:ascii="宋体" w:hAnsi="宋体" w:cs="宋体"/>
                <w:color w:val="auto"/>
                <w:szCs w:val="21"/>
                <w:highlight w:val="none"/>
              </w:rPr>
              <w:t>年或</w:t>
            </w:r>
            <w:r>
              <w:rPr>
                <w:rFonts w:hint="eastAsia" w:ascii="宋体" w:hAnsi="宋体" w:cs="宋体"/>
                <w:color w:val="auto"/>
                <w:szCs w:val="21"/>
                <w:highlight w:val="none"/>
                <w:u w:val="single"/>
              </w:rPr>
              <w:t>2025年</w:t>
            </w:r>
            <w:r>
              <w:rPr>
                <w:rFonts w:hint="eastAsia" w:ascii="宋体" w:hAnsi="宋体"/>
                <w:color w:val="auto"/>
                <w:szCs w:val="21"/>
                <w:highlight w:val="none"/>
              </w:rPr>
              <w:t>]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olor w:val="auto"/>
                <w:szCs w:val="21"/>
                <w:highlight w:val="none"/>
                <w:lang w:eastAsia="zh-CN"/>
              </w:rPr>
              <w:t>）</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2BFCB5D1">
            <w:pPr>
              <w:snapToGrid w:val="0"/>
              <w:spacing w:line="400" w:lineRule="exact"/>
              <w:jc w:val="left"/>
              <w:rPr>
                <w:rFonts w:ascii="宋体" w:hAnsi="宋体"/>
                <w:color w:val="auto"/>
                <w:szCs w:val="21"/>
                <w:highlight w:val="none"/>
              </w:rPr>
            </w:pPr>
            <w:r>
              <w:rPr>
                <w:rFonts w:hint="eastAsia" w:ascii="宋体" w:hAnsi="宋体"/>
                <w:color w:val="auto"/>
                <w:szCs w:val="21"/>
                <w:highlight w:val="none"/>
                <w:lang w:eastAsia="zh-CN"/>
              </w:rPr>
              <w:t>5.</w:t>
            </w:r>
            <w:r>
              <w:rPr>
                <w:rFonts w:hint="eastAsia" w:ascii="宋体" w:hAnsi="宋体"/>
                <w:color w:val="auto"/>
                <w:szCs w:val="21"/>
                <w:highlight w:val="none"/>
              </w:rPr>
              <w:t>投标人直接控股、管理关系信息表。（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18D7D0BF">
            <w:pPr>
              <w:numPr>
                <w:ilvl w:val="0"/>
                <w:numId w:val="1"/>
              </w:numPr>
              <w:snapToGrid w:val="0"/>
              <w:spacing w:line="400" w:lineRule="exact"/>
              <w:ind w:left="0"/>
              <w:jc w:val="left"/>
              <w:rPr>
                <w:rFonts w:ascii="宋体" w:hAnsi="宋体"/>
                <w:color w:val="auto"/>
                <w:szCs w:val="21"/>
                <w:highlight w:val="none"/>
              </w:rPr>
            </w:pPr>
            <w:r>
              <w:rPr>
                <w:rFonts w:hint="eastAsia" w:ascii="宋体" w:hAnsi="宋体"/>
                <w:color w:val="auto"/>
                <w:szCs w:val="21"/>
                <w:highlight w:val="none"/>
                <w:lang w:eastAsia="zh-CN"/>
              </w:rPr>
              <w:t>6.</w:t>
            </w:r>
            <w:r>
              <w:rPr>
                <w:rFonts w:hint="eastAsia" w:ascii="宋体" w:hAnsi="宋体"/>
                <w:color w:val="auto"/>
                <w:szCs w:val="21"/>
                <w:highlight w:val="none"/>
              </w:rPr>
              <w:t>投标资格声明。（</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2A6FDD3F">
            <w:pPr>
              <w:snapToGrid w:val="0"/>
              <w:spacing w:line="380" w:lineRule="exact"/>
              <w:jc w:val="left"/>
              <w:rPr>
                <w:rFonts w:ascii="宋体" w:hAnsi="宋体"/>
                <w:color w:val="auto"/>
                <w:szCs w:val="21"/>
                <w:highlight w:val="none"/>
              </w:rPr>
            </w:pPr>
            <w:r>
              <w:rPr>
                <w:rFonts w:hint="eastAsia" w:ascii="宋体" w:hAnsi="宋体"/>
                <w:color w:val="auto"/>
                <w:szCs w:val="21"/>
                <w:highlight w:val="none"/>
                <w:lang w:eastAsia="zh-CN"/>
              </w:rPr>
              <w:t>7.</w:t>
            </w:r>
            <w:r>
              <w:rPr>
                <w:rFonts w:hint="eastAsia" w:ascii="宋体" w:hAnsi="宋体"/>
                <w:color w:val="auto"/>
                <w:szCs w:val="21"/>
                <w:highlight w:val="none"/>
              </w:rPr>
              <w:t>本项目的特定资格要求：投标人必须具有有效的《人力资源服务许可证》，提供扫描件。</w:t>
            </w:r>
            <w:r>
              <w:rPr>
                <w:rFonts w:hint="eastAsia" w:ascii="宋体" w:hAnsi="宋体"/>
                <w:b/>
                <w:bCs/>
                <w:color w:val="auto"/>
                <w:szCs w:val="21"/>
                <w:highlight w:val="none"/>
              </w:rPr>
              <w:t>（必须提供，否则作无效投标处理）</w:t>
            </w:r>
          </w:p>
          <w:p w14:paraId="208773A9">
            <w:pPr>
              <w:snapToGrid w:val="0"/>
              <w:spacing w:line="380" w:lineRule="exact"/>
              <w:jc w:val="left"/>
              <w:rPr>
                <w:rFonts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除招标文件规定必须提供以外，投标人认为需要提供的其他证明材料。</w:t>
            </w:r>
          </w:p>
          <w:p w14:paraId="076CCF99">
            <w:pPr>
              <w:snapToGrid w:val="0"/>
              <w:spacing w:line="400" w:lineRule="exact"/>
              <w:jc w:val="left"/>
              <w:rPr>
                <w:rFonts w:ascii="宋体" w:hAnsi="宋体" w:cs="Courier New"/>
                <w:b/>
                <w:color w:val="auto"/>
                <w:szCs w:val="21"/>
                <w:highlight w:val="none"/>
              </w:rPr>
            </w:pPr>
            <w:r>
              <w:rPr>
                <w:rFonts w:hint="eastAsia" w:ascii="宋体" w:hAnsi="宋体"/>
                <w:b/>
                <w:bCs/>
                <w:color w:val="auto"/>
                <w:szCs w:val="21"/>
                <w:highlight w:val="none"/>
              </w:rPr>
              <w:t>注：1.</w:t>
            </w:r>
            <w:r>
              <w:rPr>
                <w:rFonts w:hint="eastAsia" w:ascii="宋体" w:hAnsi="宋体"/>
                <w:color w:val="auto"/>
                <w:szCs w:val="21"/>
                <w:highlight w:val="none"/>
              </w:rPr>
              <w:t xml:space="preserve"> </w:t>
            </w:r>
            <w:r>
              <w:rPr>
                <w:rFonts w:hint="eastAsia" w:ascii="宋体" w:hAnsi="宋体"/>
                <w:b/>
                <w:bCs/>
                <w:color w:val="auto"/>
                <w:szCs w:val="21"/>
                <w:highlight w:val="none"/>
              </w:rPr>
              <w:t>以上标明“必须提供”的材料</w:t>
            </w:r>
            <w:r>
              <w:rPr>
                <w:rFonts w:hint="eastAsia" w:ascii="宋体" w:hAnsi="宋体" w:cs="宋体"/>
                <w:b/>
                <w:color w:val="auto"/>
                <w:szCs w:val="21"/>
                <w:highlight w:val="none"/>
              </w:rPr>
              <w:t>属于复印件的扫描件的</w:t>
            </w:r>
            <w:r>
              <w:rPr>
                <w:rFonts w:hint="eastAsia" w:ascii="宋体" w:hAnsi="宋体"/>
                <w:b/>
                <w:bCs/>
                <w:color w:val="auto"/>
                <w:szCs w:val="21"/>
                <w:highlight w:val="none"/>
              </w:rPr>
              <w:t>，必须加盖投标人电子公章，否则</w:t>
            </w:r>
            <w:r>
              <w:rPr>
                <w:rFonts w:hint="eastAsia" w:ascii="宋体" w:hAnsi="宋体" w:cs="Courier New"/>
                <w:b/>
                <w:color w:val="auto"/>
                <w:szCs w:val="21"/>
                <w:highlight w:val="none"/>
              </w:rPr>
              <w:t>作无效投标处理。</w:t>
            </w:r>
          </w:p>
          <w:p w14:paraId="7464D2B5">
            <w:pPr>
              <w:snapToGrid w:val="0"/>
              <w:spacing w:line="400" w:lineRule="exact"/>
              <w:ind w:firstLine="422" w:firstLineChars="200"/>
              <w:jc w:val="left"/>
              <w:rPr>
                <w:rFonts w:ascii="宋体" w:hAnsi="宋体"/>
                <w:b/>
                <w:bCs/>
                <w:color w:val="auto"/>
                <w:szCs w:val="21"/>
                <w:highlight w:val="none"/>
              </w:rPr>
            </w:pPr>
            <w:r>
              <w:rPr>
                <w:rFonts w:hint="eastAsia" w:ascii="宋体" w:hAnsi="宋体" w:cs="Courier New"/>
                <w:b/>
                <w:color w:val="auto"/>
                <w:szCs w:val="21"/>
                <w:highlight w:val="none"/>
              </w:rPr>
              <w:t>2</w:t>
            </w:r>
            <w:r>
              <w:rPr>
                <w:rFonts w:hint="eastAsia" w:ascii="宋体" w:hAnsi="宋体"/>
                <w:b/>
                <w:bCs/>
                <w:color w:val="auto"/>
                <w:szCs w:val="21"/>
                <w:highlight w:val="none"/>
              </w:rPr>
              <w:t>.联合体投标时，第1-5项资格证明文件联合体各方均必须分别提供，联合体各方分别盖章和签字，否则投标文件按无效响应处理。</w:t>
            </w:r>
          </w:p>
        </w:tc>
      </w:tr>
      <w:tr w14:paraId="473882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6ACBAD9E">
            <w:pPr>
              <w:spacing w:line="40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22D0743F">
            <w:pPr>
              <w:snapToGrid w:val="0"/>
              <w:spacing w:line="400" w:lineRule="exact"/>
              <w:jc w:val="left"/>
              <w:rPr>
                <w:rFonts w:ascii="宋体" w:hAnsi="宋体" w:cs="Courier New"/>
                <w:color w:val="auto"/>
                <w:szCs w:val="21"/>
                <w:highlight w:val="none"/>
              </w:rPr>
            </w:pPr>
            <w:r>
              <w:rPr>
                <w:rFonts w:hint="eastAsia" w:ascii="宋体" w:hAnsi="宋体" w:cs="Courier New"/>
                <w:color w:val="auto"/>
                <w:szCs w:val="21"/>
                <w:highlight w:val="none"/>
              </w:rPr>
              <w:t>商务文件组成</w:t>
            </w:r>
          </w:p>
          <w:p w14:paraId="32085374">
            <w:pPr>
              <w:spacing w:line="400" w:lineRule="exact"/>
              <w:rPr>
                <w:rFonts w:ascii="宋体" w:hAnsi="宋体"/>
                <w:color w:val="auto"/>
                <w:szCs w:val="21"/>
                <w:highlight w:val="none"/>
              </w:rPr>
            </w:pPr>
          </w:p>
        </w:tc>
        <w:tc>
          <w:tcPr>
            <w:tcW w:w="7037" w:type="dxa"/>
            <w:tcBorders>
              <w:top w:val="single" w:color="auto" w:sz="4" w:space="0"/>
              <w:left w:val="single" w:color="auto" w:sz="4" w:space="0"/>
              <w:bottom w:val="single" w:color="auto" w:sz="4" w:space="0"/>
              <w:right w:val="single" w:color="auto" w:sz="4" w:space="0"/>
            </w:tcBorders>
            <w:vAlign w:val="center"/>
          </w:tcPr>
          <w:p w14:paraId="04765652">
            <w:pPr>
              <w:snapToGrid w:val="0"/>
              <w:spacing w:line="400" w:lineRule="exact"/>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rPr>
              <w:t>无串通投标行为的承诺函；（</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4ADA3EB6">
            <w:pPr>
              <w:snapToGrid w:val="0"/>
              <w:spacing w:line="400" w:lineRule="exact"/>
              <w:jc w:val="left"/>
              <w:rPr>
                <w:rFonts w:ascii="宋体" w:hAnsi="宋体"/>
                <w:color w:val="auto"/>
                <w:szCs w:val="21"/>
                <w:highlight w:val="none"/>
              </w:rPr>
            </w:pPr>
            <w:r>
              <w:rPr>
                <w:rFonts w:hint="eastAsia" w:ascii="宋体" w:hAnsi="宋体"/>
                <w:color w:val="auto"/>
                <w:szCs w:val="21"/>
                <w:highlight w:val="none"/>
                <w:lang w:eastAsia="zh-CN"/>
              </w:rPr>
              <w:t>2.</w:t>
            </w:r>
            <w:r>
              <w:rPr>
                <w:rFonts w:hint="eastAsia" w:ascii="宋体" w:hAnsi="宋体"/>
                <w:color w:val="auto"/>
                <w:szCs w:val="21"/>
                <w:highlight w:val="none"/>
              </w:rPr>
              <w:t>法定代表人身份证明及法定代表人有效身份证正反面复印件；（</w:t>
            </w:r>
            <w:r>
              <w:rPr>
                <w:rFonts w:hint="eastAsia" w:ascii="宋体" w:hAnsi="宋体" w:cs="宋体"/>
                <w:b/>
                <w:bCs/>
                <w:color w:val="auto"/>
                <w:szCs w:val="21"/>
                <w:highlight w:val="none"/>
              </w:rPr>
              <w:t>除自然人投标外</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31A4AB6D">
            <w:pPr>
              <w:snapToGrid w:val="0"/>
              <w:spacing w:line="400" w:lineRule="exact"/>
              <w:jc w:val="left"/>
              <w:rPr>
                <w:rFonts w:ascii="宋体" w:hAnsi="宋体"/>
                <w:color w:val="auto"/>
                <w:szCs w:val="21"/>
                <w:highlight w:val="none"/>
              </w:rPr>
            </w:pPr>
            <w:r>
              <w:rPr>
                <w:rFonts w:hint="eastAsia" w:ascii="宋体" w:hAnsi="宋体"/>
                <w:color w:val="auto"/>
                <w:szCs w:val="21"/>
                <w:highlight w:val="none"/>
                <w:lang w:eastAsia="zh-CN"/>
              </w:rPr>
              <w:t>3.</w:t>
            </w:r>
            <w:r>
              <w:rPr>
                <w:rFonts w:hint="eastAsia" w:ascii="宋体" w:hAnsi="宋体"/>
                <w:color w:val="auto"/>
                <w:szCs w:val="21"/>
                <w:highlight w:val="none"/>
              </w:rPr>
              <w:t>法定代表人授权委托书及委托代理人有效身份证正反面复印件；（</w:t>
            </w:r>
            <w:r>
              <w:rPr>
                <w:rFonts w:hint="eastAsia" w:ascii="宋体" w:hAnsi="宋体"/>
                <w:b/>
                <w:color w:val="auto"/>
                <w:szCs w:val="21"/>
                <w:highlight w:val="none"/>
              </w:rPr>
              <w:t>委托时必须提供，否则作无效投标处理</w:t>
            </w:r>
            <w:r>
              <w:rPr>
                <w:rFonts w:hint="eastAsia" w:ascii="宋体" w:hAnsi="宋体"/>
                <w:color w:val="auto"/>
                <w:szCs w:val="21"/>
                <w:highlight w:val="none"/>
              </w:rPr>
              <w:t>）</w:t>
            </w:r>
          </w:p>
          <w:p w14:paraId="1551503D">
            <w:pPr>
              <w:snapToGrid w:val="0"/>
              <w:spacing w:line="400" w:lineRule="exact"/>
              <w:jc w:val="left"/>
              <w:rPr>
                <w:rFonts w:ascii="宋体" w:hAnsi="宋体"/>
                <w:color w:val="auto"/>
                <w:szCs w:val="21"/>
                <w:highlight w:val="none"/>
              </w:rPr>
            </w:pPr>
            <w:r>
              <w:rPr>
                <w:rFonts w:hint="eastAsia" w:ascii="宋体" w:hAnsi="宋体"/>
                <w:color w:val="auto"/>
                <w:szCs w:val="21"/>
                <w:highlight w:val="none"/>
                <w:lang w:eastAsia="zh-CN"/>
              </w:rPr>
              <w:t>4.</w:t>
            </w:r>
            <w:r>
              <w:rPr>
                <w:rFonts w:hint="eastAsia" w:ascii="宋体" w:hAnsi="宋体"/>
                <w:color w:val="auto"/>
                <w:szCs w:val="21"/>
                <w:highlight w:val="none"/>
              </w:rPr>
              <w:t>商务条款偏离表；（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6B7FED41">
            <w:pPr>
              <w:snapToGrid w:val="0"/>
              <w:spacing w:line="400" w:lineRule="exact"/>
              <w:jc w:val="left"/>
              <w:rPr>
                <w:rFonts w:ascii="宋体" w:hAnsi="宋体"/>
                <w:color w:val="auto"/>
                <w:szCs w:val="21"/>
                <w:highlight w:val="none"/>
              </w:rPr>
            </w:pPr>
            <w:r>
              <w:rPr>
                <w:rFonts w:hint="eastAsia" w:ascii="宋体" w:hAnsi="宋体"/>
                <w:color w:val="auto"/>
                <w:szCs w:val="21"/>
                <w:highlight w:val="none"/>
                <w:lang w:eastAsia="zh-CN"/>
              </w:rPr>
              <w:t>5.</w:t>
            </w:r>
            <w:r>
              <w:rPr>
                <w:rFonts w:hint="eastAsia" w:ascii="宋体" w:hAnsi="宋体"/>
                <w:color w:val="auto"/>
                <w:szCs w:val="21"/>
                <w:highlight w:val="none"/>
              </w:rPr>
              <w:t>投标人情况介绍；</w:t>
            </w:r>
            <w:r>
              <w:rPr>
                <w:rFonts w:hint="eastAsia" w:ascii="宋体" w:hAnsi="宋体"/>
                <w:b/>
                <w:color w:val="auto"/>
                <w:szCs w:val="21"/>
                <w:highlight w:val="none"/>
              </w:rPr>
              <w:t>（如有请提供）</w:t>
            </w:r>
          </w:p>
          <w:p w14:paraId="25BDC030">
            <w:pPr>
              <w:snapToGrid w:val="0"/>
              <w:spacing w:line="400" w:lineRule="exact"/>
              <w:jc w:val="left"/>
              <w:rPr>
                <w:rFonts w:ascii="宋体" w:hAnsi="宋体"/>
                <w:color w:val="auto"/>
                <w:szCs w:val="21"/>
                <w:highlight w:val="none"/>
              </w:rPr>
            </w:pPr>
            <w:r>
              <w:rPr>
                <w:rFonts w:hint="eastAsia" w:ascii="宋体" w:hAnsi="宋体"/>
                <w:color w:val="auto"/>
                <w:szCs w:val="21"/>
                <w:highlight w:val="none"/>
                <w:lang w:eastAsia="zh-CN"/>
              </w:rPr>
              <w:t>6.</w:t>
            </w:r>
            <w:r>
              <w:rPr>
                <w:rFonts w:hint="eastAsia" w:ascii="宋体" w:hAnsi="宋体"/>
                <w:color w:val="auto"/>
                <w:szCs w:val="21"/>
                <w:highlight w:val="none"/>
              </w:rPr>
              <w:t>除招标文件规定必须提供以外，投标人认为需要提供的其他证明材料。（投标人根据“第二章 采购需求”及“第四章 评标方法及评标标准”提供有关证明材料）。</w:t>
            </w:r>
          </w:p>
          <w:p w14:paraId="7B82C8BA">
            <w:pPr>
              <w:snapToGrid w:val="0"/>
              <w:spacing w:line="400" w:lineRule="exact"/>
              <w:jc w:val="left"/>
              <w:rPr>
                <w:rFonts w:ascii="宋体" w:hAnsi="宋体"/>
                <w:b/>
                <w:bCs/>
                <w:color w:val="auto"/>
                <w:szCs w:val="21"/>
                <w:highlight w:val="none"/>
              </w:rPr>
            </w:pPr>
            <w:r>
              <w:rPr>
                <w:rFonts w:hint="eastAsia" w:ascii="宋体" w:hAnsi="宋体"/>
                <w:b/>
                <w:bCs/>
                <w:color w:val="auto"/>
                <w:szCs w:val="21"/>
                <w:highlight w:val="none"/>
              </w:rPr>
              <w:t>注： 1.法定代表人授权委托书必须由法定代表人及委托代理人签字，并加盖投标人公章，否则作无效投标处理。</w:t>
            </w:r>
          </w:p>
          <w:p w14:paraId="635B78DC">
            <w:pPr>
              <w:snapToGrid w:val="0"/>
              <w:spacing w:line="400" w:lineRule="exact"/>
              <w:ind w:firstLine="422" w:firstLineChars="200"/>
              <w:jc w:val="left"/>
              <w:rPr>
                <w:rFonts w:ascii="宋体" w:hAnsi="宋体" w:cs="Courier New"/>
                <w:b/>
                <w:color w:val="auto"/>
                <w:szCs w:val="21"/>
                <w:highlight w:val="none"/>
              </w:rPr>
            </w:pPr>
            <w:r>
              <w:rPr>
                <w:rFonts w:hint="eastAsia" w:ascii="宋体" w:hAnsi="宋体"/>
                <w:b/>
                <w:bCs/>
                <w:color w:val="auto"/>
                <w:szCs w:val="21"/>
                <w:highlight w:val="none"/>
              </w:rPr>
              <w:t>2.</w:t>
            </w:r>
            <w:r>
              <w:rPr>
                <w:rFonts w:hint="eastAsia" w:ascii="宋体" w:hAnsi="宋体"/>
                <w:color w:val="auto"/>
                <w:szCs w:val="21"/>
                <w:highlight w:val="none"/>
              </w:rPr>
              <w:t xml:space="preserve"> </w:t>
            </w:r>
            <w:r>
              <w:rPr>
                <w:rFonts w:hint="eastAsia" w:ascii="宋体" w:hAnsi="宋体"/>
                <w:b/>
                <w:bCs/>
                <w:color w:val="auto"/>
                <w:szCs w:val="21"/>
                <w:highlight w:val="none"/>
              </w:rPr>
              <w:t>以上标明“必须提供”的材料</w:t>
            </w:r>
            <w:r>
              <w:rPr>
                <w:rFonts w:hint="eastAsia" w:ascii="宋体" w:hAnsi="宋体" w:cs="宋体"/>
                <w:b/>
                <w:color w:val="auto"/>
                <w:szCs w:val="21"/>
                <w:highlight w:val="none"/>
              </w:rPr>
              <w:t>属于复印件的扫描件的</w:t>
            </w:r>
            <w:r>
              <w:rPr>
                <w:rFonts w:hint="eastAsia" w:ascii="宋体" w:hAnsi="宋体"/>
                <w:b/>
                <w:bCs/>
                <w:color w:val="auto"/>
                <w:szCs w:val="21"/>
                <w:highlight w:val="none"/>
              </w:rPr>
              <w:t>，必须加盖投标人电子公章，否则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2B5795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5DED0517">
            <w:pPr>
              <w:spacing w:line="400" w:lineRule="exac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68E93A1D">
            <w:pPr>
              <w:snapToGrid w:val="0"/>
              <w:spacing w:line="400" w:lineRule="exact"/>
              <w:jc w:val="left"/>
              <w:rPr>
                <w:rFonts w:ascii="宋体" w:hAnsi="宋体" w:cs="Courier New"/>
                <w:color w:val="auto"/>
                <w:szCs w:val="21"/>
                <w:highlight w:val="none"/>
              </w:rPr>
            </w:pPr>
            <w:r>
              <w:rPr>
                <w:rFonts w:hint="eastAsia" w:ascii="宋体" w:hAnsi="宋体" w:cs="Courier New"/>
                <w:color w:val="auto"/>
                <w:szCs w:val="21"/>
                <w:highlight w:val="none"/>
              </w:rPr>
              <w:t>技术文件组成</w:t>
            </w:r>
          </w:p>
          <w:p w14:paraId="566766EA">
            <w:pPr>
              <w:spacing w:line="400" w:lineRule="exact"/>
              <w:rPr>
                <w:rFonts w:ascii="宋体" w:hAnsi="宋体"/>
                <w:color w:val="auto"/>
                <w:szCs w:val="21"/>
                <w:highlight w:val="none"/>
              </w:rPr>
            </w:pPr>
          </w:p>
        </w:tc>
        <w:tc>
          <w:tcPr>
            <w:tcW w:w="7037" w:type="dxa"/>
            <w:tcBorders>
              <w:top w:val="single" w:color="auto" w:sz="4" w:space="0"/>
              <w:left w:val="single" w:color="auto" w:sz="4" w:space="0"/>
              <w:bottom w:val="single" w:color="auto" w:sz="4" w:space="0"/>
              <w:right w:val="single" w:color="auto" w:sz="4" w:space="0"/>
            </w:tcBorders>
            <w:vAlign w:val="center"/>
          </w:tcPr>
          <w:p w14:paraId="57E40CED">
            <w:pPr>
              <w:snapToGrid w:val="0"/>
              <w:spacing w:line="400" w:lineRule="exact"/>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rPr>
              <w:t>服务需求偏离表；（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62D0CBD8">
            <w:pPr>
              <w:snapToGrid w:val="0"/>
              <w:spacing w:line="400" w:lineRule="exact"/>
              <w:jc w:val="left"/>
              <w:rPr>
                <w:rFonts w:ascii="宋体" w:hAnsi="宋体"/>
                <w:color w:val="auto"/>
                <w:szCs w:val="21"/>
                <w:highlight w:val="none"/>
              </w:rPr>
            </w:pPr>
            <w:r>
              <w:rPr>
                <w:rFonts w:hint="eastAsia" w:ascii="宋体" w:hAnsi="宋体"/>
                <w:color w:val="auto"/>
                <w:szCs w:val="21"/>
                <w:highlight w:val="none"/>
                <w:lang w:eastAsia="zh-CN"/>
              </w:rPr>
              <w:t>2.</w:t>
            </w:r>
            <w:r>
              <w:rPr>
                <w:rFonts w:hint="eastAsia" w:ascii="宋体" w:hAnsi="宋体"/>
                <w:color w:val="auto"/>
                <w:szCs w:val="21"/>
                <w:highlight w:val="none"/>
              </w:rPr>
              <w:t>筹备方案</w:t>
            </w:r>
            <w:r>
              <w:rPr>
                <w:rFonts w:hint="eastAsia" w:ascii="宋体" w:hAnsi="宋体"/>
                <w:b/>
                <w:color w:val="auto"/>
                <w:szCs w:val="21"/>
                <w:highlight w:val="none"/>
              </w:rPr>
              <w:t>（由投标人自行结合“项目采购需求”及“评标办法”编制，格式自拟。必须提供，否则作无效投标处理）</w:t>
            </w:r>
          </w:p>
          <w:p w14:paraId="7F28FEF2">
            <w:pPr>
              <w:snapToGrid w:val="0"/>
              <w:spacing w:line="400" w:lineRule="exact"/>
              <w:jc w:val="left"/>
              <w:rPr>
                <w:rFonts w:ascii="宋体" w:hAnsi="宋体"/>
                <w:color w:val="auto"/>
                <w:szCs w:val="21"/>
                <w:highlight w:val="none"/>
              </w:rPr>
            </w:pPr>
            <w:r>
              <w:rPr>
                <w:rFonts w:hint="eastAsia" w:ascii="宋体" w:hAnsi="宋体"/>
                <w:color w:val="auto"/>
                <w:szCs w:val="21"/>
                <w:highlight w:val="none"/>
                <w:lang w:eastAsia="zh-CN"/>
              </w:rPr>
              <w:t>3.</w:t>
            </w:r>
            <w:r>
              <w:rPr>
                <w:rFonts w:hint="eastAsia" w:ascii="宋体" w:hAnsi="宋体"/>
                <w:color w:val="auto"/>
                <w:szCs w:val="21"/>
                <w:highlight w:val="none"/>
              </w:rPr>
              <w:t>运营服务方案</w:t>
            </w:r>
            <w:r>
              <w:rPr>
                <w:rFonts w:hint="eastAsia" w:ascii="宋体" w:hAnsi="宋体"/>
                <w:b/>
                <w:color w:val="auto"/>
                <w:szCs w:val="21"/>
                <w:highlight w:val="none"/>
              </w:rPr>
              <w:t>（由投标人自行结合“项目采购需求”及“评标办法”编制，格式自拟。必须提供，否则作无效投标处理）</w:t>
            </w:r>
          </w:p>
          <w:p w14:paraId="62C9962E">
            <w:pPr>
              <w:snapToGrid w:val="0"/>
              <w:spacing w:line="400" w:lineRule="exact"/>
              <w:jc w:val="left"/>
              <w:rPr>
                <w:rFonts w:ascii="宋体" w:hAnsi="宋体"/>
                <w:color w:val="auto"/>
                <w:szCs w:val="21"/>
                <w:highlight w:val="none"/>
              </w:rPr>
            </w:pPr>
            <w:r>
              <w:rPr>
                <w:rFonts w:hint="eastAsia" w:ascii="宋体" w:hAnsi="宋体"/>
                <w:color w:val="auto"/>
                <w:szCs w:val="21"/>
                <w:highlight w:val="none"/>
                <w:lang w:eastAsia="zh-CN"/>
              </w:rPr>
              <w:t>4.</w:t>
            </w:r>
            <w:r>
              <w:rPr>
                <w:rFonts w:hint="eastAsia" w:ascii="宋体" w:hAnsi="宋体"/>
                <w:color w:val="auto"/>
                <w:szCs w:val="21"/>
                <w:highlight w:val="none"/>
              </w:rPr>
              <w:t>服务质量与服务保证；</w:t>
            </w:r>
            <w:r>
              <w:rPr>
                <w:rFonts w:hint="eastAsia" w:ascii="宋体" w:hAnsi="宋体"/>
                <w:b/>
                <w:color w:val="auto"/>
                <w:szCs w:val="21"/>
                <w:highlight w:val="none"/>
              </w:rPr>
              <w:t>（由投标人自行结合“项目采购需求”及“评标办法”编制，格式自拟。必须提供，否则作无效投标处理）</w:t>
            </w:r>
          </w:p>
          <w:p w14:paraId="6A933DBF">
            <w:pPr>
              <w:snapToGrid w:val="0"/>
              <w:spacing w:line="400" w:lineRule="exact"/>
              <w:jc w:val="left"/>
              <w:rPr>
                <w:rFonts w:ascii="宋体" w:hAnsi="宋体"/>
                <w:color w:val="auto"/>
                <w:szCs w:val="21"/>
                <w:highlight w:val="none"/>
              </w:rPr>
            </w:pPr>
            <w:r>
              <w:rPr>
                <w:rFonts w:hint="eastAsia" w:ascii="宋体" w:hAnsi="宋体"/>
                <w:color w:val="auto"/>
                <w:szCs w:val="21"/>
                <w:highlight w:val="none"/>
                <w:lang w:eastAsia="zh-CN"/>
              </w:rPr>
              <w:t>5.</w:t>
            </w:r>
            <w:r>
              <w:rPr>
                <w:rFonts w:hint="eastAsia" w:ascii="宋体" w:hAnsi="宋体"/>
                <w:color w:val="auto"/>
                <w:szCs w:val="21"/>
                <w:highlight w:val="none"/>
              </w:rPr>
              <w:t>项目实施人员一览表；</w:t>
            </w:r>
            <w:r>
              <w:rPr>
                <w:rFonts w:hint="eastAsia" w:ascii="宋体" w:hAnsi="宋体"/>
                <w:b/>
                <w:color w:val="auto"/>
                <w:szCs w:val="21"/>
                <w:highlight w:val="none"/>
              </w:rPr>
              <w:t>（如有请提供）</w:t>
            </w:r>
          </w:p>
          <w:p w14:paraId="2DB4BCD4">
            <w:pPr>
              <w:snapToGrid w:val="0"/>
              <w:spacing w:line="400" w:lineRule="exact"/>
              <w:jc w:val="left"/>
              <w:rPr>
                <w:rFonts w:ascii="宋体" w:hAnsi="宋体"/>
                <w:bCs/>
                <w:color w:val="auto"/>
                <w:szCs w:val="21"/>
                <w:highlight w:val="none"/>
              </w:rPr>
            </w:pPr>
            <w:r>
              <w:rPr>
                <w:rFonts w:hint="eastAsia" w:ascii="宋体" w:hAnsi="宋体"/>
                <w:color w:val="auto"/>
                <w:szCs w:val="21"/>
                <w:highlight w:val="none"/>
                <w:lang w:eastAsia="zh-CN"/>
              </w:rPr>
              <w:t>6.</w:t>
            </w:r>
            <w:r>
              <w:rPr>
                <w:rFonts w:hint="eastAsia" w:ascii="宋体" w:hAnsi="宋体"/>
                <w:color w:val="auto"/>
                <w:szCs w:val="21"/>
                <w:highlight w:val="none"/>
              </w:rPr>
              <w:t>除招标文件规定必须提供以外，投标人需要说明的其他文件和说明。</w:t>
            </w:r>
          </w:p>
          <w:p w14:paraId="09BCCED6">
            <w:pPr>
              <w:snapToGrid w:val="0"/>
              <w:spacing w:line="400" w:lineRule="exact"/>
              <w:jc w:val="left"/>
              <w:rPr>
                <w:rFonts w:ascii="宋体" w:hAnsi="宋体"/>
                <w:b/>
                <w:bCs/>
                <w:color w:val="auto"/>
                <w:szCs w:val="21"/>
                <w:highlight w:val="none"/>
              </w:rPr>
            </w:pPr>
            <w:r>
              <w:rPr>
                <w:rFonts w:hint="eastAsia" w:ascii="宋体" w:hAnsi="宋体"/>
                <w:b/>
                <w:bCs/>
                <w:color w:val="auto"/>
                <w:szCs w:val="21"/>
                <w:highlight w:val="none"/>
              </w:rPr>
              <w:t>注：以上标明“必须提供”的材料</w:t>
            </w:r>
            <w:r>
              <w:rPr>
                <w:rFonts w:hint="eastAsia" w:ascii="宋体" w:hAnsi="宋体" w:cs="宋体"/>
                <w:b/>
                <w:color w:val="auto"/>
                <w:szCs w:val="21"/>
                <w:highlight w:val="none"/>
              </w:rPr>
              <w:t>属于复印件的扫描件的</w:t>
            </w:r>
            <w:r>
              <w:rPr>
                <w:rFonts w:hint="eastAsia" w:ascii="宋体" w:hAnsi="宋体"/>
                <w:b/>
                <w:bCs/>
                <w:color w:val="auto"/>
                <w:szCs w:val="21"/>
                <w:highlight w:val="none"/>
              </w:rPr>
              <w:t>，必须加盖投标人电子公章，否则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076E87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5A12EEB7">
            <w:pPr>
              <w:widowControl/>
              <w:spacing w:line="400" w:lineRule="exact"/>
              <w:jc w:val="lef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235CBE0B">
            <w:pPr>
              <w:snapToGrid w:val="0"/>
              <w:spacing w:line="400" w:lineRule="exact"/>
              <w:jc w:val="left"/>
              <w:rPr>
                <w:rFonts w:ascii="宋体" w:hAnsi="宋体" w:cs="Courier New"/>
                <w:color w:val="auto"/>
                <w:szCs w:val="21"/>
                <w:highlight w:val="none"/>
              </w:rPr>
            </w:pPr>
            <w:r>
              <w:rPr>
                <w:rFonts w:hint="eastAsia" w:ascii="宋体" w:hAnsi="宋体" w:cs="Courier New"/>
                <w:color w:val="auto"/>
                <w:szCs w:val="21"/>
                <w:highlight w:val="none"/>
              </w:rPr>
              <w:t>报价文件</w:t>
            </w:r>
            <w:r>
              <w:rPr>
                <w:rFonts w:hint="eastAsia" w:ascii="宋体" w:hAnsi="宋体"/>
                <w:color w:val="auto"/>
                <w:szCs w:val="21"/>
                <w:highlight w:val="none"/>
              </w:rPr>
              <w:t>组成</w:t>
            </w:r>
          </w:p>
        </w:tc>
        <w:tc>
          <w:tcPr>
            <w:tcW w:w="7037" w:type="dxa"/>
            <w:tcBorders>
              <w:top w:val="single" w:color="auto" w:sz="4" w:space="0"/>
              <w:left w:val="single" w:color="auto" w:sz="4" w:space="0"/>
              <w:bottom w:val="single" w:color="auto" w:sz="4" w:space="0"/>
              <w:right w:val="single" w:color="auto" w:sz="4" w:space="0"/>
            </w:tcBorders>
            <w:vAlign w:val="center"/>
          </w:tcPr>
          <w:p w14:paraId="37F3847D">
            <w:pPr>
              <w:tabs>
                <w:tab w:val="left" w:pos="459"/>
              </w:tabs>
              <w:snapToGrid w:val="0"/>
              <w:spacing w:line="400" w:lineRule="exact"/>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rPr>
              <w:t>投标函；</w:t>
            </w:r>
            <w:r>
              <w:rPr>
                <w:rFonts w:hint="eastAsia" w:ascii="宋体" w:hAnsi="宋体"/>
                <w:b/>
                <w:color w:val="auto"/>
                <w:szCs w:val="21"/>
                <w:highlight w:val="none"/>
              </w:rPr>
              <w:t>（必须提供，否则作无效投标处理）</w:t>
            </w:r>
          </w:p>
          <w:p w14:paraId="142E76BF">
            <w:pPr>
              <w:tabs>
                <w:tab w:val="left" w:pos="459"/>
              </w:tabs>
              <w:snapToGrid w:val="0"/>
              <w:spacing w:line="400" w:lineRule="exact"/>
              <w:jc w:val="left"/>
              <w:rPr>
                <w:rFonts w:ascii="宋体" w:hAnsi="宋体"/>
                <w:color w:val="auto"/>
                <w:szCs w:val="21"/>
                <w:highlight w:val="none"/>
              </w:rPr>
            </w:pPr>
            <w:r>
              <w:rPr>
                <w:rFonts w:hint="eastAsia" w:ascii="宋体" w:hAnsi="宋体"/>
                <w:color w:val="auto"/>
                <w:szCs w:val="21"/>
                <w:highlight w:val="none"/>
                <w:lang w:eastAsia="zh-CN"/>
              </w:rPr>
              <w:t>2.</w:t>
            </w:r>
            <w:r>
              <w:rPr>
                <w:rFonts w:hint="eastAsia" w:ascii="宋体" w:hAnsi="宋体"/>
                <w:color w:val="auto"/>
                <w:szCs w:val="21"/>
                <w:highlight w:val="none"/>
              </w:rPr>
              <w:t>开标一览表；（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558E2DDD">
            <w:pPr>
              <w:tabs>
                <w:tab w:val="left" w:pos="459"/>
              </w:tabs>
              <w:snapToGrid w:val="0"/>
              <w:spacing w:line="400" w:lineRule="exact"/>
              <w:jc w:val="left"/>
              <w:rPr>
                <w:rFonts w:ascii="宋体" w:hAnsi="宋体"/>
                <w:b/>
                <w:bCs/>
                <w:color w:val="auto"/>
                <w:szCs w:val="21"/>
                <w:highlight w:val="none"/>
              </w:rPr>
            </w:pPr>
            <w:r>
              <w:rPr>
                <w:rFonts w:hint="eastAsia" w:ascii="宋体" w:hAnsi="宋体"/>
                <w:color w:val="auto"/>
                <w:szCs w:val="21"/>
                <w:highlight w:val="none"/>
                <w:lang w:eastAsia="zh-CN"/>
              </w:rPr>
              <w:t>3.</w:t>
            </w:r>
            <w:r>
              <w:rPr>
                <w:rFonts w:hint="eastAsia" w:ascii="宋体" w:hAnsi="宋体"/>
                <w:color w:val="auto"/>
                <w:szCs w:val="21"/>
                <w:highlight w:val="none"/>
              </w:rPr>
              <w:t>中小企业声明函。</w:t>
            </w:r>
            <w:r>
              <w:rPr>
                <w:rFonts w:hint="eastAsia" w:ascii="宋体" w:hAnsi="宋体"/>
                <w:b/>
                <w:bCs/>
                <w:color w:val="auto"/>
                <w:szCs w:val="21"/>
                <w:highlight w:val="none"/>
              </w:rPr>
              <w:t>（如有，请提供）</w:t>
            </w:r>
          </w:p>
          <w:p w14:paraId="4A826521">
            <w:pPr>
              <w:tabs>
                <w:tab w:val="left" w:pos="459"/>
              </w:tabs>
              <w:snapToGrid w:val="0"/>
              <w:spacing w:line="400" w:lineRule="exact"/>
              <w:jc w:val="left"/>
              <w:rPr>
                <w:rFonts w:ascii="宋体" w:hAnsi="宋体"/>
                <w:color w:val="auto"/>
                <w:szCs w:val="21"/>
                <w:highlight w:val="none"/>
              </w:rPr>
            </w:pPr>
            <w:r>
              <w:rPr>
                <w:rFonts w:hint="eastAsia" w:ascii="宋体" w:hAnsi="宋体"/>
                <w:color w:val="auto"/>
                <w:szCs w:val="21"/>
                <w:highlight w:val="none"/>
                <w:lang w:eastAsia="zh-CN"/>
              </w:rPr>
              <w:t>4.</w:t>
            </w:r>
            <w:r>
              <w:rPr>
                <w:rFonts w:hint="eastAsia" w:ascii="宋体" w:hAnsi="宋体"/>
                <w:color w:val="auto"/>
                <w:szCs w:val="21"/>
                <w:highlight w:val="none"/>
              </w:rPr>
              <w:t>投标人针对报价需要说明的其他文件和说明。</w:t>
            </w:r>
          </w:p>
        </w:tc>
      </w:tr>
      <w:tr w14:paraId="329E7D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65B4FCF">
            <w:pPr>
              <w:spacing w:line="400" w:lineRule="exact"/>
              <w:rPr>
                <w:rFonts w:ascii="宋体" w:hAnsi="宋体"/>
                <w:color w:val="auto"/>
                <w:szCs w:val="21"/>
                <w:highlight w:val="none"/>
              </w:rPr>
            </w:pPr>
            <w:r>
              <w:rPr>
                <w:rFonts w:hint="eastAsia" w:ascii="宋体" w:hAnsi="宋体"/>
                <w:color w:val="auto"/>
                <w:szCs w:val="21"/>
                <w:highlight w:val="none"/>
              </w:rPr>
              <w:t>16.2</w:t>
            </w:r>
          </w:p>
        </w:tc>
        <w:tc>
          <w:tcPr>
            <w:tcW w:w="2268" w:type="dxa"/>
            <w:tcBorders>
              <w:top w:val="single" w:color="auto" w:sz="4" w:space="0"/>
              <w:left w:val="single" w:color="auto" w:sz="4" w:space="0"/>
              <w:bottom w:val="single" w:color="auto" w:sz="4" w:space="0"/>
              <w:right w:val="single" w:color="auto" w:sz="4" w:space="0"/>
            </w:tcBorders>
            <w:vAlign w:val="center"/>
          </w:tcPr>
          <w:p w14:paraId="6811775D">
            <w:pPr>
              <w:spacing w:line="400" w:lineRule="exact"/>
              <w:rPr>
                <w:rFonts w:ascii="宋体" w:hAnsi="宋体"/>
                <w:color w:val="auto"/>
                <w:szCs w:val="21"/>
                <w:highlight w:val="none"/>
              </w:rPr>
            </w:pPr>
            <w:r>
              <w:rPr>
                <w:rFonts w:hint="eastAsia" w:ascii="宋体" w:hAnsi="宋体"/>
                <w:color w:val="auto"/>
                <w:szCs w:val="21"/>
                <w:highlight w:val="none"/>
              </w:rPr>
              <w:t>投标报价要求</w:t>
            </w:r>
          </w:p>
        </w:tc>
        <w:tc>
          <w:tcPr>
            <w:tcW w:w="7037" w:type="dxa"/>
            <w:tcBorders>
              <w:top w:val="single" w:color="auto" w:sz="4" w:space="0"/>
              <w:left w:val="single" w:color="auto" w:sz="4" w:space="0"/>
              <w:bottom w:val="single" w:color="auto" w:sz="4" w:space="0"/>
              <w:right w:val="single" w:color="auto" w:sz="4" w:space="0"/>
            </w:tcBorders>
            <w:vAlign w:val="center"/>
          </w:tcPr>
          <w:p w14:paraId="011D0959">
            <w:pPr>
              <w:snapToGrid w:val="0"/>
              <w:spacing w:line="400" w:lineRule="exact"/>
              <w:rPr>
                <w:rFonts w:ascii="宋体" w:hAnsi="宋体"/>
                <w:color w:val="auto"/>
                <w:szCs w:val="21"/>
                <w:highlight w:val="none"/>
              </w:rPr>
            </w:pPr>
            <w:r>
              <w:rPr>
                <w:rFonts w:hint="eastAsia" w:ascii="宋体" w:hAnsi="宋体"/>
                <w:color w:val="auto"/>
                <w:szCs w:val="21"/>
                <w:highlight w:val="none"/>
              </w:rPr>
              <w:t>报价为人民币含税价，总价包干。包括但不限于：</w:t>
            </w:r>
          </w:p>
          <w:p w14:paraId="51FC57A6">
            <w:pPr>
              <w:snapToGrid w:val="0"/>
              <w:spacing w:line="400" w:lineRule="exact"/>
              <w:rPr>
                <w:rFonts w:ascii="宋体" w:hAnsi="宋体"/>
                <w:color w:val="auto"/>
                <w:szCs w:val="21"/>
                <w:highlight w:val="none"/>
              </w:rPr>
            </w:pPr>
            <w:r>
              <w:rPr>
                <w:rFonts w:hint="eastAsia" w:ascii="宋体" w:hAnsi="宋体"/>
                <w:color w:val="auto"/>
                <w:szCs w:val="21"/>
                <w:highlight w:val="none"/>
              </w:rPr>
              <w:t>（1）完成本次服务的价格（包括但不限于支持零工市场、就业服务站公共就业服务的规范配备（全新）、运营团队人员投入、人员报酬/住宿/交通</w:t>
            </w:r>
            <w:r>
              <w:rPr>
                <w:rFonts w:hint="eastAsia" w:ascii="宋体" w:hAnsi="宋体"/>
                <w:color w:val="auto"/>
                <w:szCs w:val="21"/>
                <w:highlight w:val="none"/>
                <w:lang w:eastAsia="zh-CN"/>
              </w:rPr>
              <w:t>，以</w:t>
            </w:r>
            <w:r>
              <w:rPr>
                <w:rFonts w:hint="eastAsia" w:ascii="宋体" w:hAnsi="宋体"/>
                <w:color w:val="auto"/>
                <w:szCs w:val="21"/>
                <w:highlight w:val="none"/>
              </w:rPr>
              <w:t>及为群众和用人单位提供咨询服务、求职服务、零工服务、创业服务、技能培训、就业援助、劳动维权、信息平台投入等）；</w:t>
            </w:r>
          </w:p>
          <w:p w14:paraId="58BB5D9C">
            <w:pPr>
              <w:snapToGrid w:val="0"/>
              <w:spacing w:line="400" w:lineRule="exact"/>
              <w:rPr>
                <w:rFonts w:ascii="宋体" w:hAnsi="宋体"/>
                <w:color w:val="auto"/>
                <w:szCs w:val="21"/>
                <w:highlight w:val="none"/>
              </w:rPr>
            </w:pPr>
            <w:r>
              <w:rPr>
                <w:rFonts w:hint="eastAsia" w:ascii="宋体" w:hAnsi="宋体"/>
                <w:color w:val="auto"/>
                <w:szCs w:val="21"/>
                <w:highlight w:val="none"/>
              </w:rPr>
              <w:t>（2）必要的保险费用和各项税金；</w:t>
            </w:r>
          </w:p>
          <w:p w14:paraId="27031AF7">
            <w:pPr>
              <w:snapToGrid w:val="0"/>
              <w:spacing w:line="400" w:lineRule="exact"/>
              <w:rPr>
                <w:rFonts w:ascii="宋体" w:hAnsi="宋体"/>
                <w:color w:val="auto"/>
                <w:szCs w:val="21"/>
                <w:highlight w:val="none"/>
              </w:rPr>
            </w:pPr>
            <w:r>
              <w:rPr>
                <w:rFonts w:hint="eastAsia" w:ascii="宋体" w:hAnsi="宋体"/>
                <w:color w:val="auto"/>
                <w:szCs w:val="21"/>
                <w:highlight w:val="none"/>
              </w:rPr>
              <w:t>（3）项目验收的费用、后期的技术支持、售后服务（如有）的费用；</w:t>
            </w:r>
          </w:p>
          <w:p w14:paraId="3D2E41C8">
            <w:pPr>
              <w:snapToGrid w:val="0"/>
              <w:spacing w:line="400" w:lineRule="exact"/>
              <w:rPr>
                <w:rFonts w:ascii="宋体" w:hAnsi="宋体"/>
                <w:b/>
                <w:color w:val="auto"/>
                <w:szCs w:val="21"/>
                <w:highlight w:val="none"/>
              </w:rPr>
            </w:pPr>
            <w:r>
              <w:rPr>
                <w:rFonts w:hint="eastAsia" w:ascii="宋体" w:hAnsi="宋体"/>
                <w:color w:val="auto"/>
                <w:szCs w:val="21"/>
                <w:highlight w:val="none"/>
              </w:rPr>
              <w:t>（4）招标代理服务费、管理、保险、税费、利润等，以及合同明示或暗示的所有责任、义务和一般风险等。</w:t>
            </w:r>
          </w:p>
        </w:tc>
      </w:tr>
      <w:tr w14:paraId="2166C0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541B4A1">
            <w:pPr>
              <w:spacing w:line="400" w:lineRule="exact"/>
              <w:rPr>
                <w:rFonts w:ascii="宋体" w:hAnsi="宋体"/>
                <w:color w:val="auto"/>
                <w:szCs w:val="21"/>
                <w:highlight w:val="none"/>
              </w:rPr>
            </w:pPr>
            <w:r>
              <w:rPr>
                <w:rFonts w:hint="eastAsia" w:ascii="宋体" w:hAnsi="宋体"/>
                <w:color w:val="auto"/>
                <w:szCs w:val="21"/>
                <w:highlight w:val="none"/>
              </w:rPr>
              <w:t>17.2</w:t>
            </w:r>
          </w:p>
        </w:tc>
        <w:tc>
          <w:tcPr>
            <w:tcW w:w="2268" w:type="dxa"/>
            <w:tcBorders>
              <w:top w:val="single" w:color="auto" w:sz="4" w:space="0"/>
              <w:left w:val="single" w:color="auto" w:sz="4" w:space="0"/>
              <w:bottom w:val="single" w:color="auto" w:sz="4" w:space="0"/>
              <w:right w:val="single" w:color="auto" w:sz="4" w:space="0"/>
            </w:tcBorders>
            <w:vAlign w:val="center"/>
          </w:tcPr>
          <w:p w14:paraId="44BB3425">
            <w:pPr>
              <w:spacing w:line="400" w:lineRule="exact"/>
              <w:rPr>
                <w:rFonts w:ascii="宋体" w:hAnsi="宋体"/>
                <w:color w:val="auto"/>
                <w:szCs w:val="21"/>
                <w:highlight w:val="none"/>
              </w:rPr>
            </w:pPr>
            <w:r>
              <w:rPr>
                <w:rFonts w:hint="eastAsia" w:ascii="宋体" w:hAnsi="宋体"/>
                <w:color w:val="auto"/>
                <w:szCs w:val="21"/>
                <w:highlight w:val="none"/>
              </w:rPr>
              <w:t>投标有效期</w:t>
            </w:r>
          </w:p>
        </w:tc>
        <w:tc>
          <w:tcPr>
            <w:tcW w:w="7037" w:type="dxa"/>
            <w:tcBorders>
              <w:top w:val="single" w:color="auto" w:sz="4" w:space="0"/>
              <w:left w:val="single" w:color="auto" w:sz="4" w:space="0"/>
              <w:bottom w:val="single" w:color="auto" w:sz="4" w:space="0"/>
              <w:right w:val="single" w:color="auto" w:sz="4" w:space="0"/>
            </w:tcBorders>
            <w:vAlign w:val="center"/>
          </w:tcPr>
          <w:p w14:paraId="5CCC36FF">
            <w:pPr>
              <w:snapToGrid w:val="0"/>
              <w:spacing w:line="400" w:lineRule="exact"/>
              <w:rPr>
                <w:rFonts w:ascii="宋体" w:hAnsi="宋体"/>
                <w:color w:val="auto"/>
                <w:szCs w:val="21"/>
                <w:highlight w:val="none"/>
              </w:rPr>
            </w:pPr>
            <w:r>
              <w:rPr>
                <w:rFonts w:hint="eastAsia" w:ascii="宋体" w:hAnsi="宋体"/>
                <w:color w:val="auto"/>
                <w:szCs w:val="21"/>
                <w:highlight w:val="none"/>
              </w:rPr>
              <w:t>自投标截止之日起</w:t>
            </w:r>
            <w:r>
              <w:rPr>
                <w:rFonts w:hint="eastAsia" w:ascii="宋体" w:hAnsi="宋体"/>
                <w:color w:val="auto"/>
                <w:szCs w:val="21"/>
                <w:highlight w:val="none"/>
                <w:u w:val="single"/>
              </w:rPr>
              <w:t xml:space="preserve"> 90</w:t>
            </w:r>
            <w:r>
              <w:rPr>
                <w:rFonts w:hint="eastAsia" w:ascii="宋体" w:hAnsi="宋体"/>
                <w:color w:val="auto"/>
                <w:szCs w:val="21"/>
                <w:highlight w:val="none"/>
              </w:rPr>
              <w:t>日。</w:t>
            </w:r>
          </w:p>
        </w:tc>
      </w:tr>
      <w:tr w14:paraId="61C4E7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DEF5114">
            <w:pPr>
              <w:spacing w:line="400" w:lineRule="exact"/>
              <w:rPr>
                <w:rFonts w:ascii="宋体" w:hAnsi="宋体"/>
                <w:color w:val="auto"/>
                <w:szCs w:val="21"/>
                <w:highlight w:val="none"/>
              </w:rPr>
            </w:pPr>
            <w:r>
              <w:rPr>
                <w:rFonts w:hint="eastAsia" w:ascii="宋体" w:hAnsi="宋体"/>
                <w:color w:val="auto"/>
                <w:szCs w:val="21"/>
                <w:highlight w:val="none"/>
              </w:rPr>
              <w:t>18</w:t>
            </w:r>
          </w:p>
        </w:tc>
        <w:tc>
          <w:tcPr>
            <w:tcW w:w="2268" w:type="dxa"/>
            <w:tcBorders>
              <w:top w:val="single" w:color="auto" w:sz="4" w:space="0"/>
              <w:left w:val="single" w:color="auto" w:sz="4" w:space="0"/>
              <w:bottom w:val="single" w:color="auto" w:sz="4" w:space="0"/>
              <w:right w:val="single" w:color="auto" w:sz="4" w:space="0"/>
            </w:tcBorders>
            <w:vAlign w:val="center"/>
          </w:tcPr>
          <w:p w14:paraId="61067888">
            <w:pPr>
              <w:spacing w:line="400" w:lineRule="exact"/>
              <w:rPr>
                <w:rFonts w:ascii="宋体" w:hAnsi="宋体"/>
                <w:color w:val="auto"/>
                <w:szCs w:val="21"/>
                <w:highlight w:val="none"/>
              </w:rPr>
            </w:pPr>
            <w:r>
              <w:rPr>
                <w:rFonts w:hint="eastAsia" w:ascii="宋体" w:hAnsi="宋体"/>
                <w:color w:val="auto"/>
                <w:szCs w:val="21"/>
                <w:highlight w:val="none"/>
              </w:rPr>
              <w:t>投标保证金金额</w:t>
            </w:r>
          </w:p>
        </w:tc>
        <w:tc>
          <w:tcPr>
            <w:tcW w:w="7037" w:type="dxa"/>
            <w:tcBorders>
              <w:top w:val="single" w:color="auto" w:sz="4" w:space="0"/>
              <w:left w:val="single" w:color="auto" w:sz="4" w:space="0"/>
              <w:bottom w:val="single" w:color="auto" w:sz="4" w:space="0"/>
              <w:right w:val="single" w:color="auto" w:sz="4" w:space="0"/>
            </w:tcBorders>
            <w:vAlign w:val="center"/>
          </w:tcPr>
          <w:p w14:paraId="504AD472">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t>本项目不收取投标保证金。</w:t>
            </w:r>
          </w:p>
        </w:tc>
      </w:tr>
      <w:tr w14:paraId="270C23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9F18A97">
            <w:pPr>
              <w:spacing w:line="400" w:lineRule="exact"/>
              <w:rPr>
                <w:rFonts w:ascii="宋体" w:hAnsi="宋体"/>
                <w:color w:val="auto"/>
                <w:szCs w:val="21"/>
                <w:highlight w:val="none"/>
              </w:rPr>
            </w:pPr>
            <w:r>
              <w:rPr>
                <w:rFonts w:hint="eastAsia" w:ascii="宋体" w:hAnsi="宋体"/>
                <w:color w:val="auto"/>
                <w:szCs w:val="21"/>
                <w:highlight w:val="none"/>
              </w:rPr>
              <w:t>19.1</w:t>
            </w:r>
          </w:p>
        </w:tc>
        <w:tc>
          <w:tcPr>
            <w:tcW w:w="2268" w:type="dxa"/>
            <w:tcBorders>
              <w:top w:val="single" w:color="auto" w:sz="4" w:space="0"/>
              <w:left w:val="single" w:color="auto" w:sz="4" w:space="0"/>
              <w:bottom w:val="single" w:color="auto" w:sz="4" w:space="0"/>
              <w:right w:val="single" w:color="auto" w:sz="4" w:space="0"/>
            </w:tcBorders>
            <w:vAlign w:val="center"/>
          </w:tcPr>
          <w:p w14:paraId="225E9714">
            <w:pPr>
              <w:spacing w:line="400" w:lineRule="exact"/>
              <w:rPr>
                <w:rFonts w:ascii="宋体" w:hAnsi="宋体"/>
                <w:color w:val="auto"/>
                <w:szCs w:val="21"/>
                <w:highlight w:val="none"/>
              </w:rPr>
            </w:pPr>
            <w:r>
              <w:rPr>
                <w:rFonts w:hint="eastAsia" w:ascii="宋体" w:hAnsi="宋体"/>
                <w:color w:val="auto"/>
                <w:szCs w:val="21"/>
                <w:highlight w:val="none"/>
              </w:rPr>
              <w:t>投标文件编制要求</w:t>
            </w:r>
          </w:p>
        </w:tc>
        <w:tc>
          <w:tcPr>
            <w:tcW w:w="7037" w:type="dxa"/>
            <w:tcBorders>
              <w:top w:val="single" w:color="auto" w:sz="4" w:space="0"/>
              <w:left w:val="single" w:color="auto" w:sz="4" w:space="0"/>
              <w:bottom w:val="single" w:color="auto" w:sz="4" w:space="0"/>
              <w:right w:val="single" w:color="auto" w:sz="4" w:space="0"/>
            </w:tcBorders>
            <w:vAlign w:val="center"/>
          </w:tcPr>
          <w:p w14:paraId="21D6940A">
            <w:pPr>
              <w:spacing w:line="400" w:lineRule="exact"/>
              <w:rPr>
                <w:rFonts w:ascii="宋体" w:hAnsi="宋体"/>
                <w:b/>
                <w:color w:val="auto"/>
                <w:szCs w:val="21"/>
                <w:highlight w:val="none"/>
                <w:u w:val="single"/>
              </w:rPr>
            </w:pPr>
            <w:r>
              <w:rPr>
                <w:rFonts w:hint="eastAsia" w:hAnsi="宋体"/>
                <w:color w:val="auto"/>
                <w:szCs w:val="21"/>
                <w:highlight w:val="none"/>
              </w:rPr>
              <w:t>投标文件应按报价文件、资格证明文件、商务文件、技术文件分别编制，报价文件、资格证明文件分别</w:t>
            </w:r>
            <w:r>
              <w:rPr>
                <w:rFonts w:hint="eastAsia" w:hAnsi="宋体"/>
                <w:color w:val="auto"/>
                <w:szCs w:val="21"/>
                <w:highlight w:val="none"/>
                <w:lang w:eastAsia="zh-CN"/>
              </w:rPr>
              <w:t>生成</w:t>
            </w:r>
            <w:r>
              <w:rPr>
                <w:rFonts w:hint="eastAsia" w:hAnsi="宋体"/>
                <w:color w:val="auto"/>
                <w:szCs w:val="21"/>
                <w:highlight w:val="none"/>
              </w:rPr>
              <w:t>电子文件，商务文件和技术文件按顺序合并生成电子文件。</w:t>
            </w:r>
            <w:r>
              <w:rPr>
                <w:rFonts w:hint="eastAsia" w:ascii="宋体" w:hAnsi="宋体"/>
                <w:b/>
                <w:color w:val="auto"/>
                <w:szCs w:val="21"/>
                <w:highlight w:val="none"/>
                <w:u w:val="single"/>
              </w:rPr>
              <w:t>电子版投标文件制作方式见招标公告附件。</w:t>
            </w:r>
          </w:p>
          <w:p w14:paraId="3FF9F8D5">
            <w:pP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特别说明：因项目存档需要，</w:t>
            </w:r>
            <w:r>
              <w:rPr>
                <w:rFonts w:hint="eastAsia" w:hAnsi="宋体"/>
                <w:b/>
                <w:bCs/>
                <w:color w:val="auto"/>
                <w:szCs w:val="21"/>
                <w:highlight w:val="none"/>
              </w:rPr>
              <w:t>中标</w:t>
            </w:r>
            <w:r>
              <w:rPr>
                <w:rFonts w:hint="eastAsia" w:ascii="宋体" w:hAnsi="宋体" w:cs="宋体"/>
                <w:b/>
                <w:bCs/>
                <w:color w:val="auto"/>
                <w:szCs w:val="21"/>
                <w:highlight w:val="none"/>
              </w:rPr>
              <w:t>供应商须按以下要求提供纸质投标响应文件：</w:t>
            </w:r>
          </w:p>
          <w:p w14:paraId="73CBDBDE">
            <w:pPr>
              <w:spacing w:line="400" w:lineRule="exact"/>
              <w:rPr>
                <w:rFonts w:ascii="宋体" w:cs="宋体"/>
                <w:b/>
                <w:color w:val="auto"/>
                <w:szCs w:val="21"/>
                <w:highlight w:val="none"/>
              </w:rPr>
            </w:pPr>
            <w:r>
              <w:rPr>
                <w:rFonts w:hint="eastAsia" w:ascii="宋体" w:cs="宋体"/>
                <w:b/>
                <w:color w:val="auto"/>
                <w:szCs w:val="21"/>
                <w:highlight w:val="none"/>
              </w:rPr>
              <w:t>1.中标供应商在中标通知书发出后5天内须提交3套纸质版投标响应文件（含报价文件、资格证明文件、商务文件、技术文件。按要求加盖公章）给代理机构。</w:t>
            </w:r>
          </w:p>
          <w:p w14:paraId="6EBEC157">
            <w:pPr>
              <w:spacing w:line="400" w:lineRule="exact"/>
              <w:rPr>
                <w:rFonts w:ascii="宋体" w:hAnsi="宋体"/>
                <w:b/>
                <w:color w:val="auto"/>
                <w:szCs w:val="21"/>
                <w:highlight w:val="none"/>
                <w:u w:val="single"/>
              </w:rPr>
            </w:pPr>
            <w:r>
              <w:rPr>
                <w:rFonts w:hint="eastAsia" w:ascii="宋体" w:cs="宋体"/>
                <w:b/>
                <w:color w:val="auto"/>
                <w:szCs w:val="21"/>
                <w:highlight w:val="none"/>
              </w:rPr>
              <w:t>2.提交的纸质版投标文件文本必须与其上传的电子投标文件内容一致，不允许有篡改。如项目验收时因所提供的纸质投标文件与评标的投标文件不一致造成纠纷时，所有责任由</w:t>
            </w:r>
            <w:r>
              <w:rPr>
                <w:rFonts w:hint="eastAsia" w:hAnsi="宋体"/>
                <w:b/>
                <w:bCs/>
                <w:color w:val="auto"/>
                <w:szCs w:val="21"/>
                <w:highlight w:val="none"/>
              </w:rPr>
              <w:t>中标</w:t>
            </w:r>
            <w:r>
              <w:rPr>
                <w:rFonts w:hint="eastAsia" w:ascii="宋体" w:hAnsi="宋体" w:cs="宋体"/>
                <w:b/>
                <w:bCs/>
                <w:color w:val="auto"/>
                <w:szCs w:val="21"/>
                <w:highlight w:val="none"/>
              </w:rPr>
              <w:t>供应商</w:t>
            </w:r>
            <w:r>
              <w:rPr>
                <w:rFonts w:hint="eastAsia" w:ascii="宋体" w:cs="宋体"/>
                <w:b/>
                <w:color w:val="auto"/>
                <w:szCs w:val="21"/>
                <w:highlight w:val="none"/>
              </w:rPr>
              <w:t>承担。</w:t>
            </w:r>
          </w:p>
        </w:tc>
      </w:tr>
      <w:tr w14:paraId="0867F0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7C6AA1F">
            <w:pPr>
              <w:spacing w:line="400" w:lineRule="exact"/>
              <w:rPr>
                <w:rFonts w:ascii="宋体" w:hAnsi="宋体"/>
                <w:color w:val="auto"/>
                <w:szCs w:val="21"/>
                <w:highlight w:val="none"/>
              </w:rPr>
            </w:pPr>
            <w:r>
              <w:rPr>
                <w:rFonts w:hint="eastAsia" w:ascii="宋体" w:hAnsi="宋体"/>
                <w:color w:val="auto"/>
                <w:szCs w:val="21"/>
                <w:highlight w:val="none"/>
              </w:rPr>
              <w:t>20</w:t>
            </w:r>
          </w:p>
        </w:tc>
        <w:tc>
          <w:tcPr>
            <w:tcW w:w="2268" w:type="dxa"/>
            <w:tcBorders>
              <w:top w:val="single" w:color="auto" w:sz="4" w:space="0"/>
              <w:left w:val="single" w:color="auto" w:sz="4" w:space="0"/>
              <w:bottom w:val="single" w:color="auto" w:sz="4" w:space="0"/>
              <w:right w:val="single" w:color="auto" w:sz="4" w:space="0"/>
            </w:tcBorders>
            <w:vAlign w:val="center"/>
          </w:tcPr>
          <w:p w14:paraId="3B792CA5">
            <w:pPr>
              <w:spacing w:line="400" w:lineRule="exact"/>
              <w:rPr>
                <w:rFonts w:ascii="宋体" w:hAnsi="宋体"/>
                <w:color w:val="auto"/>
                <w:szCs w:val="21"/>
                <w:highlight w:val="none"/>
              </w:rPr>
            </w:pPr>
            <w:r>
              <w:rPr>
                <w:rFonts w:hint="eastAsia" w:ascii="宋体" w:hAnsi="宋体"/>
                <w:color w:val="auto"/>
                <w:szCs w:val="21"/>
                <w:highlight w:val="none"/>
              </w:rPr>
              <w:t>备份投标文件</w:t>
            </w:r>
          </w:p>
        </w:tc>
        <w:tc>
          <w:tcPr>
            <w:tcW w:w="7037" w:type="dxa"/>
            <w:tcBorders>
              <w:top w:val="single" w:color="auto" w:sz="4" w:space="0"/>
              <w:left w:val="single" w:color="auto" w:sz="4" w:space="0"/>
              <w:bottom w:val="single" w:color="auto" w:sz="4" w:space="0"/>
              <w:right w:val="single" w:color="auto" w:sz="4" w:space="0"/>
            </w:tcBorders>
            <w:vAlign w:val="center"/>
          </w:tcPr>
          <w:p w14:paraId="32B2976D">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t>本项目不接受备份投标文件。</w:t>
            </w:r>
          </w:p>
        </w:tc>
      </w:tr>
      <w:tr w14:paraId="48F099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vAlign w:val="center"/>
          </w:tcPr>
          <w:p w14:paraId="167449C1">
            <w:pPr>
              <w:spacing w:line="400" w:lineRule="exact"/>
              <w:rPr>
                <w:rFonts w:ascii="宋体" w:hAnsi="宋体"/>
                <w:color w:val="auto"/>
                <w:szCs w:val="21"/>
                <w:highlight w:val="none"/>
              </w:rPr>
            </w:pPr>
            <w:r>
              <w:rPr>
                <w:rFonts w:hint="eastAsia" w:ascii="宋体" w:hAnsi="宋体"/>
                <w:color w:val="auto"/>
                <w:szCs w:val="21"/>
                <w:highlight w:val="none"/>
              </w:rPr>
              <w:t>21.1</w:t>
            </w:r>
          </w:p>
        </w:tc>
        <w:tc>
          <w:tcPr>
            <w:tcW w:w="2268" w:type="dxa"/>
            <w:tcBorders>
              <w:top w:val="single" w:color="auto" w:sz="4" w:space="0"/>
              <w:left w:val="single" w:color="auto" w:sz="4" w:space="0"/>
              <w:bottom w:val="single" w:color="auto" w:sz="4" w:space="0"/>
              <w:right w:val="single" w:color="auto" w:sz="4" w:space="0"/>
            </w:tcBorders>
            <w:vAlign w:val="center"/>
          </w:tcPr>
          <w:p w14:paraId="063E3F31">
            <w:pPr>
              <w:spacing w:line="400" w:lineRule="exact"/>
              <w:rPr>
                <w:rFonts w:ascii="宋体" w:hAnsi="宋体"/>
                <w:color w:val="auto"/>
                <w:szCs w:val="21"/>
                <w:highlight w:val="none"/>
              </w:rPr>
            </w:pPr>
            <w:r>
              <w:rPr>
                <w:rFonts w:hint="eastAsia" w:ascii="宋体" w:hAnsi="宋体"/>
                <w:color w:val="auto"/>
                <w:szCs w:val="21"/>
                <w:highlight w:val="none"/>
              </w:rPr>
              <w:t>投标截止时间</w:t>
            </w:r>
          </w:p>
        </w:tc>
        <w:tc>
          <w:tcPr>
            <w:tcW w:w="7037" w:type="dxa"/>
            <w:tcBorders>
              <w:top w:val="single" w:color="auto" w:sz="4" w:space="0"/>
              <w:left w:val="single" w:color="auto" w:sz="4" w:space="0"/>
              <w:bottom w:val="single" w:color="auto" w:sz="4" w:space="0"/>
              <w:right w:val="single" w:color="auto" w:sz="4" w:space="0"/>
            </w:tcBorders>
            <w:vAlign w:val="center"/>
          </w:tcPr>
          <w:p w14:paraId="1D0AF89E">
            <w:pPr>
              <w:snapToGrid w:val="0"/>
              <w:spacing w:line="400" w:lineRule="exact"/>
              <w:rPr>
                <w:rFonts w:ascii="宋体" w:hAnsi="宋体"/>
                <w:color w:val="auto"/>
                <w:szCs w:val="21"/>
                <w:highlight w:val="none"/>
                <w:u w:val="single"/>
              </w:rPr>
            </w:pPr>
            <w:r>
              <w:rPr>
                <w:rFonts w:hint="eastAsia" w:ascii="宋体" w:hAnsi="宋体"/>
                <w:color w:val="auto"/>
                <w:szCs w:val="21"/>
                <w:highlight w:val="none"/>
              </w:rPr>
              <w:t>详见招标公告</w:t>
            </w:r>
          </w:p>
        </w:tc>
      </w:tr>
      <w:tr w14:paraId="49D8C1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51422288">
            <w:pPr>
              <w:widowControl/>
              <w:spacing w:line="400" w:lineRule="exact"/>
              <w:jc w:val="lef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13396F7">
            <w:pPr>
              <w:spacing w:line="400" w:lineRule="exact"/>
              <w:rPr>
                <w:rFonts w:ascii="宋体" w:hAnsi="宋体"/>
                <w:color w:val="auto"/>
                <w:szCs w:val="21"/>
                <w:highlight w:val="none"/>
              </w:rPr>
            </w:pPr>
            <w:r>
              <w:rPr>
                <w:rFonts w:hint="eastAsia" w:ascii="宋体" w:hAnsi="宋体"/>
                <w:color w:val="auto"/>
                <w:szCs w:val="21"/>
                <w:highlight w:val="none"/>
              </w:rPr>
              <w:t>投标文件提交起止时间</w:t>
            </w:r>
          </w:p>
        </w:tc>
        <w:tc>
          <w:tcPr>
            <w:tcW w:w="7037" w:type="dxa"/>
            <w:tcBorders>
              <w:top w:val="single" w:color="auto" w:sz="4" w:space="0"/>
              <w:left w:val="single" w:color="auto" w:sz="4" w:space="0"/>
              <w:bottom w:val="single" w:color="auto" w:sz="4" w:space="0"/>
              <w:right w:val="single" w:color="auto" w:sz="4" w:space="0"/>
            </w:tcBorders>
            <w:vAlign w:val="center"/>
          </w:tcPr>
          <w:p w14:paraId="63338095">
            <w:pPr>
              <w:snapToGrid w:val="0"/>
              <w:spacing w:line="400" w:lineRule="exact"/>
              <w:rPr>
                <w:rFonts w:ascii="宋体" w:hAnsi="宋体"/>
                <w:color w:val="auto"/>
                <w:szCs w:val="21"/>
                <w:highlight w:val="none"/>
              </w:rPr>
            </w:pPr>
            <w:r>
              <w:rPr>
                <w:rFonts w:hint="eastAsia" w:ascii="宋体" w:hAnsi="宋体"/>
                <w:color w:val="auto"/>
                <w:szCs w:val="21"/>
                <w:highlight w:val="none"/>
              </w:rPr>
              <w:t>详见招标公告</w:t>
            </w:r>
          </w:p>
        </w:tc>
      </w:tr>
      <w:tr w14:paraId="7658E6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1B93725E">
            <w:pPr>
              <w:widowControl/>
              <w:spacing w:line="400" w:lineRule="exact"/>
              <w:jc w:val="lef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02974383">
            <w:pPr>
              <w:spacing w:line="400" w:lineRule="exact"/>
              <w:rPr>
                <w:rFonts w:ascii="宋体" w:hAnsi="宋体"/>
                <w:color w:val="auto"/>
                <w:szCs w:val="21"/>
                <w:highlight w:val="none"/>
              </w:rPr>
            </w:pPr>
            <w:r>
              <w:rPr>
                <w:rFonts w:hint="eastAsia" w:ascii="宋体" w:hAnsi="宋体"/>
                <w:color w:val="auto"/>
                <w:szCs w:val="21"/>
                <w:highlight w:val="none"/>
              </w:rPr>
              <w:t>投标地点</w:t>
            </w:r>
          </w:p>
        </w:tc>
        <w:tc>
          <w:tcPr>
            <w:tcW w:w="7037" w:type="dxa"/>
            <w:tcBorders>
              <w:top w:val="single" w:color="auto" w:sz="4" w:space="0"/>
              <w:left w:val="single" w:color="auto" w:sz="4" w:space="0"/>
              <w:bottom w:val="single" w:color="auto" w:sz="4" w:space="0"/>
              <w:right w:val="single" w:color="auto" w:sz="4" w:space="0"/>
            </w:tcBorders>
            <w:vAlign w:val="center"/>
          </w:tcPr>
          <w:p w14:paraId="0005B762">
            <w:pPr>
              <w:snapToGrid w:val="0"/>
              <w:spacing w:line="400" w:lineRule="exact"/>
              <w:rPr>
                <w:rFonts w:ascii="宋体" w:hAnsi="宋体"/>
                <w:color w:val="auto"/>
                <w:szCs w:val="21"/>
                <w:highlight w:val="none"/>
              </w:rPr>
            </w:pPr>
            <w:r>
              <w:rPr>
                <w:rFonts w:hint="eastAsia" w:ascii="宋体" w:hAnsi="宋体"/>
                <w:color w:val="auto"/>
                <w:szCs w:val="21"/>
                <w:highlight w:val="none"/>
              </w:rPr>
              <w:t>详见招标公告</w:t>
            </w:r>
          </w:p>
        </w:tc>
      </w:tr>
      <w:tr w14:paraId="5E325C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4B88BFB5">
            <w:pPr>
              <w:widowControl/>
              <w:spacing w:line="400" w:lineRule="exact"/>
              <w:jc w:val="lef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582F6FC6">
            <w:pPr>
              <w:spacing w:line="400" w:lineRule="exact"/>
              <w:rPr>
                <w:rFonts w:ascii="宋体" w:hAnsi="宋体"/>
                <w:color w:val="auto"/>
                <w:szCs w:val="21"/>
                <w:highlight w:val="none"/>
              </w:rPr>
            </w:pPr>
            <w:r>
              <w:rPr>
                <w:rFonts w:hint="eastAsia" w:ascii="宋体" w:hAnsi="宋体"/>
                <w:color w:val="auto"/>
                <w:szCs w:val="21"/>
                <w:highlight w:val="none"/>
              </w:rPr>
              <w:t>投标人递交投标样品截止时间及地点</w:t>
            </w:r>
          </w:p>
        </w:tc>
        <w:tc>
          <w:tcPr>
            <w:tcW w:w="7037" w:type="dxa"/>
            <w:tcBorders>
              <w:top w:val="single" w:color="auto" w:sz="4" w:space="0"/>
              <w:left w:val="single" w:color="auto" w:sz="4" w:space="0"/>
              <w:bottom w:val="single" w:color="auto" w:sz="4" w:space="0"/>
              <w:right w:val="single" w:color="auto" w:sz="4" w:space="0"/>
            </w:tcBorders>
            <w:vAlign w:val="center"/>
          </w:tcPr>
          <w:p w14:paraId="2EDFE3C9">
            <w:pPr>
              <w:snapToGrid w:val="0"/>
              <w:spacing w:line="380" w:lineRule="exact"/>
              <w:rPr>
                <w:rFonts w:ascii="宋体" w:hAnsi="宋体"/>
                <w:color w:val="auto"/>
                <w:szCs w:val="21"/>
                <w:highlight w:val="none"/>
              </w:rPr>
            </w:pPr>
            <w:r>
              <w:rPr>
                <w:rFonts w:hint="eastAsia" w:ascii="宋体" w:hAnsi="宋体"/>
                <w:color w:val="auto"/>
                <w:szCs w:val="21"/>
                <w:highlight w:val="none"/>
              </w:rPr>
              <w:t>无</w:t>
            </w:r>
          </w:p>
        </w:tc>
      </w:tr>
      <w:tr w14:paraId="1366BA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D08FE7A">
            <w:pPr>
              <w:spacing w:line="400" w:lineRule="exact"/>
              <w:rPr>
                <w:rFonts w:ascii="宋体" w:hAnsi="宋体"/>
                <w:color w:val="auto"/>
                <w:szCs w:val="21"/>
                <w:highlight w:val="none"/>
              </w:rPr>
            </w:pPr>
            <w:r>
              <w:rPr>
                <w:rFonts w:hint="eastAsia" w:ascii="宋体" w:hAnsi="宋体"/>
                <w:color w:val="auto"/>
                <w:szCs w:val="21"/>
                <w:highlight w:val="none"/>
              </w:rPr>
              <w:t>23</w:t>
            </w:r>
          </w:p>
        </w:tc>
        <w:tc>
          <w:tcPr>
            <w:tcW w:w="2268" w:type="dxa"/>
            <w:tcBorders>
              <w:top w:val="single" w:color="auto" w:sz="4" w:space="0"/>
              <w:left w:val="single" w:color="auto" w:sz="4" w:space="0"/>
              <w:bottom w:val="single" w:color="auto" w:sz="4" w:space="0"/>
              <w:right w:val="single" w:color="auto" w:sz="4" w:space="0"/>
            </w:tcBorders>
            <w:vAlign w:val="center"/>
          </w:tcPr>
          <w:p w14:paraId="6D176D41">
            <w:pPr>
              <w:spacing w:line="400" w:lineRule="exact"/>
              <w:rPr>
                <w:rFonts w:ascii="宋体" w:hAnsi="宋体"/>
                <w:color w:val="auto"/>
                <w:szCs w:val="21"/>
                <w:highlight w:val="none"/>
              </w:rPr>
            </w:pPr>
            <w:r>
              <w:rPr>
                <w:rFonts w:hint="eastAsia" w:ascii="宋体" w:hAnsi="宋体"/>
                <w:color w:val="auto"/>
                <w:szCs w:val="21"/>
                <w:highlight w:val="none"/>
              </w:rPr>
              <w:t>开标时间、地点</w:t>
            </w:r>
          </w:p>
        </w:tc>
        <w:tc>
          <w:tcPr>
            <w:tcW w:w="7037" w:type="dxa"/>
            <w:tcBorders>
              <w:top w:val="single" w:color="auto" w:sz="4" w:space="0"/>
              <w:left w:val="single" w:color="auto" w:sz="4" w:space="0"/>
              <w:bottom w:val="single" w:color="auto" w:sz="4" w:space="0"/>
              <w:right w:val="single" w:color="auto" w:sz="4" w:space="0"/>
            </w:tcBorders>
            <w:vAlign w:val="center"/>
          </w:tcPr>
          <w:p w14:paraId="36C735C6">
            <w:pPr>
              <w:snapToGrid w:val="0"/>
              <w:spacing w:line="400" w:lineRule="exact"/>
              <w:rPr>
                <w:rFonts w:ascii="宋体" w:hAnsi="宋体"/>
                <w:color w:val="auto"/>
                <w:szCs w:val="21"/>
                <w:highlight w:val="none"/>
              </w:rPr>
            </w:pPr>
            <w:r>
              <w:rPr>
                <w:rFonts w:hint="eastAsia" w:ascii="宋体" w:hAnsi="宋体"/>
                <w:color w:val="auto"/>
                <w:szCs w:val="21"/>
                <w:highlight w:val="none"/>
              </w:rPr>
              <w:t xml:space="preserve">详见招标公告 </w:t>
            </w:r>
          </w:p>
        </w:tc>
      </w:tr>
      <w:tr w14:paraId="2C76D4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671859EE">
            <w:pPr>
              <w:spacing w:line="400" w:lineRule="exact"/>
              <w:rPr>
                <w:rFonts w:ascii="宋体" w:hAnsi="宋体"/>
                <w:color w:val="auto"/>
                <w:szCs w:val="21"/>
                <w:highlight w:val="none"/>
              </w:rPr>
            </w:pPr>
            <w:r>
              <w:rPr>
                <w:rFonts w:hint="eastAsia" w:ascii="宋体" w:hAnsi="宋体"/>
                <w:color w:val="auto"/>
                <w:szCs w:val="21"/>
                <w:highlight w:val="none"/>
              </w:rPr>
              <w:t>25.3</w:t>
            </w:r>
            <w:r>
              <w:rPr>
                <w:rFonts w:hint="eastAsia" w:ascii="宋体" w:hAnsi="宋体"/>
                <w:color w:val="auto"/>
                <w:szCs w:val="21"/>
                <w:highlight w:val="none"/>
                <w:lang w:eastAsia="zh-CN"/>
              </w:rPr>
              <w:t>(</w:t>
            </w:r>
            <w:r>
              <w:rPr>
                <w:rFonts w:hint="eastAsia" w:ascii="宋体" w:hAnsi="宋体"/>
                <w:color w:val="auto"/>
                <w:szCs w:val="21"/>
                <w:highlight w:val="none"/>
              </w:rPr>
              <w:t>2</w:t>
            </w:r>
            <w:r>
              <w:rPr>
                <w:rFonts w:hint="eastAsia" w:ascii="宋体" w:hAnsi="宋体"/>
                <w:color w:val="auto"/>
                <w:szCs w:val="21"/>
                <w:highlight w:val="none"/>
                <w:lang w:eastAsia="zh-CN"/>
              </w:rPr>
              <w:t>)</w:t>
            </w:r>
          </w:p>
        </w:tc>
        <w:tc>
          <w:tcPr>
            <w:tcW w:w="2268" w:type="dxa"/>
            <w:tcBorders>
              <w:top w:val="single" w:color="auto" w:sz="4" w:space="0"/>
              <w:left w:val="single" w:color="auto" w:sz="4" w:space="0"/>
              <w:bottom w:val="single" w:color="auto" w:sz="4" w:space="0"/>
              <w:right w:val="single" w:color="auto" w:sz="4" w:space="0"/>
            </w:tcBorders>
            <w:vAlign w:val="center"/>
          </w:tcPr>
          <w:p w14:paraId="2C3EE00C">
            <w:pPr>
              <w:spacing w:line="400" w:lineRule="exact"/>
              <w:rPr>
                <w:rFonts w:ascii="宋体" w:hAnsi="宋体"/>
                <w:color w:val="auto"/>
                <w:szCs w:val="21"/>
                <w:highlight w:val="none"/>
              </w:rPr>
            </w:pPr>
            <w:r>
              <w:rPr>
                <w:rFonts w:hint="eastAsia" w:ascii="宋体" w:hAnsi="宋体"/>
                <w:color w:val="auto"/>
                <w:szCs w:val="21"/>
                <w:highlight w:val="none"/>
              </w:rPr>
              <w:t>投标人信用查询渠道</w:t>
            </w:r>
          </w:p>
        </w:tc>
        <w:tc>
          <w:tcPr>
            <w:tcW w:w="7037" w:type="dxa"/>
            <w:tcBorders>
              <w:top w:val="single" w:color="auto" w:sz="4" w:space="0"/>
              <w:left w:val="single" w:color="auto" w:sz="4" w:space="0"/>
              <w:bottom w:val="single" w:color="auto" w:sz="4" w:space="0"/>
              <w:right w:val="single" w:color="auto" w:sz="4" w:space="0"/>
            </w:tcBorders>
            <w:vAlign w:val="center"/>
          </w:tcPr>
          <w:p w14:paraId="0325E502">
            <w:pPr>
              <w:snapToGrid w:val="0"/>
              <w:spacing w:line="400" w:lineRule="exact"/>
              <w:rPr>
                <w:rFonts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5FCF3D7D">
            <w:pPr>
              <w:snapToGrid w:val="0"/>
              <w:spacing w:line="400" w:lineRule="exact"/>
              <w:rPr>
                <w:rFonts w:ascii="宋体" w:hAnsi="宋体"/>
                <w:color w:val="auto"/>
                <w:szCs w:val="21"/>
                <w:highlight w:val="none"/>
              </w:rPr>
            </w:pPr>
            <w:r>
              <w:rPr>
                <w:rFonts w:hint="eastAsia" w:ascii="宋体" w:hAnsi="宋体"/>
                <w:color w:val="auto"/>
                <w:szCs w:val="21"/>
                <w:highlight w:val="none"/>
              </w:rPr>
              <w:t>查询渠道：“信用中国”网站</w:t>
            </w:r>
            <w:r>
              <w:rPr>
                <w:rFonts w:hint="eastAsia" w:ascii="宋体" w:hAnsi="宋体"/>
                <w:color w:val="auto"/>
                <w:szCs w:val="21"/>
                <w:highlight w:val="none"/>
                <w:lang w:eastAsia="zh-CN"/>
              </w:rPr>
              <w:t>（</w:t>
            </w:r>
            <w:r>
              <w:rPr>
                <w:rFonts w:hint="eastAsia" w:ascii="宋体" w:hAnsi="宋体"/>
                <w:color w:val="auto"/>
                <w:szCs w:val="21"/>
                <w:highlight w:val="none"/>
              </w:rPr>
              <w:t>www.creditchina.gov.cn</w:t>
            </w:r>
            <w:r>
              <w:rPr>
                <w:rFonts w:hint="eastAsia" w:ascii="宋体" w:hAnsi="宋体"/>
                <w:color w:val="auto"/>
                <w:szCs w:val="21"/>
                <w:highlight w:val="none"/>
                <w:lang w:eastAsia="zh-CN"/>
              </w:rPr>
              <w:t>）</w:t>
            </w:r>
            <w:r>
              <w:rPr>
                <w:rFonts w:hint="eastAsia" w:ascii="宋体" w:hAnsi="宋体"/>
                <w:color w:val="auto"/>
                <w:szCs w:val="21"/>
                <w:highlight w:val="none"/>
              </w:rPr>
              <w:t xml:space="preserve"> 、中国政府采购网</w:t>
            </w:r>
            <w:r>
              <w:rPr>
                <w:rFonts w:hint="eastAsia" w:ascii="宋体" w:hAnsi="宋体"/>
                <w:color w:val="auto"/>
                <w:szCs w:val="21"/>
                <w:highlight w:val="none"/>
                <w:lang w:eastAsia="zh-CN"/>
              </w:rPr>
              <w:t>（</w:t>
            </w:r>
            <w:r>
              <w:rPr>
                <w:rFonts w:hint="eastAsia" w:ascii="宋体" w:hAnsi="宋体"/>
                <w:color w:val="auto"/>
                <w:szCs w:val="21"/>
                <w:highlight w:val="none"/>
              </w:rPr>
              <w:t>www.ccgp.gov.cn</w:t>
            </w:r>
            <w:r>
              <w:rPr>
                <w:rFonts w:hint="eastAsia" w:ascii="宋体" w:hAnsi="宋体"/>
                <w:color w:val="auto"/>
                <w:szCs w:val="21"/>
                <w:highlight w:val="none"/>
                <w:lang w:eastAsia="zh-CN"/>
              </w:rPr>
              <w:t>）</w:t>
            </w:r>
            <w:r>
              <w:rPr>
                <w:rFonts w:hint="eastAsia" w:ascii="宋体" w:hAnsi="宋体"/>
                <w:color w:val="auto"/>
                <w:szCs w:val="21"/>
                <w:highlight w:val="none"/>
              </w:rPr>
              <w:t>。</w:t>
            </w:r>
          </w:p>
        </w:tc>
      </w:tr>
      <w:tr w14:paraId="33ADBD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65BD7FC6">
            <w:pPr>
              <w:widowControl/>
              <w:spacing w:line="400" w:lineRule="exact"/>
              <w:jc w:val="lef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1DBAB2B">
            <w:pPr>
              <w:spacing w:line="400" w:lineRule="exact"/>
              <w:rPr>
                <w:rFonts w:ascii="宋体" w:hAnsi="宋体"/>
                <w:color w:val="auto"/>
                <w:szCs w:val="21"/>
                <w:highlight w:val="none"/>
              </w:rPr>
            </w:pPr>
            <w:r>
              <w:rPr>
                <w:rFonts w:hint="eastAsia" w:ascii="宋体" w:hAnsi="宋体"/>
                <w:color w:val="auto"/>
                <w:szCs w:val="21"/>
                <w:highlight w:val="none"/>
              </w:rPr>
              <w:t>信用查询截止时点</w:t>
            </w:r>
          </w:p>
        </w:tc>
        <w:tc>
          <w:tcPr>
            <w:tcW w:w="7037" w:type="dxa"/>
            <w:tcBorders>
              <w:top w:val="single" w:color="auto" w:sz="4" w:space="0"/>
              <w:left w:val="single" w:color="auto" w:sz="4" w:space="0"/>
              <w:bottom w:val="single" w:color="auto" w:sz="4" w:space="0"/>
              <w:right w:val="single" w:color="auto" w:sz="4" w:space="0"/>
            </w:tcBorders>
            <w:vAlign w:val="center"/>
          </w:tcPr>
          <w:p w14:paraId="53425B19">
            <w:pPr>
              <w:snapToGrid w:val="0"/>
              <w:spacing w:line="400" w:lineRule="exact"/>
              <w:rPr>
                <w:rFonts w:ascii="宋体" w:hAnsi="宋体"/>
                <w:color w:val="auto"/>
                <w:szCs w:val="21"/>
                <w:highlight w:val="none"/>
              </w:rPr>
            </w:pPr>
            <w:r>
              <w:rPr>
                <w:rFonts w:hint="eastAsia" w:ascii="宋体" w:hAnsi="宋体"/>
                <w:color w:val="auto"/>
                <w:szCs w:val="21"/>
                <w:highlight w:val="none"/>
              </w:rPr>
              <w:t>资格审查结束前</w:t>
            </w:r>
          </w:p>
        </w:tc>
      </w:tr>
      <w:tr w14:paraId="105798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2B3A75F0">
            <w:pPr>
              <w:widowControl/>
              <w:spacing w:line="400" w:lineRule="exact"/>
              <w:jc w:val="lef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CCB4656">
            <w:pPr>
              <w:spacing w:line="400" w:lineRule="exact"/>
              <w:rPr>
                <w:rFonts w:ascii="宋体" w:hAnsi="宋体"/>
                <w:color w:val="auto"/>
                <w:szCs w:val="21"/>
                <w:highlight w:val="none"/>
              </w:rPr>
            </w:pPr>
            <w:r>
              <w:rPr>
                <w:rFonts w:hint="eastAsia" w:ascii="宋体" w:hAnsi="宋体"/>
                <w:color w:val="auto"/>
                <w:szCs w:val="21"/>
                <w:highlight w:val="none"/>
              </w:rPr>
              <w:t>查询记录和证据留存方式</w:t>
            </w:r>
          </w:p>
        </w:tc>
        <w:tc>
          <w:tcPr>
            <w:tcW w:w="7037" w:type="dxa"/>
            <w:tcBorders>
              <w:top w:val="single" w:color="auto" w:sz="4" w:space="0"/>
              <w:left w:val="single" w:color="auto" w:sz="4" w:space="0"/>
              <w:bottom w:val="single" w:color="auto" w:sz="4" w:space="0"/>
              <w:right w:val="single" w:color="auto" w:sz="4" w:space="0"/>
            </w:tcBorders>
            <w:vAlign w:val="center"/>
          </w:tcPr>
          <w:p w14:paraId="1D563C64">
            <w:pPr>
              <w:snapToGrid w:val="0"/>
              <w:spacing w:line="400" w:lineRule="exact"/>
              <w:rPr>
                <w:rFonts w:ascii="宋体" w:hAnsi="宋体"/>
                <w:color w:val="auto"/>
                <w:szCs w:val="21"/>
                <w:highlight w:val="none"/>
              </w:rPr>
            </w:pPr>
            <w:r>
              <w:rPr>
                <w:rFonts w:hint="eastAsia" w:ascii="宋体" w:hAnsi="宋体"/>
                <w:color w:val="auto"/>
                <w:szCs w:val="21"/>
                <w:highlight w:val="none"/>
              </w:rPr>
              <w:t>在查询网站中直接截图查询记录，截图作为在广西政府采购云平台作为附件上传保存。</w:t>
            </w:r>
          </w:p>
        </w:tc>
      </w:tr>
      <w:tr w14:paraId="4C9351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0B852DDA">
            <w:pPr>
              <w:widowControl/>
              <w:spacing w:line="400" w:lineRule="exact"/>
              <w:jc w:val="lef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0F3CADA2">
            <w:pPr>
              <w:spacing w:line="400" w:lineRule="exact"/>
              <w:rPr>
                <w:rFonts w:ascii="宋体" w:hAnsi="宋体"/>
                <w:color w:val="auto"/>
                <w:szCs w:val="21"/>
                <w:highlight w:val="none"/>
              </w:rPr>
            </w:pPr>
            <w:r>
              <w:rPr>
                <w:rFonts w:hint="eastAsia" w:ascii="宋体" w:hAnsi="宋体"/>
                <w:color w:val="auto"/>
                <w:szCs w:val="21"/>
                <w:highlight w:val="none"/>
              </w:rPr>
              <w:t>信用信息使用规则</w:t>
            </w:r>
          </w:p>
        </w:tc>
        <w:tc>
          <w:tcPr>
            <w:tcW w:w="7037" w:type="dxa"/>
            <w:tcBorders>
              <w:top w:val="single" w:color="auto" w:sz="4" w:space="0"/>
              <w:left w:val="single" w:color="auto" w:sz="4" w:space="0"/>
              <w:bottom w:val="single" w:color="auto" w:sz="4" w:space="0"/>
              <w:right w:val="single" w:color="auto" w:sz="4" w:space="0"/>
            </w:tcBorders>
            <w:vAlign w:val="center"/>
          </w:tcPr>
          <w:p w14:paraId="25DDE47D">
            <w:pPr>
              <w:snapToGrid w:val="0"/>
              <w:spacing w:line="400" w:lineRule="exact"/>
              <w:rPr>
                <w:rFonts w:ascii="宋体" w:hAnsi="宋体"/>
                <w:color w:val="auto"/>
                <w:szCs w:val="21"/>
                <w:highlight w:val="none"/>
              </w:rPr>
            </w:pPr>
            <w:r>
              <w:rPr>
                <w:rFonts w:hint="eastAsia" w:ascii="宋体" w:hAnsi="宋体"/>
                <w:color w:val="auto"/>
                <w:szCs w:val="21"/>
                <w:highlight w:val="none"/>
              </w:rPr>
              <w:t>对在“信用中国”网站</w:t>
            </w:r>
            <w:r>
              <w:rPr>
                <w:rFonts w:hint="eastAsia" w:ascii="宋体" w:hAnsi="宋体"/>
                <w:color w:val="auto"/>
                <w:szCs w:val="21"/>
                <w:highlight w:val="none"/>
                <w:lang w:eastAsia="zh-CN"/>
              </w:rPr>
              <w:t>（</w:t>
            </w:r>
            <w:r>
              <w:rPr>
                <w:rFonts w:hint="eastAsia" w:ascii="宋体" w:hAnsi="宋体"/>
                <w:color w:val="auto"/>
                <w:szCs w:val="21"/>
                <w:highlight w:val="none"/>
              </w:rPr>
              <w:t>www.creditchina.gov.cn</w:t>
            </w:r>
            <w:r>
              <w:rPr>
                <w:rFonts w:hint="eastAsia" w:ascii="宋体" w:hAnsi="宋体"/>
                <w:color w:val="auto"/>
                <w:szCs w:val="21"/>
                <w:highlight w:val="none"/>
                <w:lang w:eastAsia="zh-CN"/>
              </w:rPr>
              <w:t>）</w:t>
            </w:r>
            <w:r>
              <w:rPr>
                <w:rFonts w:hint="eastAsia" w:ascii="宋体" w:hAnsi="宋体"/>
                <w:color w:val="auto"/>
                <w:szCs w:val="21"/>
                <w:highlight w:val="none"/>
              </w:rPr>
              <w:t xml:space="preserve"> 、中国政府采购网</w:t>
            </w:r>
            <w:r>
              <w:rPr>
                <w:rFonts w:hint="eastAsia" w:ascii="宋体" w:hAnsi="宋体"/>
                <w:color w:val="auto"/>
                <w:szCs w:val="21"/>
                <w:highlight w:val="none"/>
                <w:lang w:eastAsia="zh-CN"/>
              </w:rPr>
              <w:t>（</w:t>
            </w:r>
            <w:r>
              <w:rPr>
                <w:rFonts w:hint="eastAsia" w:ascii="宋体" w:hAnsi="宋体"/>
                <w:color w:val="auto"/>
                <w:szCs w:val="21"/>
                <w:highlight w:val="none"/>
              </w:rPr>
              <w:t>www.ccgp.gov.cn</w:t>
            </w:r>
            <w:r>
              <w:rPr>
                <w:rFonts w:hint="eastAsia" w:ascii="宋体" w:hAnsi="宋体"/>
                <w:color w:val="auto"/>
                <w:szCs w:val="21"/>
                <w:highlight w:val="none"/>
                <w:lang w:eastAsia="zh-CN"/>
              </w:rPr>
              <w:t>）</w:t>
            </w:r>
            <w:r>
              <w:rPr>
                <w:rFonts w:hint="eastAsia" w:ascii="宋体" w:hAnsi="宋体"/>
                <w:color w:val="auto"/>
                <w:szCs w:val="21"/>
                <w:highlight w:val="none"/>
              </w:rPr>
              <w:t>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6E64C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AAD36CA">
            <w:pPr>
              <w:spacing w:line="400" w:lineRule="exact"/>
              <w:rPr>
                <w:rFonts w:ascii="宋体" w:hAnsi="宋体"/>
                <w:color w:val="auto"/>
                <w:szCs w:val="21"/>
                <w:highlight w:val="none"/>
              </w:rPr>
            </w:pPr>
            <w:r>
              <w:rPr>
                <w:rFonts w:hint="eastAsia" w:ascii="宋体" w:hAnsi="宋体"/>
                <w:color w:val="auto"/>
                <w:szCs w:val="21"/>
                <w:highlight w:val="none"/>
              </w:rPr>
              <w:t>29.1</w:t>
            </w:r>
          </w:p>
        </w:tc>
        <w:tc>
          <w:tcPr>
            <w:tcW w:w="2268" w:type="dxa"/>
            <w:tcBorders>
              <w:top w:val="single" w:color="auto" w:sz="4" w:space="0"/>
              <w:left w:val="single" w:color="auto" w:sz="4" w:space="0"/>
              <w:bottom w:val="single" w:color="auto" w:sz="4" w:space="0"/>
              <w:right w:val="single" w:color="auto" w:sz="4" w:space="0"/>
            </w:tcBorders>
            <w:vAlign w:val="center"/>
          </w:tcPr>
          <w:p w14:paraId="721BBAAC">
            <w:pPr>
              <w:spacing w:line="400" w:lineRule="exact"/>
              <w:rPr>
                <w:rFonts w:ascii="宋体" w:hAnsi="宋体"/>
                <w:color w:val="auto"/>
                <w:szCs w:val="21"/>
                <w:highlight w:val="none"/>
              </w:rPr>
            </w:pPr>
            <w:r>
              <w:rPr>
                <w:rFonts w:hint="eastAsia" w:ascii="宋体" w:hAnsi="宋体"/>
                <w:color w:val="auto"/>
                <w:szCs w:val="21"/>
                <w:highlight w:val="none"/>
              </w:rPr>
              <w:t>评标方法</w:t>
            </w:r>
          </w:p>
        </w:tc>
        <w:tc>
          <w:tcPr>
            <w:tcW w:w="7037" w:type="dxa"/>
            <w:tcBorders>
              <w:top w:val="single" w:color="auto" w:sz="4" w:space="0"/>
              <w:left w:val="single" w:color="auto" w:sz="4" w:space="0"/>
              <w:bottom w:val="single" w:color="auto" w:sz="4" w:space="0"/>
              <w:right w:val="single" w:color="auto" w:sz="4" w:space="0"/>
            </w:tcBorders>
            <w:vAlign w:val="center"/>
          </w:tcPr>
          <w:p w14:paraId="2CD549C7">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t>☑综合评分法</w:t>
            </w:r>
          </w:p>
          <w:p w14:paraId="0D7C2359">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t>□最低评标价法</w:t>
            </w:r>
          </w:p>
        </w:tc>
      </w:tr>
      <w:tr w14:paraId="0FEBA8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single" w:color="auto" w:sz="4" w:space="0"/>
              <w:right w:val="single" w:color="auto" w:sz="4" w:space="0"/>
            </w:tcBorders>
            <w:vAlign w:val="center"/>
          </w:tcPr>
          <w:p w14:paraId="2C5F1EB0">
            <w:pPr>
              <w:spacing w:line="400" w:lineRule="exact"/>
              <w:rPr>
                <w:rFonts w:ascii="宋体" w:hAnsi="宋体"/>
                <w:color w:val="auto"/>
                <w:szCs w:val="21"/>
                <w:highlight w:val="none"/>
              </w:rPr>
            </w:pPr>
            <w:r>
              <w:rPr>
                <w:rFonts w:hint="eastAsia" w:ascii="宋体" w:hAnsi="宋体"/>
                <w:color w:val="auto"/>
                <w:szCs w:val="21"/>
                <w:highlight w:val="none"/>
              </w:rPr>
              <w:t>29.2</w:t>
            </w:r>
          </w:p>
        </w:tc>
        <w:tc>
          <w:tcPr>
            <w:tcW w:w="2268" w:type="dxa"/>
            <w:tcBorders>
              <w:top w:val="single" w:color="auto" w:sz="4" w:space="0"/>
              <w:left w:val="single" w:color="auto" w:sz="4" w:space="0"/>
              <w:bottom w:val="single" w:color="auto" w:sz="4" w:space="0"/>
              <w:right w:val="single" w:color="auto" w:sz="4" w:space="0"/>
            </w:tcBorders>
            <w:vAlign w:val="center"/>
          </w:tcPr>
          <w:p w14:paraId="58291C07">
            <w:pPr>
              <w:spacing w:line="400" w:lineRule="exact"/>
              <w:rPr>
                <w:rFonts w:ascii="宋体" w:hAnsi="宋体"/>
                <w:color w:val="auto"/>
                <w:szCs w:val="21"/>
                <w:highlight w:val="none"/>
              </w:rPr>
            </w:pPr>
            <w:r>
              <w:rPr>
                <w:rFonts w:hint="eastAsia" w:ascii="宋体" w:hAnsi="宋体"/>
                <w:color w:val="auto"/>
                <w:szCs w:val="21"/>
                <w:highlight w:val="none"/>
              </w:rPr>
              <w:t>允许负偏离项</w:t>
            </w:r>
          </w:p>
        </w:tc>
        <w:tc>
          <w:tcPr>
            <w:tcW w:w="7037" w:type="dxa"/>
            <w:tcBorders>
              <w:top w:val="single" w:color="auto" w:sz="4" w:space="0"/>
              <w:left w:val="single" w:color="auto" w:sz="4" w:space="0"/>
              <w:bottom w:val="single" w:color="auto" w:sz="4" w:space="0"/>
              <w:right w:val="single" w:color="auto" w:sz="4" w:space="0"/>
            </w:tcBorders>
            <w:vAlign w:val="center"/>
          </w:tcPr>
          <w:p w14:paraId="3C252D6F">
            <w:pPr>
              <w:snapToGrid w:val="0"/>
              <w:spacing w:line="380" w:lineRule="exact"/>
              <w:rPr>
                <w:rFonts w:ascii="宋体" w:hAnsi="宋体"/>
                <w:color w:val="auto"/>
                <w:szCs w:val="21"/>
                <w:highlight w:val="none"/>
              </w:rPr>
            </w:pPr>
            <w:r>
              <w:rPr>
                <w:rFonts w:hint="eastAsia" w:ascii="宋体" w:hAnsi="宋体" w:cs="宋体"/>
                <w:color w:val="auto"/>
                <w:szCs w:val="21"/>
                <w:highlight w:val="none"/>
              </w:rPr>
              <w:t>商务条款</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0 </w:t>
            </w:r>
            <w:r>
              <w:rPr>
                <w:rFonts w:hint="eastAsia" w:ascii="宋体" w:hAnsi="宋体"/>
                <w:color w:val="auto"/>
                <w:szCs w:val="21"/>
                <w:highlight w:val="none"/>
              </w:rPr>
              <w:t>项。</w:t>
            </w:r>
          </w:p>
          <w:p w14:paraId="794CBC95">
            <w:pPr>
              <w:snapToGrid w:val="0"/>
              <w:spacing w:line="380" w:lineRule="exact"/>
              <w:rPr>
                <w:rFonts w:ascii="宋体" w:hAnsi="宋体"/>
                <w:b/>
                <w:bCs/>
                <w:color w:val="auto"/>
                <w:szCs w:val="21"/>
                <w:highlight w:val="none"/>
              </w:rPr>
            </w:pPr>
            <w:r>
              <w:rPr>
                <w:rFonts w:hint="eastAsia" w:ascii="宋体" w:hAnsi="宋体" w:cs="宋体"/>
                <w:color w:val="auto"/>
                <w:szCs w:val="21"/>
                <w:highlight w:val="none"/>
              </w:rPr>
              <w:t>技术需求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0 </w:t>
            </w:r>
            <w:r>
              <w:rPr>
                <w:rFonts w:hint="eastAsia" w:ascii="宋体" w:hAnsi="宋体"/>
                <w:color w:val="auto"/>
                <w:szCs w:val="21"/>
                <w:highlight w:val="none"/>
              </w:rPr>
              <w:t>项。</w:t>
            </w:r>
          </w:p>
        </w:tc>
      </w:tr>
      <w:tr w14:paraId="030375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EA640DC">
            <w:pPr>
              <w:spacing w:line="400" w:lineRule="exact"/>
              <w:rPr>
                <w:rFonts w:ascii="宋体" w:hAnsi="宋体"/>
                <w:color w:val="auto"/>
                <w:szCs w:val="21"/>
                <w:highlight w:val="none"/>
              </w:rPr>
            </w:pPr>
            <w:r>
              <w:rPr>
                <w:rFonts w:hint="eastAsia" w:ascii="宋体" w:hAnsi="宋体"/>
                <w:color w:val="auto"/>
                <w:szCs w:val="21"/>
                <w:highlight w:val="none"/>
              </w:rPr>
              <w:t>30.1</w:t>
            </w:r>
          </w:p>
        </w:tc>
        <w:tc>
          <w:tcPr>
            <w:tcW w:w="2268" w:type="dxa"/>
            <w:tcBorders>
              <w:top w:val="single" w:color="auto" w:sz="4" w:space="0"/>
              <w:left w:val="single" w:color="auto" w:sz="4" w:space="0"/>
              <w:bottom w:val="single" w:color="auto" w:sz="4" w:space="0"/>
              <w:right w:val="single" w:color="auto" w:sz="4" w:space="0"/>
            </w:tcBorders>
            <w:vAlign w:val="center"/>
          </w:tcPr>
          <w:p w14:paraId="2B1332A8">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t xml:space="preserve">确定中标人时，出现中标候选人分数并列的情形，确定中标人方式 </w:t>
            </w:r>
          </w:p>
        </w:tc>
        <w:tc>
          <w:tcPr>
            <w:tcW w:w="7037" w:type="dxa"/>
            <w:tcBorders>
              <w:top w:val="single" w:color="auto" w:sz="4" w:space="0"/>
              <w:left w:val="single" w:color="auto" w:sz="4" w:space="0"/>
              <w:bottom w:val="single" w:color="auto" w:sz="4" w:space="0"/>
              <w:right w:val="single" w:color="auto" w:sz="4" w:space="0"/>
            </w:tcBorders>
            <w:vAlign w:val="center"/>
          </w:tcPr>
          <w:p w14:paraId="1A8B1EBE">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t xml:space="preserve">□采用最低评标价法的，投标文件满足招标文件全部实质性要求且投标报价最低的投标人为排名第一的中标候选人； </w:t>
            </w:r>
          </w:p>
          <w:p w14:paraId="66270BFA">
            <w:pPr>
              <w:autoSpaceDE w:val="0"/>
              <w:autoSpaceDN w:val="0"/>
              <w:snapToGrid w:val="0"/>
              <w:spacing w:line="400" w:lineRule="exact"/>
              <w:textAlignment w:val="bottom"/>
              <w:rPr>
                <w:rFonts w:ascii="宋体" w:hAnsi="宋体"/>
                <w:b/>
                <w:color w:val="auto"/>
                <w:szCs w:val="21"/>
                <w:highlight w:val="none"/>
              </w:rPr>
            </w:pPr>
            <w:r>
              <w:rPr>
                <w:rFonts w:hint="eastAsia" w:ascii="宋体" w:hAnsi="宋体"/>
                <w:color w:val="auto"/>
                <w:szCs w:val="21"/>
                <w:highlight w:val="none"/>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1CCFD1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vAlign w:val="center"/>
          </w:tcPr>
          <w:p w14:paraId="36BC96E3">
            <w:pPr>
              <w:spacing w:line="400" w:lineRule="exact"/>
              <w:rPr>
                <w:rFonts w:ascii="宋体" w:hAnsi="宋体"/>
                <w:color w:val="auto"/>
                <w:szCs w:val="21"/>
                <w:highlight w:val="none"/>
              </w:rPr>
            </w:pPr>
            <w:r>
              <w:rPr>
                <w:rFonts w:hint="eastAsia" w:ascii="宋体" w:hAnsi="宋体"/>
                <w:color w:val="auto"/>
                <w:szCs w:val="21"/>
                <w:highlight w:val="none"/>
              </w:rPr>
              <w:t>35</w:t>
            </w:r>
          </w:p>
        </w:tc>
        <w:tc>
          <w:tcPr>
            <w:tcW w:w="2268" w:type="dxa"/>
            <w:tcBorders>
              <w:top w:val="single" w:color="auto" w:sz="4" w:space="0"/>
              <w:left w:val="single" w:color="auto" w:sz="4" w:space="0"/>
              <w:bottom w:val="single" w:color="auto" w:sz="4" w:space="0"/>
              <w:right w:val="single" w:color="auto" w:sz="4" w:space="0"/>
            </w:tcBorders>
            <w:vAlign w:val="center"/>
          </w:tcPr>
          <w:p w14:paraId="7BF55675">
            <w:pPr>
              <w:spacing w:line="400" w:lineRule="exact"/>
              <w:rPr>
                <w:rFonts w:ascii="宋体" w:hAnsi="宋体"/>
                <w:color w:val="auto"/>
                <w:szCs w:val="21"/>
                <w:highlight w:val="none"/>
              </w:rPr>
            </w:pPr>
            <w:r>
              <w:rPr>
                <w:rFonts w:hint="eastAsia" w:ascii="宋体" w:hAnsi="宋体"/>
                <w:color w:val="auto"/>
                <w:szCs w:val="21"/>
                <w:highlight w:val="none"/>
              </w:rPr>
              <w:t>履约保证金金额</w:t>
            </w:r>
          </w:p>
        </w:tc>
        <w:tc>
          <w:tcPr>
            <w:tcW w:w="7037" w:type="dxa"/>
            <w:tcBorders>
              <w:top w:val="single" w:color="auto" w:sz="4" w:space="0"/>
              <w:left w:val="single" w:color="auto" w:sz="4" w:space="0"/>
              <w:bottom w:val="single" w:color="auto" w:sz="4" w:space="0"/>
              <w:right w:val="single" w:color="auto" w:sz="4" w:space="0"/>
            </w:tcBorders>
            <w:vAlign w:val="bottom"/>
          </w:tcPr>
          <w:p w14:paraId="0E02CF1A">
            <w:pPr>
              <w:autoSpaceDE w:val="0"/>
              <w:autoSpaceDN w:val="0"/>
              <w:snapToGrid w:val="0"/>
              <w:spacing w:line="400" w:lineRule="exact"/>
              <w:jc w:val="left"/>
              <w:textAlignment w:val="bottom"/>
              <w:rPr>
                <w:rFonts w:ascii="宋体" w:hAnsi="宋体"/>
                <w:color w:val="auto"/>
                <w:szCs w:val="21"/>
                <w:highlight w:val="none"/>
              </w:rPr>
            </w:pPr>
            <w:r>
              <w:rPr>
                <w:rFonts w:hint="eastAsia" w:ascii="宋体" w:hAnsi="宋体"/>
                <w:color w:val="auto"/>
                <w:szCs w:val="21"/>
                <w:highlight w:val="none"/>
              </w:rPr>
              <w:t>本项目不收取履约保证金。</w:t>
            </w:r>
          </w:p>
        </w:tc>
      </w:tr>
      <w:tr w14:paraId="1741D3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B92659C">
            <w:pPr>
              <w:spacing w:line="400" w:lineRule="exact"/>
              <w:rPr>
                <w:rFonts w:ascii="宋体" w:hAnsi="宋体"/>
                <w:color w:val="auto"/>
                <w:szCs w:val="21"/>
                <w:highlight w:val="none"/>
              </w:rPr>
            </w:pPr>
            <w:r>
              <w:rPr>
                <w:rFonts w:hint="eastAsia" w:ascii="宋体" w:hAnsi="宋体"/>
                <w:color w:val="auto"/>
                <w:szCs w:val="21"/>
                <w:highlight w:val="none"/>
              </w:rPr>
              <w:t>36.1</w:t>
            </w:r>
          </w:p>
        </w:tc>
        <w:tc>
          <w:tcPr>
            <w:tcW w:w="2268" w:type="dxa"/>
            <w:tcBorders>
              <w:top w:val="single" w:color="auto" w:sz="4" w:space="0"/>
              <w:left w:val="single" w:color="auto" w:sz="4" w:space="0"/>
              <w:bottom w:val="single" w:color="auto" w:sz="4" w:space="0"/>
              <w:right w:val="single" w:color="auto" w:sz="4" w:space="0"/>
            </w:tcBorders>
            <w:vAlign w:val="center"/>
          </w:tcPr>
          <w:p w14:paraId="6A5105BC">
            <w:pPr>
              <w:spacing w:line="400" w:lineRule="exact"/>
              <w:rPr>
                <w:rFonts w:ascii="宋体" w:hAnsi="宋体"/>
                <w:color w:val="auto"/>
                <w:szCs w:val="21"/>
                <w:highlight w:val="none"/>
              </w:rPr>
            </w:pPr>
            <w:r>
              <w:rPr>
                <w:rFonts w:hint="eastAsia" w:ascii="宋体" w:hAnsi="宋体"/>
                <w:color w:val="auto"/>
                <w:szCs w:val="21"/>
                <w:highlight w:val="none"/>
              </w:rPr>
              <w:t>签订电子合同携带的材料</w:t>
            </w:r>
          </w:p>
        </w:tc>
        <w:tc>
          <w:tcPr>
            <w:tcW w:w="7037" w:type="dxa"/>
            <w:tcBorders>
              <w:top w:val="single" w:color="auto" w:sz="4" w:space="0"/>
              <w:left w:val="single" w:color="auto" w:sz="4" w:space="0"/>
              <w:bottom w:val="single" w:color="auto" w:sz="4" w:space="0"/>
              <w:right w:val="single" w:color="auto" w:sz="4" w:space="0"/>
            </w:tcBorders>
            <w:vAlign w:val="center"/>
          </w:tcPr>
          <w:p w14:paraId="4155E513">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t>电子采购合同需要供应商通过有效CA证书进行电子签署</w:t>
            </w:r>
          </w:p>
        </w:tc>
      </w:tr>
      <w:tr w14:paraId="1AE871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53553E04">
            <w:pPr>
              <w:spacing w:line="400" w:lineRule="exact"/>
              <w:rPr>
                <w:rFonts w:ascii="宋体" w:hAnsi="宋体"/>
                <w:color w:val="auto"/>
                <w:szCs w:val="21"/>
                <w:highlight w:val="none"/>
              </w:rPr>
            </w:pPr>
            <w:r>
              <w:rPr>
                <w:rFonts w:hint="eastAsia" w:ascii="宋体" w:hAnsi="宋体"/>
                <w:color w:val="auto"/>
                <w:szCs w:val="21"/>
                <w:highlight w:val="none"/>
              </w:rPr>
              <w:t>38.2.1</w:t>
            </w:r>
          </w:p>
        </w:tc>
        <w:tc>
          <w:tcPr>
            <w:tcW w:w="2268" w:type="dxa"/>
            <w:tcBorders>
              <w:top w:val="single" w:color="auto" w:sz="4" w:space="0"/>
              <w:left w:val="single" w:color="auto" w:sz="4" w:space="0"/>
              <w:bottom w:val="single" w:color="auto" w:sz="4" w:space="0"/>
              <w:right w:val="single" w:color="auto" w:sz="4" w:space="0"/>
            </w:tcBorders>
            <w:vAlign w:val="center"/>
          </w:tcPr>
          <w:p w14:paraId="08390D01">
            <w:pPr>
              <w:spacing w:line="400" w:lineRule="exact"/>
              <w:rPr>
                <w:rFonts w:ascii="宋体" w:hAnsi="宋体"/>
                <w:color w:val="auto"/>
                <w:szCs w:val="21"/>
                <w:highlight w:val="none"/>
              </w:rPr>
            </w:pPr>
            <w:r>
              <w:rPr>
                <w:rFonts w:hint="eastAsia" w:ascii="宋体" w:hAnsi="宋体"/>
                <w:color w:val="auto"/>
                <w:szCs w:val="21"/>
                <w:highlight w:val="none"/>
              </w:rPr>
              <w:t>接收质疑函方式</w:t>
            </w:r>
          </w:p>
        </w:tc>
        <w:tc>
          <w:tcPr>
            <w:tcW w:w="7037" w:type="dxa"/>
            <w:tcBorders>
              <w:top w:val="single" w:color="auto" w:sz="4" w:space="0"/>
              <w:left w:val="single" w:color="auto" w:sz="4" w:space="0"/>
              <w:bottom w:val="single" w:color="auto" w:sz="4" w:space="0"/>
              <w:right w:val="single" w:color="auto" w:sz="4" w:space="0"/>
            </w:tcBorders>
            <w:vAlign w:val="center"/>
          </w:tcPr>
          <w:p w14:paraId="0FB481E9">
            <w:pPr>
              <w:snapToGrid w:val="0"/>
              <w:spacing w:line="400" w:lineRule="exact"/>
              <w:rPr>
                <w:rFonts w:ascii="宋体" w:hAnsi="宋体"/>
                <w:color w:val="auto"/>
                <w:szCs w:val="21"/>
                <w:highlight w:val="none"/>
              </w:rPr>
            </w:pPr>
            <w:r>
              <w:rPr>
                <w:rFonts w:hint="eastAsia" w:ascii="宋体" w:hAnsi="宋体"/>
                <w:color w:val="auto"/>
                <w:szCs w:val="21"/>
                <w:highlight w:val="none"/>
              </w:rPr>
              <w:t>以书面形式</w:t>
            </w:r>
          </w:p>
        </w:tc>
      </w:tr>
      <w:tr w14:paraId="7DBB16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62441764">
            <w:pPr>
              <w:widowControl/>
              <w:spacing w:line="400" w:lineRule="exact"/>
              <w:jc w:val="lef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694243F9">
            <w:pPr>
              <w:spacing w:line="400" w:lineRule="exact"/>
              <w:rPr>
                <w:rFonts w:ascii="宋体" w:hAnsi="宋体"/>
                <w:color w:val="auto"/>
                <w:szCs w:val="21"/>
                <w:highlight w:val="none"/>
              </w:rPr>
            </w:pPr>
            <w:r>
              <w:rPr>
                <w:rFonts w:hint="eastAsia" w:ascii="宋体" w:hAnsi="宋体"/>
                <w:color w:val="auto"/>
                <w:szCs w:val="21"/>
                <w:highlight w:val="none"/>
              </w:rPr>
              <w:t>质疑联系部门及联系方式</w:t>
            </w:r>
          </w:p>
        </w:tc>
        <w:tc>
          <w:tcPr>
            <w:tcW w:w="7037" w:type="dxa"/>
            <w:tcBorders>
              <w:top w:val="single" w:color="auto" w:sz="4" w:space="0"/>
              <w:left w:val="single" w:color="auto" w:sz="4" w:space="0"/>
              <w:bottom w:val="single" w:color="auto" w:sz="4" w:space="0"/>
              <w:right w:val="single" w:color="auto" w:sz="4" w:space="0"/>
            </w:tcBorders>
            <w:vAlign w:val="center"/>
          </w:tcPr>
          <w:p w14:paraId="2E368FD5">
            <w:pPr>
              <w:snapToGrid w:val="0"/>
              <w:spacing w:line="400" w:lineRule="exact"/>
              <w:rPr>
                <w:rFonts w:ascii="宋体" w:hAnsi="宋体"/>
                <w:color w:val="auto"/>
                <w:szCs w:val="21"/>
                <w:highlight w:val="none"/>
              </w:rPr>
            </w:pPr>
            <w:r>
              <w:rPr>
                <w:rFonts w:hint="eastAsia" w:ascii="宋体" w:hAnsi="宋体"/>
                <w:color w:val="auto"/>
                <w:szCs w:val="21"/>
                <w:highlight w:val="none"/>
                <w:u w:val="single"/>
              </w:rPr>
              <w:t xml:space="preserve">（1）广西机电设备招标有限公司    </w:t>
            </w:r>
            <w:r>
              <w:rPr>
                <w:rFonts w:hint="eastAsia" w:ascii="宋体" w:hAnsi="宋体"/>
                <w:color w:val="auto"/>
                <w:szCs w:val="21"/>
                <w:highlight w:val="none"/>
              </w:rPr>
              <w:t>部门；</w:t>
            </w:r>
          </w:p>
          <w:p w14:paraId="7E38B930">
            <w:pPr>
              <w:snapToGrid w:val="0"/>
              <w:spacing w:line="400" w:lineRule="exact"/>
              <w:rPr>
                <w:rFonts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rPr>
              <w:t>：0771-2833821，</w:t>
            </w:r>
          </w:p>
          <w:p w14:paraId="61256C55">
            <w:pPr>
              <w:snapToGrid w:val="0"/>
              <w:spacing w:line="400" w:lineRule="exact"/>
              <w:rPr>
                <w:rFonts w:ascii="宋体" w:hAnsi="宋体"/>
                <w:color w:val="auto"/>
                <w:szCs w:val="21"/>
                <w:highlight w:val="none"/>
              </w:rPr>
            </w:pPr>
            <w:r>
              <w:rPr>
                <w:rFonts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u w:val="single"/>
              </w:rPr>
              <w:t>广西南宁市金湖路63号金源CBD现代城B座7层</w:t>
            </w:r>
            <w:r>
              <w:rPr>
                <w:rFonts w:hint="eastAsia" w:ascii="宋体" w:hAnsi="宋体"/>
                <w:color w:val="auto"/>
                <w:szCs w:val="21"/>
                <w:highlight w:val="none"/>
              </w:rPr>
              <w:t xml:space="preserve"> </w:t>
            </w:r>
          </w:p>
          <w:p w14:paraId="73B9E97E">
            <w:pPr>
              <w:snapToGrid w:val="0"/>
              <w:spacing w:line="400" w:lineRule="exact"/>
              <w:rPr>
                <w:rFonts w:ascii="宋体" w:hAnsi="宋体"/>
                <w:color w:val="auto"/>
                <w:szCs w:val="21"/>
                <w:highlight w:val="none"/>
              </w:rPr>
            </w:pPr>
            <w:r>
              <w:rPr>
                <w:rFonts w:hint="eastAsia" w:ascii="宋体" w:hAnsi="宋体"/>
                <w:color w:val="auto"/>
                <w:szCs w:val="21"/>
                <w:highlight w:val="none"/>
                <w:u w:val="single"/>
              </w:rPr>
              <w:t xml:space="preserve">（2）宾阳县就业服务中心    </w:t>
            </w:r>
            <w:r>
              <w:rPr>
                <w:rFonts w:hint="eastAsia" w:ascii="宋体" w:hAnsi="宋体"/>
                <w:color w:val="auto"/>
                <w:szCs w:val="21"/>
                <w:highlight w:val="none"/>
              </w:rPr>
              <w:t>部门；</w:t>
            </w:r>
          </w:p>
          <w:p w14:paraId="3E3F8733">
            <w:pPr>
              <w:snapToGrid w:val="0"/>
              <w:spacing w:line="400" w:lineRule="exact"/>
              <w:rPr>
                <w:rFonts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rPr>
              <w:t>：8221826，</w:t>
            </w:r>
          </w:p>
          <w:p w14:paraId="26329642">
            <w:pPr>
              <w:snapToGrid w:val="0"/>
              <w:spacing w:line="400" w:lineRule="exact"/>
              <w:rPr>
                <w:rFonts w:ascii="宋体" w:hAnsi="宋体"/>
                <w:color w:val="auto"/>
                <w:szCs w:val="21"/>
                <w:highlight w:val="none"/>
              </w:rPr>
            </w:pPr>
            <w:r>
              <w:rPr>
                <w:rFonts w:ascii="宋体" w:hAnsi="宋体"/>
                <w:color w:val="auto"/>
                <w:szCs w:val="21"/>
                <w:highlight w:val="none"/>
              </w:rPr>
              <w:t>通讯地址</w:t>
            </w:r>
            <w:r>
              <w:rPr>
                <w:rFonts w:hint="eastAsia" w:ascii="宋体" w:hAnsi="宋体" w:cs="Helvetica"/>
                <w:color w:val="auto"/>
                <w:szCs w:val="21"/>
                <w:highlight w:val="none"/>
              </w:rPr>
              <w:t>：宾阳县宾州镇临浦路457号</w:t>
            </w:r>
            <w:r>
              <w:rPr>
                <w:rFonts w:hint="eastAsia" w:ascii="宋体" w:hAnsi="宋体"/>
                <w:color w:val="auto"/>
                <w:szCs w:val="21"/>
                <w:highlight w:val="none"/>
              </w:rPr>
              <w:t xml:space="preserve"> </w:t>
            </w:r>
          </w:p>
        </w:tc>
      </w:tr>
      <w:tr w14:paraId="25E58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0D5DF2E0">
            <w:pPr>
              <w:widowControl/>
              <w:spacing w:line="400" w:lineRule="exact"/>
              <w:jc w:val="lef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683B3D62">
            <w:pPr>
              <w:spacing w:line="400" w:lineRule="exact"/>
              <w:rPr>
                <w:rFonts w:ascii="宋体" w:hAnsi="宋体"/>
                <w:color w:val="auto"/>
                <w:szCs w:val="21"/>
                <w:highlight w:val="none"/>
              </w:rPr>
            </w:pPr>
            <w:r>
              <w:rPr>
                <w:rFonts w:hint="eastAsia" w:hAnsi="宋体"/>
                <w:color w:val="auto"/>
                <w:highlight w:val="none"/>
              </w:rPr>
              <w:t>现场提交质疑办理业务时间</w:t>
            </w:r>
          </w:p>
        </w:tc>
        <w:tc>
          <w:tcPr>
            <w:tcW w:w="7037" w:type="dxa"/>
            <w:tcBorders>
              <w:top w:val="single" w:color="auto" w:sz="4" w:space="0"/>
              <w:left w:val="single" w:color="auto" w:sz="4" w:space="0"/>
              <w:bottom w:val="single" w:color="auto" w:sz="4" w:space="0"/>
              <w:right w:val="single" w:color="auto" w:sz="4" w:space="0"/>
            </w:tcBorders>
            <w:vAlign w:val="center"/>
          </w:tcPr>
          <w:p w14:paraId="43AED9C7">
            <w:pPr>
              <w:snapToGrid w:val="0"/>
              <w:spacing w:line="400" w:lineRule="exact"/>
              <w:rPr>
                <w:rFonts w:ascii="宋体" w:hAnsi="宋体"/>
                <w:color w:val="auto"/>
                <w:szCs w:val="21"/>
                <w:highlight w:val="none"/>
              </w:rPr>
            </w:pPr>
            <w:r>
              <w:rPr>
                <w:rFonts w:hint="eastAsia" w:ascii="宋体" w:hAnsi="宋体" w:cs="宋体"/>
                <w:color w:val="auto"/>
                <w:highlight w:val="none"/>
              </w:rPr>
              <w:t>质疑期内每个工作日</w:t>
            </w:r>
            <w:r>
              <w:rPr>
                <w:rFonts w:hint="eastAsia" w:ascii="宋体" w:hAnsi="宋体" w:cs="宋体"/>
                <w:color w:val="auto"/>
                <w:highlight w:val="none"/>
                <w:u w:val="single"/>
              </w:rPr>
              <w:t xml:space="preserve"> 08 </w:t>
            </w:r>
            <w:r>
              <w:rPr>
                <w:rFonts w:hint="eastAsia" w:ascii="宋体" w:hAnsi="宋体" w:cs="宋体"/>
                <w:color w:val="auto"/>
                <w:highlight w:val="none"/>
              </w:rPr>
              <w:t>时</w:t>
            </w:r>
            <w:r>
              <w:rPr>
                <w:rFonts w:hint="eastAsia" w:ascii="宋体" w:hAnsi="宋体" w:cs="宋体"/>
                <w:color w:val="auto"/>
                <w:highlight w:val="none"/>
                <w:u w:val="single"/>
              </w:rPr>
              <w:t xml:space="preserve"> 00 </w:t>
            </w:r>
            <w:r>
              <w:rPr>
                <w:rFonts w:hint="eastAsia" w:ascii="宋体" w:hAnsi="宋体" w:cs="宋体"/>
                <w:color w:val="auto"/>
                <w:highlight w:val="none"/>
              </w:rPr>
              <w:t>分到</w:t>
            </w:r>
            <w:r>
              <w:rPr>
                <w:rFonts w:hint="eastAsia" w:ascii="宋体" w:hAnsi="宋体" w:cs="宋体"/>
                <w:color w:val="auto"/>
                <w:highlight w:val="none"/>
                <w:u w:val="single"/>
              </w:rPr>
              <w:t xml:space="preserve"> 12 </w:t>
            </w:r>
            <w:r>
              <w:rPr>
                <w:rFonts w:hint="eastAsia" w:ascii="宋体" w:hAnsi="宋体" w:cs="宋体"/>
                <w:color w:val="auto"/>
                <w:highlight w:val="none"/>
              </w:rPr>
              <w:t>时</w:t>
            </w:r>
            <w:r>
              <w:rPr>
                <w:rFonts w:hint="eastAsia" w:ascii="宋体" w:hAnsi="宋体" w:cs="宋体"/>
                <w:color w:val="auto"/>
                <w:highlight w:val="none"/>
                <w:u w:val="single"/>
              </w:rPr>
              <w:t xml:space="preserve"> 00 </w:t>
            </w:r>
            <w:r>
              <w:rPr>
                <w:rFonts w:hint="eastAsia" w:ascii="宋体" w:hAnsi="宋体" w:cs="宋体"/>
                <w:color w:val="auto"/>
                <w:highlight w:val="none"/>
              </w:rPr>
              <w:t>分，</w:t>
            </w:r>
            <w:r>
              <w:rPr>
                <w:rFonts w:hint="eastAsia" w:ascii="宋体" w:hAnsi="宋体" w:cs="宋体"/>
                <w:color w:val="auto"/>
                <w:highlight w:val="none"/>
                <w:u w:val="single"/>
              </w:rPr>
              <w:t xml:space="preserve"> 15 </w:t>
            </w:r>
            <w:r>
              <w:rPr>
                <w:rFonts w:hint="eastAsia" w:ascii="宋体" w:hAnsi="宋体" w:cs="宋体"/>
                <w:color w:val="auto"/>
                <w:highlight w:val="none"/>
              </w:rPr>
              <w:t>时</w:t>
            </w:r>
            <w:r>
              <w:rPr>
                <w:rFonts w:hint="eastAsia" w:ascii="宋体" w:hAnsi="宋体" w:cs="宋体"/>
                <w:color w:val="auto"/>
                <w:highlight w:val="none"/>
                <w:u w:val="single"/>
              </w:rPr>
              <w:t xml:space="preserve"> 00 </w:t>
            </w:r>
            <w:r>
              <w:rPr>
                <w:rFonts w:hint="eastAsia" w:ascii="宋体" w:hAnsi="宋体" w:cs="宋体"/>
                <w:color w:val="auto"/>
                <w:highlight w:val="none"/>
              </w:rPr>
              <w:t>分到</w:t>
            </w:r>
            <w:r>
              <w:rPr>
                <w:rFonts w:hint="eastAsia" w:ascii="宋体" w:hAnsi="宋体" w:cs="宋体"/>
                <w:color w:val="auto"/>
                <w:highlight w:val="none"/>
                <w:u w:val="single"/>
              </w:rPr>
              <w:t xml:space="preserve"> 18 </w:t>
            </w:r>
            <w:r>
              <w:rPr>
                <w:rFonts w:hint="eastAsia" w:ascii="宋体" w:hAnsi="宋体" w:cs="宋体"/>
                <w:color w:val="auto"/>
                <w:highlight w:val="none"/>
              </w:rPr>
              <w:t>时</w:t>
            </w:r>
            <w:r>
              <w:rPr>
                <w:rFonts w:hint="eastAsia" w:ascii="宋体" w:hAnsi="宋体" w:cs="宋体"/>
                <w:color w:val="auto"/>
                <w:highlight w:val="none"/>
                <w:u w:val="single"/>
              </w:rPr>
              <w:t xml:space="preserve"> 00 </w:t>
            </w:r>
            <w:r>
              <w:rPr>
                <w:rFonts w:hint="eastAsia" w:ascii="宋体" w:hAnsi="宋体" w:cs="宋体"/>
                <w:color w:val="auto"/>
                <w:highlight w:val="none"/>
              </w:rPr>
              <w:t>分</w:t>
            </w:r>
          </w:p>
        </w:tc>
      </w:tr>
      <w:tr w14:paraId="6F2226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vAlign w:val="center"/>
          </w:tcPr>
          <w:p w14:paraId="71723D31">
            <w:pPr>
              <w:spacing w:line="400" w:lineRule="exact"/>
              <w:rPr>
                <w:rFonts w:ascii="宋体" w:hAnsi="宋体"/>
                <w:color w:val="auto"/>
                <w:szCs w:val="21"/>
                <w:highlight w:val="none"/>
              </w:rPr>
            </w:pPr>
            <w:r>
              <w:rPr>
                <w:rFonts w:hint="eastAsia" w:ascii="宋体" w:hAnsi="宋体"/>
                <w:color w:val="auto"/>
                <w:szCs w:val="21"/>
                <w:highlight w:val="none"/>
              </w:rPr>
              <w:t>38.3.1</w:t>
            </w:r>
          </w:p>
        </w:tc>
        <w:tc>
          <w:tcPr>
            <w:tcW w:w="2268" w:type="dxa"/>
            <w:tcBorders>
              <w:top w:val="single" w:color="auto" w:sz="4" w:space="0"/>
              <w:left w:val="single" w:color="auto" w:sz="4" w:space="0"/>
              <w:bottom w:val="single" w:color="auto" w:sz="4" w:space="0"/>
              <w:right w:val="single" w:color="auto" w:sz="4" w:space="0"/>
            </w:tcBorders>
            <w:vAlign w:val="center"/>
          </w:tcPr>
          <w:p w14:paraId="46A27A42">
            <w:pPr>
              <w:spacing w:line="400" w:lineRule="exact"/>
              <w:rPr>
                <w:rFonts w:hAnsi="宋体"/>
                <w:color w:val="auto"/>
                <w:highlight w:val="none"/>
              </w:rPr>
            </w:pPr>
            <w:r>
              <w:rPr>
                <w:rFonts w:hint="eastAsia" w:hAnsi="宋体"/>
                <w:color w:val="auto"/>
                <w:highlight w:val="none"/>
              </w:rPr>
              <w:t>投诉受理方式</w:t>
            </w:r>
          </w:p>
        </w:tc>
        <w:tc>
          <w:tcPr>
            <w:tcW w:w="7037" w:type="dxa"/>
            <w:tcBorders>
              <w:top w:val="single" w:color="auto" w:sz="4" w:space="0"/>
              <w:left w:val="single" w:color="auto" w:sz="4" w:space="0"/>
              <w:bottom w:val="single" w:color="auto" w:sz="4" w:space="0"/>
              <w:right w:val="single" w:color="auto" w:sz="4" w:space="0"/>
            </w:tcBorders>
            <w:vAlign w:val="center"/>
          </w:tcPr>
          <w:p w14:paraId="623920BF">
            <w:pPr>
              <w:snapToGrid w:val="0"/>
              <w:spacing w:line="400" w:lineRule="exact"/>
              <w:rPr>
                <w:rFonts w:ascii="宋体" w:hAnsi="宋体" w:cs="宋体"/>
                <w:color w:val="auto"/>
                <w:highlight w:val="none"/>
              </w:rPr>
            </w:pPr>
            <w:r>
              <w:rPr>
                <w:rFonts w:hint="eastAsia" w:ascii="宋体" w:hAnsi="宋体" w:cs="宋体"/>
                <w:color w:val="auto"/>
                <w:highlight w:val="none"/>
                <w:lang w:eastAsia="zh-CN"/>
              </w:rPr>
              <w:t>1.</w:t>
            </w:r>
            <w:r>
              <w:rPr>
                <w:rFonts w:hint="eastAsia" w:ascii="宋体" w:hAnsi="宋体" w:cs="宋体"/>
                <w:color w:val="auto"/>
                <w:highlight w:val="none"/>
              </w:rPr>
              <w:t>受理方式：纸质方式受理，投诉书正、副本（经过质疑的事项才可投诉）。</w:t>
            </w:r>
          </w:p>
          <w:p w14:paraId="44AA395F">
            <w:pPr>
              <w:snapToGrid w:val="0"/>
              <w:spacing w:line="400" w:lineRule="exact"/>
              <w:rPr>
                <w:rFonts w:ascii="宋体" w:hAnsi="宋体" w:cs="宋体"/>
                <w:color w:val="auto"/>
                <w:highlight w:val="none"/>
              </w:rPr>
            </w:pPr>
            <w:r>
              <w:rPr>
                <w:rFonts w:hint="eastAsia" w:ascii="宋体" w:hAnsi="宋体" w:cs="宋体"/>
                <w:color w:val="auto"/>
                <w:highlight w:val="none"/>
                <w:lang w:eastAsia="zh-CN"/>
              </w:rPr>
              <w:t>2.</w:t>
            </w:r>
            <w:r>
              <w:rPr>
                <w:rFonts w:hint="eastAsia" w:ascii="宋体" w:hAnsi="宋体" w:cs="宋体"/>
                <w:color w:val="auto"/>
                <w:highlight w:val="none"/>
              </w:rPr>
              <w:t>邮寄地址：</w:t>
            </w:r>
          </w:p>
          <w:p w14:paraId="5167C043">
            <w:pPr>
              <w:snapToGrid w:val="0"/>
              <w:spacing w:line="400" w:lineRule="exact"/>
              <w:rPr>
                <w:rFonts w:ascii="宋体" w:hAnsi="宋体" w:cs="宋体"/>
                <w:color w:val="auto"/>
                <w:highlight w:val="none"/>
              </w:rPr>
            </w:pPr>
            <w:r>
              <w:rPr>
                <w:rFonts w:hint="eastAsia" w:ascii="宋体" w:hAnsi="宋体" w:cs="宋体"/>
                <w:color w:val="auto"/>
                <w:highlight w:val="none"/>
              </w:rPr>
              <w:t>名称：宾阳县财政局</w:t>
            </w:r>
          </w:p>
          <w:p w14:paraId="1447A083">
            <w:pPr>
              <w:snapToGrid w:val="0"/>
              <w:spacing w:line="400" w:lineRule="exact"/>
              <w:rPr>
                <w:rFonts w:ascii="宋体" w:hAnsi="宋体" w:cs="宋体"/>
                <w:color w:val="auto"/>
                <w:highlight w:val="none"/>
              </w:rPr>
            </w:pPr>
            <w:r>
              <w:rPr>
                <w:rFonts w:hint="eastAsia" w:ascii="宋体" w:hAnsi="宋体" w:cs="宋体"/>
                <w:color w:val="auto"/>
                <w:highlight w:val="none"/>
              </w:rPr>
              <w:t xml:space="preserve">地址：广西宾阳县宾州镇财政路133号  </w:t>
            </w:r>
          </w:p>
          <w:p w14:paraId="1AE570B9">
            <w:pPr>
              <w:snapToGrid w:val="0"/>
              <w:spacing w:line="400" w:lineRule="exact"/>
              <w:rPr>
                <w:rFonts w:hAnsi="宋体"/>
                <w:color w:val="auto"/>
                <w:highlight w:val="none"/>
              </w:rPr>
            </w:pPr>
            <w:r>
              <w:rPr>
                <w:rFonts w:hint="eastAsia" w:ascii="宋体" w:hAnsi="宋体" w:cs="宋体"/>
                <w:color w:val="auto"/>
                <w:highlight w:val="none"/>
              </w:rPr>
              <w:t>联系电话：0771-8223024</w:t>
            </w:r>
          </w:p>
        </w:tc>
      </w:tr>
      <w:tr w14:paraId="2476B0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0C260691">
            <w:pPr>
              <w:spacing w:line="400" w:lineRule="exact"/>
              <w:rPr>
                <w:rFonts w:ascii="宋体" w:hAnsi="宋体"/>
                <w:color w:val="auto"/>
                <w:szCs w:val="21"/>
                <w:highlight w:val="none"/>
              </w:rPr>
            </w:pPr>
            <w:r>
              <w:rPr>
                <w:rFonts w:hint="eastAsia" w:ascii="宋体" w:hAnsi="宋体"/>
                <w:color w:val="auto"/>
                <w:szCs w:val="21"/>
                <w:highlight w:val="none"/>
              </w:rPr>
              <w:t>40</w:t>
            </w:r>
          </w:p>
        </w:tc>
        <w:tc>
          <w:tcPr>
            <w:tcW w:w="2268" w:type="dxa"/>
            <w:tcBorders>
              <w:top w:val="single" w:color="auto" w:sz="4" w:space="0"/>
              <w:left w:val="single" w:color="auto" w:sz="4" w:space="0"/>
              <w:bottom w:val="single" w:color="auto" w:sz="4" w:space="0"/>
              <w:right w:val="single" w:color="auto" w:sz="4" w:space="0"/>
            </w:tcBorders>
            <w:vAlign w:val="center"/>
          </w:tcPr>
          <w:p w14:paraId="29D6A140">
            <w:pPr>
              <w:spacing w:line="400" w:lineRule="exact"/>
              <w:rPr>
                <w:rFonts w:ascii="宋体" w:hAnsi="宋体"/>
                <w:color w:val="auto"/>
                <w:szCs w:val="21"/>
                <w:highlight w:val="none"/>
              </w:rPr>
            </w:pPr>
            <w:r>
              <w:rPr>
                <w:rFonts w:hint="eastAsia" w:hAnsi="宋体" w:cs="宋体"/>
                <w:color w:val="auto"/>
                <w:highlight w:val="none"/>
              </w:rPr>
              <w:t>采购代理费支付方式</w:t>
            </w:r>
          </w:p>
        </w:tc>
        <w:tc>
          <w:tcPr>
            <w:tcW w:w="7037" w:type="dxa"/>
            <w:tcBorders>
              <w:top w:val="single" w:color="auto" w:sz="4" w:space="0"/>
              <w:left w:val="single" w:color="auto" w:sz="4" w:space="0"/>
              <w:bottom w:val="single" w:color="auto" w:sz="4" w:space="0"/>
              <w:right w:val="single" w:color="auto" w:sz="4" w:space="0"/>
            </w:tcBorders>
            <w:vAlign w:val="center"/>
          </w:tcPr>
          <w:p w14:paraId="29F4CD0C">
            <w:pPr>
              <w:pStyle w:val="14"/>
              <w:snapToGrid w:val="0"/>
              <w:spacing w:line="400" w:lineRule="exact"/>
              <w:rPr>
                <w:rFonts w:hAnsi="宋体" w:cs="宋体"/>
                <w:color w:val="auto"/>
                <w:highlight w:val="none"/>
              </w:rPr>
            </w:pPr>
            <w:r>
              <w:rPr>
                <w:rFonts w:hint="eastAsia" w:hAnsi="宋体" w:cs="宋体"/>
                <w:color w:val="auto"/>
                <w:highlight w:val="none"/>
              </w:rPr>
              <w:t>☑本项目代理服务费由</w:t>
            </w:r>
            <w:r>
              <w:rPr>
                <w:rFonts w:hint="eastAsia" w:hAnsi="宋体" w:cs="宋体"/>
                <w:color w:val="auto"/>
                <w:highlight w:val="none"/>
                <w:u w:val="single"/>
              </w:rPr>
              <w:t>中标人</w:t>
            </w:r>
            <w:r>
              <w:rPr>
                <w:rFonts w:hint="eastAsia" w:hAnsi="宋体" w:cs="宋体"/>
                <w:color w:val="auto"/>
                <w:highlight w:val="none"/>
              </w:rPr>
              <w:t>在领取中标通知书前，一次性向采购代理机构支付。</w:t>
            </w:r>
          </w:p>
          <w:p w14:paraId="2F6B1310">
            <w:pPr>
              <w:pStyle w:val="14"/>
              <w:snapToGrid w:val="0"/>
              <w:spacing w:line="400" w:lineRule="exact"/>
              <w:rPr>
                <w:rFonts w:hAnsi="宋体" w:cs="宋体"/>
                <w:color w:val="auto"/>
                <w:highlight w:val="none"/>
              </w:rPr>
            </w:pPr>
            <w:r>
              <w:rPr>
                <w:rFonts w:hint="eastAsia" w:hAnsi="宋体" w:cs="宋体"/>
                <w:color w:val="auto"/>
                <w:highlight w:val="none"/>
              </w:rPr>
              <w:t>□采购人支付。</w:t>
            </w:r>
          </w:p>
          <w:p w14:paraId="39C70E27">
            <w:pPr>
              <w:pStyle w:val="14"/>
              <w:snapToGrid w:val="0"/>
              <w:spacing w:line="400" w:lineRule="exact"/>
              <w:rPr>
                <w:rFonts w:hAnsi="宋体" w:cs="宋体"/>
                <w:color w:val="auto"/>
                <w:highlight w:val="none"/>
              </w:rPr>
            </w:pPr>
            <w:r>
              <w:rPr>
                <w:rFonts w:hint="eastAsia" w:hAnsi="宋体" w:cs="宋体"/>
                <w:color w:val="auto"/>
                <w:highlight w:val="none"/>
              </w:rPr>
              <w:t>□本项目不收取代理服务费。</w:t>
            </w:r>
          </w:p>
        </w:tc>
      </w:tr>
      <w:tr w14:paraId="32358D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65"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7862EEBF">
            <w:pPr>
              <w:widowControl/>
              <w:spacing w:line="400" w:lineRule="exact"/>
              <w:jc w:val="lef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066E0290">
            <w:pPr>
              <w:spacing w:line="400" w:lineRule="exact"/>
              <w:rPr>
                <w:rFonts w:ascii="宋体" w:hAnsi="宋体"/>
                <w:color w:val="auto"/>
                <w:szCs w:val="21"/>
                <w:highlight w:val="none"/>
              </w:rPr>
            </w:pPr>
            <w:r>
              <w:rPr>
                <w:rFonts w:hint="eastAsia" w:hAnsi="宋体" w:cs="宋体"/>
                <w:color w:val="auto"/>
                <w:highlight w:val="none"/>
              </w:rPr>
              <w:t>采购代理费收取标准</w:t>
            </w:r>
          </w:p>
        </w:tc>
        <w:tc>
          <w:tcPr>
            <w:tcW w:w="7037" w:type="dxa"/>
            <w:tcBorders>
              <w:top w:val="single" w:color="auto" w:sz="4" w:space="0"/>
              <w:left w:val="single" w:color="auto" w:sz="4" w:space="0"/>
              <w:bottom w:val="single" w:color="auto" w:sz="4" w:space="0"/>
              <w:right w:val="single" w:color="auto" w:sz="4" w:space="0"/>
            </w:tcBorders>
            <w:vAlign w:val="center"/>
          </w:tcPr>
          <w:p w14:paraId="4564F473">
            <w:pPr>
              <w:snapToGrid w:val="0"/>
              <w:spacing w:line="360" w:lineRule="exact"/>
              <w:rPr>
                <w:rFonts w:ascii="宋体" w:hAnsi="宋体"/>
                <w:color w:val="auto"/>
                <w:kern w:val="0"/>
                <w:szCs w:val="21"/>
                <w:highlight w:val="none"/>
              </w:rPr>
            </w:pPr>
            <w:r>
              <w:rPr>
                <w:rFonts w:hint="eastAsia" w:ascii="宋体" w:hAnsi="宋体"/>
                <w:color w:val="auto"/>
                <w:kern w:val="0"/>
                <w:szCs w:val="21"/>
                <w:highlight w:val="none"/>
              </w:rPr>
              <w:t>1. 是否收取采购代理费：</w:t>
            </w:r>
          </w:p>
          <w:p w14:paraId="4D02CB13">
            <w:pPr>
              <w:snapToGrid w:val="0"/>
              <w:spacing w:line="360" w:lineRule="exact"/>
              <w:rPr>
                <w:rFonts w:ascii="宋体" w:hAnsi="宋体"/>
                <w:color w:val="auto"/>
                <w:kern w:val="0"/>
                <w:szCs w:val="21"/>
                <w:highlight w:val="none"/>
              </w:rPr>
            </w:pPr>
            <w:r>
              <w:rPr>
                <w:rFonts w:hint="eastAsia" w:ascii="Segoe UI Symbol" w:hAnsi="Segoe UI Symbol"/>
                <w:color w:val="auto"/>
                <w:kern w:val="0"/>
                <w:szCs w:val="21"/>
                <w:highlight w:val="none"/>
              </w:rPr>
              <w:t>☑</w:t>
            </w:r>
            <w:r>
              <w:rPr>
                <w:rFonts w:hint="eastAsia" w:ascii="宋体" w:hAnsi="宋体"/>
                <w:color w:val="auto"/>
                <w:kern w:val="0"/>
                <w:szCs w:val="21"/>
                <w:highlight w:val="none"/>
              </w:rPr>
              <w:t>是    □ 否</w:t>
            </w:r>
          </w:p>
          <w:p w14:paraId="7F3575EF">
            <w:pPr>
              <w:snapToGrid w:val="0"/>
              <w:spacing w:line="360" w:lineRule="exact"/>
              <w:rPr>
                <w:rFonts w:ascii="宋体" w:hAnsi="宋体"/>
                <w:color w:val="auto"/>
                <w:kern w:val="0"/>
                <w:szCs w:val="21"/>
                <w:highlight w:val="none"/>
              </w:rPr>
            </w:pPr>
            <w:r>
              <w:rPr>
                <w:rFonts w:hint="eastAsia" w:ascii="宋体" w:hAnsi="宋体"/>
                <w:color w:val="auto"/>
                <w:kern w:val="0"/>
                <w:szCs w:val="21"/>
                <w:highlight w:val="none"/>
              </w:rPr>
              <w:t>2.采购代理费支付方式：</w:t>
            </w:r>
          </w:p>
          <w:p w14:paraId="40FA5074">
            <w:pPr>
              <w:snapToGrid w:val="0"/>
              <w:spacing w:line="360" w:lineRule="exact"/>
              <w:rPr>
                <w:rFonts w:ascii="宋体" w:hAnsi="宋体"/>
                <w:color w:val="auto"/>
                <w:kern w:val="0"/>
                <w:szCs w:val="21"/>
                <w:highlight w:val="none"/>
              </w:rPr>
            </w:pPr>
            <w:r>
              <w:rPr>
                <w:rFonts w:hint="eastAsia" w:ascii="Segoe UI Symbol" w:hAnsi="Segoe UI Symbol"/>
                <w:color w:val="auto"/>
                <w:kern w:val="0"/>
                <w:szCs w:val="21"/>
                <w:highlight w:val="none"/>
              </w:rPr>
              <w:t>☑</w:t>
            </w:r>
            <w:r>
              <w:rPr>
                <w:rFonts w:hint="eastAsia" w:ascii="宋体" w:hAnsi="宋体"/>
                <w:color w:val="auto"/>
                <w:kern w:val="0"/>
                <w:szCs w:val="21"/>
                <w:highlight w:val="none"/>
              </w:rPr>
              <w:t>本项目代理服务费由</w:t>
            </w:r>
            <w:r>
              <w:rPr>
                <w:rFonts w:hint="eastAsia" w:ascii="宋体" w:hAnsi="宋体"/>
                <w:color w:val="auto"/>
                <w:kern w:val="0"/>
                <w:szCs w:val="21"/>
                <w:highlight w:val="none"/>
                <w:u w:val="single"/>
              </w:rPr>
              <w:t>中标供应商</w:t>
            </w:r>
            <w:r>
              <w:rPr>
                <w:rFonts w:hint="eastAsia" w:ascii="宋体" w:hAnsi="宋体"/>
                <w:color w:val="auto"/>
                <w:kern w:val="0"/>
                <w:szCs w:val="21"/>
                <w:highlight w:val="none"/>
              </w:rPr>
              <w:t>领取成交通知书前，一次性向采购代理机构支付。</w:t>
            </w:r>
          </w:p>
          <w:p w14:paraId="5DED4B14">
            <w:pPr>
              <w:snapToGrid w:val="0"/>
              <w:spacing w:line="360" w:lineRule="exact"/>
              <w:rPr>
                <w:rFonts w:ascii="宋体" w:hAnsi="宋体"/>
                <w:color w:val="auto"/>
                <w:kern w:val="0"/>
                <w:szCs w:val="21"/>
                <w:highlight w:val="none"/>
              </w:rPr>
            </w:pPr>
            <w:r>
              <w:rPr>
                <w:rFonts w:hint="eastAsia" w:ascii="宋体" w:hAnsi="宋体"/>
                <w:color w:val="auto"/>
                <w:kern w:val="0"/>
                <w:szCs w:val="21"/>
                <w:highlight w:val="none"/>
              </w:rPr>
              <w:t>□采购人支付。</w:t>
            </w:r>
          </w:p>
          <w:p w14:paraId="73662F68">
            <w:pPr>
              <w:snapToGrid w:val="0"/>
              <w:spacing w:line="380" w:lineRule="exact"/>
              <w:rPr>
                <w:rFonts w:hAnsi="宋体" w:cs="宋体"/>
                <w:color w:val="auto"/>
                <w:highlight w:val="none"/>
                <w:u w:val="single"/>
              </w:rPr>
            </w:pPr>
            <w:r>
              <w:rPr>
                <w:rFonts w:hint="eastAsia" w:ascii="宋体" w:hAnsi="宋体"/>
                <w:color w:val="auto"/>
                <w:kern w:val="0"/>
                <w:szCs w:val="21"/>
                <w:highlight w:val="none"/>
              </w:rPr>
              <w:t>3.采购代理费收取标准：参照《国家计委关于印发招标代理服务费收费管理暂行办法的通知》（计价格</w:t>
            </w:r>
            <w:r>
              <w:rPr>
                <w:rFonts w:hint="eastAsia" w:ascii="宋体" w:hAnsi="宋体"/>
                <w:color w:val="auto"/>
                <w:kern w:val="0"/>
                <w:szCs w:val="21"/>
                <w:highlight w:val="none"/>
                <w:lang w:eastAsia="zh-CN"/>
              </w:rPr>
              <w:t>〔2002〕1980号</w:t>
            </w:r>
            <w:r>
              <w:rPr>
                <w:rFonts w:hint="eastAsia" w:ascii="宋体" w:hAnsi="宋体"/>
                <w:color w:val="auto"/>
                <w:kern w:val="0"/>
                <w:szCs w:val="21"/>
                <w:highlight w:val="none"/>
              </w:rPr>
              <w:t>）和《国家发展改革委关于降低部分建设项目收费标准规范收费行为等有关问题的通知》（发改价格</w:t>
            </w:r>
            <w:r>
              <w:rPr>
                <w:rFonts w:hint="eastAsia" w:ascii="宋体" w:hAnsi="宋体"/>
                <w:color w:val="auto"/>
                <w:kern w:val="0"/>
                <w:szCs w:val="21"/>
                <w:highlight w:val="none"/>
                <w:lang w:eastAsia="zh-CN"/>
              </w:rPr>
              <w:t>〔2011〕534号</w:t>
            </w:r>
            <w:r>
              <w:rPr>
                <w:rFonts w:hint="eastAsia" w:ascii="宋体" w:hAnsi="宋体"/>
                <w:color w:val="auto"/>
                <w:kern w:val="0"/>
                <w:szCs w:val="21"/>
                <w:highlight w:val="none"/>
              </w:rPr>
              <w:t>）规定的“服务类”收费标准</w:t>
            </w:r>
            <w:r>
              <w:rPr>
                <w:rFonts w:hint="eastAsia" w:ascii="宋体" w:hAnsi="宋体"/>
                <w:color w:val="auto"/>
                <w:kern w:val="0"/>
                <w:szCs w:val="21"/>
                <w:highlight w:val="none"/>
                <w:lang w:val="en-US" w:eastAsia="zh-CN"/>
              </w:rPr>
              <w:t>下浮10%</w:t>
            </w:r>
            <w:r>
              <w:rPr>
                <w:rFonts w:hint="eastAsia" w:ascii="宋体" w:hAnsi="宋体"/>
                <w:color w:val="auto"/>
                <w:kern w:val="0"/>
                <w:szCs w:val="21"/>
                <w:highlight w:val="none"/>
              </w:rPr>
              <w:t>收取服务费。</w:t>
            </w:r>
          </w:p>
        </w:tc>
      </w:tr>
      <w:tr w14:paraId="2AB91D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12"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4B790D25">
            <w:pPr>
              <w:widowControl/>
              <w:spacing w:line="400" w:lineRule="exact"/>
              <w:jc w:val="left"/>
              <w:rPr>
                <w:rFonts w:ascii="宋体" w:hAnsi="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DFA1B0E">
            <w:pPr>
              <w:spacing w:line="400" w:lineRule="exact"/>
              <w:rPr>
                <w:rFonts w:ascii="宋体" w:hAnsi="宋体"/>
                <w:color w:val="auto"/>
                <w:szCs w:val="21"/>
                <w:highlight w:val="none"/>
              </w:rPr>
            </w:pPr>
            <w:r>
              <w:rPr>
                <w:rFonts w:hint="eastAsia" w:hAnsi="宋体" w:cs="宋体"/>
                <w:color w:val="auto"/>
                <w:highlight w:val="none"/>
              </w:rPr>
              <w:t>代理服务费收款账户信息</w:t>
            </w:r>
          </w:p>
        </w:tc>
        <w:tc>
          <w:tcPr>
            <w:tcW w:w="7037" w:type="dxa"/>
            <w:tcBorders>
              <w:top w:val="single" w:color="auto" w:sz="4" w:space="0"/>
              <w:left w:val="single" w:color="auto" w:sz="4" w:space="0"/>
              <w:bottom w:val="single" w:color="auto" w:sz="4" w:space="0"/>
              <w:right w:val="single" w:color="auto" w:sz="4" w:space="0"/>
            </w:tcBorders>
            <w:vAlign w:val="center"/>
          </w:tcPr>
          <w:p w14:paraId="7EECE763">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 xml:space="preserve">账户名称：广西机电设备招标有限公司 </w:t>
            </w:r>
          </w:p>
          <w:p w14:paraId="6175B22E">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 xml:space="preserve">开户银行：交通银行南宁金源支行 </w:t>
            </w:r>
          </w:p>
          <w:p w14:paraId="7B417A3B">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 xml:space="preserve">（银行地址：南宁市金湖路63号） </w:t>
            </w:r>
          </w:p>
          <w:p w14:paraId="19FB1C60">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银行账号：451060309018010001774</w:t>
            </w:r>
            <w:r>
              <w:rPr>
                <w:rFonts w:hint="eastAsia" w:ascii="宋体" w:hAnsi="宋体" w:cs="宋体"/>
                <w:color w:val="auto"/>
                <w:szCs w:val="21"/>
                <w:highlight w:val="none"/>
                <w:lang w:eastAsia="zh-CN"/>
              </w:rPr>
              <w:t>（</w:t>
            </w:r>
            <w:r>
              <w:rPr>
                <w:rFonts w:hint="eastAsia" w:ascii="宋体" w:hAnsi="宋体" w:cs="宋体"/>
                <w:color w:val="auto"/>
                <w:szCs w:val="21"/>
                <w:highlight w:val="none"/>
              </w:rPr>
              <w:t>联行号 301611000373</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14:paraId="517C5AED">
            <w:pPr>
              <w:pStyle w:val="14"/>
              <w:snapToGrid w:val="0"/>
              <w:spacing w:line="380" w:lineRule="exact"/>
              <w:rPr>
                <w:rFonts w:hAnsi="宋体" w:cs="宋体"/>
                <w:color w:val="auto"/>
                <w:highlight w:val="none"/>
              </w:rPr>
            </w:pPr>
            <w:r>
              <w:rPr>
                <w:rFonts w:hint="eastAsia" w:hAnsi="宋体" w:cs="宋体"/>
                <w:color w:val="auto"/>
                <w:szCs w:val="21"/>
                <w:highlight w:val="none"/>
              </w:rPr>
              <w:t>财务联系人：吴茜（电话：0771-2821398）</w:t>
            </w:r>
          </w:p>
        </w:tc>
      </w:tr>
      <w:tr w14:paraId="337CDC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ABEC3AE">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41.1</w:t>
            </w:r>
          </w:p>
        </w:tc>
        <w:tc>
          <w:tcPr>
            <w:tcW w:w="2268" w:type="dxa"/>
            <w:tcBorders>
              <w:top w:val="single" w:color="auto" w:sz="4" w:space="0"/>
              <w:left w:val="single" w:color="auto" w:sz="4" w:space="0"/>
              <w:bottom w:val="single" w:color="auto" w:sz="4" w:space="0"/>
              <w:right w:val="single" w:color="auto" w:sz="4" w:space="0"/>
            </w:tcBorders>
            <w:vAlign w:val="center"/>
          </w:tcPr>
          <w:p w14:paraId="236599DE">
            <w:pPr>
              <w:snapToGrid w:val="0"/>
              <w:spacing w:line="400" w:lineRule="exact"/>
              <w:rPr>
                <w:rFonts w:ascii="宋体" w:hAnsi="宋体"/>
                <w:color w:val="auto"/>
                <w:szCs w:val="21"/>
                <w:highlight w:val="none"/>
              </w:rPr>
            </w:pPr>
            <w:r>
              <w:rPr>
                <w:rFonts w:hint="eastAsia" w:ascii="宋体" w:hAnsi="宋体"/>
                <w:color w:val="auto"/>
                <w:szCs w:val="21"/>
                <w:highlight w:val="none"/>
              </w:rPr>
              <w:t>解释</w:t>
            </w:r>
          </w:p>
        </w:tc>
        <w:tc>
          <w:tcPr>
            <w:tcW w:w="7037" w:type="dxa"/>
            <w:tcBorders>
              <w:top w:val="single" w:color="auto" w:sz="4" w:space="0"/>
              <w:left w:val="single" w:color="auto" w:sz="4" w:space="0"/>
              <w:bottom w:val="single" w:color="auto" w:sz="4" w:space="0"/>
              <w:right w:val="single" w:color="auto" w:sz="4" w:space="0"/>
            </w:tcBorders>
            <w:vAlign w:val="center"/>
          </w:tcPr>
          <w:p w14:paraId="0BCCA135">
            <w:pPr>
              <w:snapToGrid w:val="0"/>
              <w:spacing w:line="400" w:lineRule="exact"/>
              <w:rPr>
                <w:rFonts w:ascii="宋体" w:hAnsi="宋体"/>
                <w:b/>
                <w:color w:val="auto"/>
                <w:szCs w:val="21"/>
                <w:highlight w:val="none"/>
              </w:rPr>
            </w:pPr>
            <w:r>
              <w:rPr>
                <w:rFonts w:hint="eastAsia" w:ascii="宋体" w:hAnsi="宋体"/>
                <w:b/>
                <w:color w:val="auto"/>
                <w:szCs w:val="21"/>
                <w:highlight w:val="none"/>
              </w:rPr>
              <w:t>解释权：</w:t>
            </w:r>
            <w:r>
              <w:rPr>
                <w:rFonts w:hint="eastAsia" w:ascii="宋体" w:hAnsi="宋体"/>
                <w:color w:val="auto"/>
                <w:szCs w:val="21"/>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auto"/>
                <w:szCs w:val="21"/>
                <w:highlight w:val="none"/>
              </w:rPr>
              <w:t>，由采购人或者采购代理机构负责解释。</w:t>
            </w:r>
          </w:p>
          <w:p w14:paraId="445133A3">
            <w:pPr>
              <w:snapToGrid w:val="0"/>
              <w:spacing w:line="400" w:lineRule="exact"/>
              <w:rPr>
                <w:rFonts w:ascii="宋体" w:hAnsi="宋体"/>
                <w:b/>
                <w:color w:val="auto"/>
                <w:szCs w:val="21"/>
                <w:highlight w:val="none"/>
              </w:rPr>
            </w:pPr>
            <w:r>
              <w:rPr>
                <w:rFonts w:hint="eastAsia" w:ascii="宋体" w:hAnsi="宋体"/>
                <w:b/>
                <w:color w:val="auto"/>
                <w:szCs w:val="21"/>
                <w:highlight w:val="none"/>
              </w:rPr>
              <w:t>法律责任：</w:t>
            </w:r>
          </w:p>
          <w:p w14:paraId="7A36D5B1">
            <w:pPr>
              <w:snapToGrid w:val="0"/>
              <w:spacing w:line="400" w:lineRule="exact"/>
              <w:rPr>
                <w:rFonts w:ascii="宋体" w:hAnsi="宋体"/>
                <w:color w:val="auto"/>
                <w:szCs w:val="21"/>
                <w:highlight w:val="none"/>
              </w:rPr>
            </w:pPr>
            <w:r>
              <w:rPr>
                <w:rFonts w:hint="eastAsia" w:ascii="宋体" w:hAnsi="宋体"/>
                <w:color w:val="auto"/>
                <w:szCs w:val="21"/>
                <w:highlight w:val="none"/>
              </w:rPr>
              <w:t>1.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24B0F392">
            <w:pPr>
              <w:spacing w:line="400" w:lineRule="exact"/>
              <w:rPr>
                <w:color w:val="auto"/>
                <w:highlight w:val="none"/>
              </w:rPr>
            </w:pPr>
            <w:r>
              <w:rPr>
                <w:rFonts w:hint="eastAsia" w:ascii="宋体" w:hAnsi="宋体"/>
                <w:b/>
                <w:color w:val="auto"/>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7B7D6F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82C268E">
            <w:pPr>
              <w:snapToGrid w:val="0"/>
              <w:spacing w:line="400" w:lineRule="exact"/>
              <w:jc w:val="center"/>
              <w:rPr>
                <w:rFonts w:ascii="宋体" w:hAnsi="宋体"/>
                <w:color w:val="auto"/>
                <w:szCs w:val="21"/>
                <w:highlight w:val="none"/>
              </w:rPr>
            </w:pPr>
            <w:r>
              <w:rPr>
                <w:rFonts w:hint="eastAsia" w:ascii="宋体" w:hAnsi="宋体"/>
                <w:color w:val="auto"/>
                <w:szCs w:val="21"/>
                <w:highlight w:val="none"/>
              </w:rPr>
              <w:t>41.2</w:t>
            </w:r>
          </w:p>
        </w:tc>
        <w:tc>
          <w:tcPr>
            <w:tcW w:w="2268" w:type="dxa"/>
            <w:tcBorders>
              <w:top w:val="single" w:color="auto" w:sz="4" w:space="0"/>
              <w:left w:val="single" w:color="auto" w:sz="4" w:space="0"/>
              <w:bottom w:val="single" w:color="auto" w:sz="4" w:space="0"/>
              <w:right w:val="single" w:color="auto" w:sz="4" w:space="0"/>
            </w:tcBorders>
            <w:vAlign w:val="center"/>
          </w:tcPr>
          <w:p w14:paraId="30CFF9C4">
            <w:pPr>
              <w:snapToGrid w:val="0"/>
              <w:spacing w:line="400" w:lineRule="exact"/>
              <w:rPr>
                <w:rFonts w:ascii="宋体" w:hAnsi="宋体"/>
                <w:color w:val="auto"/>
                <w:szCs w:val="21"/>
                <w:highlight w:val="none"/>
              </w:rPr>
            </w:pPr>
            <w:r>
              <w:rPr>
                <w:rFonts w:hint="eastAsia" w:ascii="宋体" w:hAnsi="宋体"/>
                <w:color w:val="auto"/>
                <w:szCs w:val="21"/>
                <w:highlight w:val="none"/>
              </w:rPr>
              <w:t>其他释义</w:t>
            </w:r>
          </w:p>
        </w:tc>
        <w:tc>
          <w:tcPr>
            <w:tcW w:w="7037" w:type="dxa"/>
            <w:tcBorders>
              <w:top w:val="single" w:color="auto" w:sz="4" w:space="0"/>
              <w:left w:val="single" w:color="auto" w:sz="4" w:space="0"/>
              <w:bottom w:val="single" w:color="auto" w:sz="4" w:space="0"/>
              <w:right w:val="single" w:color="auto" w:sz="4" w:space="0"/>
            </w:tcBorders>
            <w:vAlign w:val="center"/>
          </w:tcPr>
          <w:p w14:paraId="35ADA86C">
            <w:pPr>
              <w:spacing w:line="400" w:lineRule="exact"/>
              <w:rPr>
                <w:rFonts w:hAnsi="宋体" w:cs="宋体"/>
                <w:b/>
                <w:bCs/>
                <w:color w:val="auto"/>
                <w:highlight w:val="none"/>
              </w:rPr>
            </w:pPr>
            <w:r>
              <w:rPr>
                <w:rFonts w:hint="eastAsia" w:hAnsi="宋体" w:cs="宋体"/>
                <w:b/>
                <w:bCs/>
                <w:color w:val="auto"/>
                <w:highlight w:val="none"/>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6223175E">
            <w:pPr>
              <w:pStyle w:val="14"/>
              <w:snapToGrid w:val="0"/>
              <w:spacing w:line="400" w:lineRule="exact"/>
              <w:rPr>
                <w:rFonts w:hAnsi="宋体" w:cs="宋体"/>
                <w:b/>
                <w:bCs/>
                <w:color w:val="auto"/>
                <w:highlight w:val="none"/>
              </w:rPr>
            </w:pPr>
            <w:r>
              <w:rPr>
                <w:rFonts w:hint="eastAsia" w:hAnsi="宋体" w:cs="宋体"/>
                <w:b/>
                <w:bCs/>
                <w:color w:val="auto"/>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77444CB5">
            <w:pPr>
              <w:spacing w:line="400" w:lineRule="exact"/>
              <w:rPr>
                <w:rFonts w:hAnsi="宋体" w:cs="宋体"/>
                <w:b/>
                <w:bCs/>
                <w:color w:val="auto"/>
                <w:highlight w:val="none"/>
              </w:rPr>
            </w:pPr>
            <w:r>
              <w:rPr>
                <w:rFonts w:hint="eastAsia" w:hAnsi="宋体" w:cs="宋体"/>
                <w:b/>
                <w:bCs/>
                <w:color w:val="auto"/>
                <w:highlight w:val="none"/>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123FBA9C">
            <w:pPr>
              <w:pStyle w:val="14"/>
              <w:snapToGrid w:val="0"/>
              <w:spacing w:line="400" w:lineRule="exact"/>
              <w:rPr>
                <w:rFonts w:hAnsi="宋体" w:cs="宋体"/>
                <w:b/>
                <w:bCs/>
                <w:color w:val="auto"/>
                <w:highlight w:val="none"/>
              </w:rPr>
            </w:pPr>
            <w:r>
              <w:rPr>
                <w:rFonts w:hint="eastAsia" w:hAnsi="宋体" w:cs="宋体"/>
                <w:b/>
                <w:bCs/>
                <w:color w:val="auto"/>
                <w:highlight w:val="none"/>
              </w:rPr>
              <w:t>4.自然人投标的，招标文件规定盖公章处由自然人摁手指指印。</w:t>
            </w:r>
          </w:p>
          <w:p w14:paraId="31E6BA14">
            <w:pPr>
              <w:spacing w:line="400" w:lineRule="exact"/>
              <w:jc w:val="left"/>
              <w:rPr>
                <w:rFonts w:ascii="宋体" w:hAnsi="宋体"/>
                <w:color w:val="auto"/>
                <w:szCs w:val="21"/>
                <w:highlight w:val="none"/>
              </w:rPr>
            </w:pPr>
            <w:r>
              <w:rPr>
                <w:rFonts w:hint="eastAsia" w:ascii="宋体" w:hAnsi="宋体" w:cs="宋体"/>
                <w:b/>
                <w:bCs/>
                <w:color w:val="auto"/>
                <w:szCs w:val="21"/>
                <w:highlight w:val="none"/>
              </w:rPr>
              <w:t>5.本招标文件所称的“以上”“以下”“以内”“届满”，包括本数；所称的“不满”“超过”“以外”，不包括本数。</w:t>
            </w:r>
          </w:p>
        </w:tc>
      </w:tr>
    </w:tbl>
    <w:p w14:paraId="161B15A1">
      <w:pPr>
        <w:widowControl/>
        <w:spacing w:line="412" w:lineRule="auto"/>
        <w:jc w:val="left"/>
        <w:rPr>
          <w:rFonts w:ascii="Arial" w:hAnsi="Arial" w:eastAsia="黑体"/>
          <w:b/>
          <w:bCs/>
          <w:color w:val="auto"/>
          <w:sz w:val="32"/>
          <w:szCs w:val="32"/>
          <w:highlight w:val="none"/>
        </w:rPr>
        <w:sectPr>
          <w:pgSz w:w="11906" w:h="16838"/>
          <w:pgMar w:top="1134" w:right="1134" w:bottom="1134" w:left="1134" w:header="720" w:footer="720" w:gutter="0"/>
          <w:cols w:space="720" w:num="1"/>
          <w:docGrid w:type="lines" w:linePitch="331" w:charSpace="0"/>
        </w:sectPr>
      </w:pPr>
    </w:p>
    <w:p w14:paraId="2819805B">
      <w:pPr>
        <w:rPr>
          <w:color w:val="auto"/>
          <w:highlight w:val="none"/>
        </w:rPr>
      </w:pPr>
    </w:p>
    <w:p w14:paraId="755DE5BE">
      <w:pPr>
        <w:pStyle w:val="3"/>
        <w:jc w:val="center"/>
        <w:rPr>
          <w:rFonts w:ascii="宋体" w:hAnsi="宋体" w:eastAsia="宋体" w:cs="宋体"/>
          <w:color w:val="auto"/>
          <w:highlight w:val="none"/>
        </w:rPr>
      </w:pPr>
      <w:bookmarkStart w:id="11" w:name="_Toc6847"/>
      <w:r>
        <w:rPr>
          <w:rFonts w:hint="eastAsia" w:ascii="宋体" w:hAnsi="宋体" w:eastAsia="宋体" w:cs="宋体"/>
          <w:color w:val="auto"/>
          <w:highlight w:val="none"/>
        </w:rPr>
        <w:t>第二节 投标人须知正文</w:t>
      </w:r>
      <w:bookmarkEnd w:id="11"/>
    </w:p>
    <w:p w14:paraId="2E439D31">
      <w:pPr>
        <w:pStyle w:val="4"/>
        <w:keepNext w:val="0"/>
        <w:keepLines w:val="0"/>
        <w:spacing w:line="400" w:lineRule="exact"/>
        <w:jc w:val="center"/>
        <w:rPr>
          <w:rFonts w:ascii="宋体" w:hAnsi="宋体" w:cs="宋体"/>
          <w:color w:val="auto"/>
          <w:highlight w:val="none"/>
        </w:rPr>
      </w:pPr>
      <w:bookmarkStart w:id="12" w:name="_Toc11296"/>
      <w:r>
        <w:rPr>
          <w:rFonts w:hint="eastAsia" w:ascii="宋体" w:hAnsi="宋体" w:cs="宋体"/>
          <w:color w:val="auto"/>
          <w:highlight w:val="none"/>
        </w:rPr>
        <w:t>一、总  则</w:t>
      </w:r>
      <w:bookmarkEnd w:id="12"/>
    </w:p>
    <w:p w14:paraId="72F21B5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1.适用范围</w:t>
      </w:r>
    </w:p>
    <w:p w14:paraId="4D0EED4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50B2C55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75498C0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2.定义</w:t>
      </w:r>
    </w:p>
    <w:p w14:paraId="218E825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2.1“采购人”是指依法进行政府采购的国家机关、事业单位、团体组织。</w:t>
      </w:r>
    </w:p>
    <w:p w14:paraId="732B7003">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2.2“采购代理机构” 指政府采购集中采购机构和集中采购机构以外的采购代理机构。</w:t>
      </w:r>
    </w:p>
    <w:p w14:paraId="6475219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2.3“供应商”是指向采购人提供货物、工程或者服务的法人、其他组织或者自然人。</w:t>
      </w:r>
    </w:p>
    <w:p w14:paraId="7C95A8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2.4“投标人”是指响应招标、参加投标竞争的法人、非法人组织或者自然人。</w:t>
      </w:r>
    </w:p>
    <w:p w14:paraId="147D1E47">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2.5“服务”是指除货物和工程以外的其他政府采购对象。</w:t>
      </w:r>
    </w:p>
    <w:p w14:paraId="1EFF4F8E">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2.6“书面形式”是指合同书、信件和数据电文（包括电报、电传、传真、短信、电子数据交换和电子邮件）等可以有形地表现所载内容的形式。</w:t>
      </w:r>
    </w:p>
    <w:p w14:paraId="439BB22F">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2.7“实质性要求”是指招标文件中已经指明不满足则投标无效的条款，或者不能负偏离的条款，或者采购需求中带“</w:t>
      </w:r>
      <w:r>
        <w:rPr>
          <w:rFonts w:hint="eastAsia" w:ascii="宋体" w:hAnsi="宋体" w:cs="宋体"/>
          <w:b/>
          <w:bCs/>
          <w:color w:val="auto"/>
          <w:szCs w:val="21"/>
          <w:highlight w:val="none"/>
        </w:rPr>
        <w:t>▲</w:t>
      </w:r>
      <w:r>
        <w:rPr>
          <w:rFonts w:hint="eastAsia" w:ascii="宋体" w:hAnsi="宋体" w:cs="宋体"/>
          <w:b/>
          <w:color w:val="auto"/>
          <w:szCs w:val="21"/>
          <w:highlight w:val="none"/>
        </w:rPr>
        <w:t>”的条款。</w:t>
      </w:r>
    </w:p>
    <w:p w14:paraId="470F865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2.8“正偏离”，是指投标文件对招标文件“采购需求”中有关条款作出的响应优于条款要求并有利于采购人的情形。</w:t>
      </w:r>
    </w:p>
    <w:p w14:paraId="39A2C7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2.9“负偏离”，是指投标文件对招标文件“采购需求”中有关条款作出的响应不满足条款要求，导致采购人要求不能得到满足的情形。</w:t>
      </w:r>
    </w:p>
    <w:p w14:paraId="34C95D1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2C041F0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3.投标人的资格要求</w:t>
      </w:r>
    </w:p>
    <w:p w14:paraId="352839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投标人的资格要求详见“招标公告”。</w:t>
      </w:r>
    </w:p>
    <w:p w14:paraId="6339504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4.投标委托</w:t>
      </w:r>
    </w:p>
    <w:p w14:paraId="28CA8B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7D561B5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5.投标费用</w:t>
      </w:r>
    </w:p>
    <w:p w14:paraId="6B64C0A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133EFED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6.联合体投标</w:t>
      </w:r>
    </w:p>
    <w:p w14:paraId="72C244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21B9CCC4">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6FF14275">
      <w:pPr>
        <w:spacing w:line="360" w:lineRule="auto"/>
        <w:ind w:firstLine="420" w:firstLineChars="200"/>
        <w:rPr>
          <w:rFonts w:ascii="宋体" w:hAnsi="宋体" w:cs="宋体"/>
          <w:bCs/>
          <w:color w:val="auto"/>
          <w:sz w:val="24"/>
          <w:szCs w:val="21"/>
          <w:highlight w:val="none"/>
          <w:shd w:val="clear" w:color="auto" w:fill="FFFFFF"/>
        </w:rPr>
      </w:pPr>
      <w:r>
        <w:rPr>
          <w:rFonts w:hint="eastAsia" w:ascii="宋体" w:hAnsi="宋体" w:cs="宋体"/>
          <w:bCs/>
          <w:color w:val="auto"/>
          <w:szCs w:val="21"/>
          <w:highlight w:val="none"/>
        </w:rPr>
        <w:t>6.3根据《政府采购促进中小企业发展管理办法》（财库</w:t>
      </w:r>
      <w:r>
        <w:rPr>
          <w:rFonts w:hint="eastAsia" w:ascii="宋体" w:hAnsi="宋体" w:cs="宋体"/>
          <w:bCs/>
          <w:color w:val="auto"/>
          <w:szCs w:val="21"/>
          <w:highlight w:val="none"/>
          <w:lang w:eastAsia="zh-CN"/>
        </w:rPr>
        <w:t>〔2020〕46号</w:t>
      </w:r>
      <w:r>
        <w:rPr>
          <w:rFonts w:hint="eastAsia" w:ascii="宋体" w:hAnsi="宋体" w:cs="宋体"/>
          <w:bCs/>
          <w:color w:val="auto"/>
          <w:szCs w:val="21"/>
          <w:highlight w:val="none"/>
        </w:rPr>
        <w:t>）第九条、《广西壮族自治区财政厅关于进一步发挥政府采购政策功能促进企业发展的通知》（桂财采〔2022〕30号）、</w:t>
      </w:r>
      <w:r>
        <w:rPr>
          <w:rFonts w:hint="eastAsia" w:ascii="宋体" w:hAnsi="宋体" w:cs="宋体"/>
          <w:color w:val="auto"/>
          <w:highlight w:val="none"/>
        </w:rPr>
        <w:t>《广西壮族自治区财政厅关于贯彻落实政府采购支持中小企业发展政策的通知》（桂财采〔2022〕31号）</w:t>
      </w:r>
      <w:r>
        <w:rPr>
          <w:rFonts w:hint="eastAsia" w:ascii="宋体" w:hAnsi="宋体" w:cs="宋体"/>
          <w:bCs/>
          <w:color w:val="auto"/>
          <w:szCs w:val="21"/>
          <w:highlight w:val="none"/>
        </w:rPr>
        <w:t>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158F78B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7.转包与分包             </w:t>
      </w:r>
    </w:p>
    <w:p w14:paraId="3C17DCC7">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7A7D8A44">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7.2根据《政府采购促进中小企业发展管理办法》（财库</w:t>
      </w:r>
      <w:r>
        <w:rPr>
          <w:rFonts w:hint="eastAsia" w:ascii="宋体" w:hAnsi="宋体" w:cs="宋体"/>
          <w:bCs/>
          <w:color w:val="auto"/>
          <w:szCs w:val="21"/>
          <w:highlight w:val="none"/>
          <w:lang w:eastAsia="zh-CN"/>
        </w:rPr>
        <w:t>〔2020〕46号</w:t>
      </w:r>
      <w:r>
        <w:rPr>
          <w:rFonts w:hint="eastAsia" w:ascii="宋体" w:hAnsi="宋体" w:cs="宋体"/>
          <w:bCs/>
          <w:color w:val="auto"/>
          <w:szCs w:val="21"/>
          <w:highlight w:val="none"/>
        </w:rPr>
        <w:t>）第九条及《广西壮族自治区财政厅关于进一步发挥政府采购政策功能促进企业发展的通知》（桂财采〔2022〕30号）、</w:t>
      </w:r>
      <w:r>
        <w:rPr>
          <w:rFonts w:hint="eastAsia" w:ascii="宋体" w:hAnsi="宋体" w:cs="宋体"/>
          <w:color w:val="auto"/>
          <w:highlight w:val="none"/>
        </w:rPr>
        <w:t>《广西壮族自治区财政厅关于贯彻落实政府采购支持中小企业发展政策的通知》（桂财采〔2022〕31号）</w:t>
      </w:r>
      <w:r>
        <w:rPr>
          <w:rFonts w:hint="eastAsia" w:ascii="宋体" w:hAnsi="宋体" w:cs="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3D2E59F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8.特别说明：</w:t>
      </w:r>
    </w:p>
    <w:p w14:paraId="363D93DF">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8.1如果本招标文件要求投标人提供资格、信誉、荣誉、业绩与企业认证等材料的，则投标人所提供的以上材料必须为投标人所拥有。</w:t>
      </w:r>
    </w:p>
    <w:p w14:paraId="735EAE9F">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8.2投标人应仔细阅读招标文件的所有内容，按照招标文件的要求提交投标文件，并对所提供的全部资料的真实性承担法律责任。</w:t>
      </w:r>
    </w:p>
    <w:p w14:paraId="125DF71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39DCBB1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9.回避与串通投标</w:t>
      </w:r>
    </w:p>
    <w:p w14:paraId="64015E3B">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9.1在政府采购活动中，采购人员及相关人员与供应商有下列利害关系之一的，应当回避：</w:t>
      </w:r>
    </w:p>
    <w:p w14:paraId="2388DC3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（1）参加采购活动前3年内与供应商存在劳动关系；</w:t>
      </w:r>
    </w:p>
    <w:p w14:paraId="5475219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（2）参加采购活动前3年内担任供应商的董事、监事；</w:t>
      </w:r>
    </w:p>
    <w:p w14:paraId="2C958D9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（3）参加采购活动前3年内是供应商的控股股东或者实际控制人；</w:t>
      </w:r>
    </w:p>
    <w:p w14:paraId="0066CD5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（4）与供应商的法定代表人或者负责人有夫妻、直系血亲、三代以内旁系血亲或者近姻亲关系；</w:t>
      </w:r>
    </w:p>
    <w:p w14:paraId="02E0BF3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（5）与供应商有其他可能影响政府采购活动公平、公正进行的关系。</w:t>
      </w:r>
    </w:p>
    <w:p w14:paraId="0313E8A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DD086A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9.2有下列情形之一的视为投标人相互串通投标，投标文件将被视为无效：</w:t>
      </w:r>
    </w:p>
    <w:p w14:paraId="33CA7944">
      <w:pPr>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（1）不同投标人的投标文件由同一单位或者个人编制；或者不同投标人报名的IP地址一致的；或者编制标书硬件设备CPU编号、硬盘编号、网卡地址一致的情况。</w:t>
      </w:r>
    </w:p>
    <w:p w14:paraId="799AF78F">
      <w:pPr>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（2）不同投标人委托同一单位或者个人办理投标事宜；</w:t>
      </w:r>
    </w:p>
    <w:p w14:paraId="491826F1">
      <w:pPr>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（3）不同的投标人的投标文件载明的项目管理员为同一个人；</w:t>
      </w:r>
    </w:p>
    <w:p w14:paraId="3E9AC2B1">
      <w:pPr>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（4）不同投标人的电子或纸质投标文件异常一致或者投标报价呈规律性差异；</w:t>
      </w:r>
    </w:p>
    <w:p w14:paraId="522BE3A8">
      <w:pPr>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（5）不同投标人的纸质投标文件相互混装；</w:t>
      </w:r>
    </w:p>
    <w:p w14:paraId="78C9785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6419EF4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（1）供应商直接或者间接从采购人或者采购代理机构处获得其他供应商的相关信息并修改其投标文件或者投标文件；</w:t>
      </w:r>
    </w:p>
    <w:p w14:paraId="51FC680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（2）供应商按照采购人或者采购代理机构的授意撤换、修改投标文件或者投标文件；</w:t>
      </w:r>
    </w:p>
    <w:p w14:paraId="5B30B9F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（3）供应商之间协商报价、技术方案等投标文件或者投标文件的实质性内容；</w:t>
      </w:r>
    </w:p>
    <w:p w14:paraId="775A897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（4）属于同一集团、协会、商会等组织成员的供应商按照该组织要求协同参加政府采购活动；</w:t>
      </w:r>
    </w:p>
    <w:p w14:paraId="6757E96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（5）供应商之间事先约定一致抬高或者压低投标报价，或者在招标项目中事先约定轮流以高价位或者低价位中标，或者事先约定由某一特定供应商中标，然后再参加投标；</w:t>
      </w:r>
    </w:p>
    <w:p w14:paraId="32A0F79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（6）供应商之间商定部分供应商放弃参加政府采购活动或者放弃中标；</w:t>
      </w:r>
    </w:p>
    <w:p w14:paraId="6447556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（7）供应商与采购人或者采购代理机构之间、供应商相互之间，为谋求特定供应商中标或者排斥其他供应商的其他串通行为。</w:t>
      </w:r>
    </w:p>
    <w:p w14:paraId="1FA3A8A2">
      <w:pPr>
        <w:pStyle w:val="14"/>
        <w:snapToGrid w:val="0"/>
        <w:spacing w:line="360" w:lineRule="auto"/>
        <w:ind w:left="2" w:leftChars="1" w:firstLine="422" w:firstLineChars="200"/>
        <w:rPr>
          <w:rFonts w:hAnsi="宋体" w:cs="宋体"/>
          <w:b/>
          <w:color w:val="auto"/>
          <w:highlight w:val="none"/>
        </w:rPr>
      </w:pPr>
    </w:p>
    <w:p w14:paraId="64891761">
      <w:pPr>
        <w:pStyle w:val="4"/>
        <w:keepNext w:val="0"/>
        <w:keepLines w:val="0"/>
        <w:spacing w:line="400" w:lineRule="exact"/>
        <w:jc w:val="center"/>
        <w:rPr>
          <w:rFonts w:ascii="宋体" w:hAnsi="宋体" w:cs="宋体"/>
          <w:color w:val="auto"/>
          <w:highlight w:val="none"/>
        </w:rPr>
      </w:pPr>
      <w:bookmarkStart w:id="13" w:name="_Toc17460"/>
      <w:r>
        <w:rPr>
          <w:rFonts w:hint="eastAsia" w:ascii="宋体" w:hAnsi="宋体" w:cs="宋体"/>
          <w:color w:val="auto"/>
          <w:highlight w:val="none"/>
        </w:rPr>
        <w:t>二、招标文件</w:t>
      </w:r>
      <w:bookmarkEnd w:id="13"/>
    </w:p>
    <w:p w14:paraId="7A52DDD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10.招标文件的组成</w:t>
      </w:r>
    </w:p>
    <w:p w14:paraId="5815A0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第一章 招标公告；</w:t>
      </w:r>
    </w:p>
    <w:p w14:paraId="50ABF05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第二章 采购需求； </w:t>
      </w:r>
    </w:p>
    <w:p w14:paraId="6F3127B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第三章 投标人须知；</w:t>
      </w:r>
    </w:p>
    <w:p w14:paraId="4BCD114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第四章 评标方法及评标标准；</w:t>
      </w:r>
    </w:p>
    <w:p w14:paraId="151C0E5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第五章 拟签订的合同文本；</w:t>
      </w:r>
    </w:p>
    <w:p w14:paraId="705EA84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第六章 投标文件格式；</w:t>
      </w:r>
    </w:p>
    <w:p w14:paraId="7A6B482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第七章 质疑、投诉材料格式</w:t>
      </w:r>
    </w:p>
    <w:p w14:paraId="00BB99D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根据本章第11.1项的规定对公开招标文件所做的澄清、修改，构成招标文件的组成部分。当公开招标文件与招标文件的澄清和修改就同一内容的表述不一致时，以最后澄清或修改公告为准。</w:t>
      </w:r>
    </w:p>
    <w:p w14:paraId="380ABF2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11.招标文件的澄清、修改 、现场考察和答疑会</w:t>
      </w:r>
    </w:p>
    <w:p w14:paraId="0F54FFE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4AEA556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11.2 投标人应认真审阅本公开招标文件，如有疑问，或发现其中有误或有要求不合理的，应在投标人须知前附表规定的</w:t>
      </w:r>
      <w:r>
        <w:rPr>
          <w:rFonts w:hint="eastAsia" w:ascii="宋体" w:hAnsi="宋体" w:cs="宋体"/>
          <w:color w:val="auto"/>
          <w:kern w:val="0"/>
          <w:szCs w:val="21"/>
          <w:highlight w:val="none"/>
        </w:rPr>
        <w:t>投标截止时间</w:t>
      </w:r>
      <w:r>
        <w:rPr>
          <w:rFonts w:hint="eastAsia" w:ascii="宋体" w:hAnsi="宋体" w:cs="宋体"/>
          <w:color w:val="auto"/>
          <w:highlight w:val="none"/>
        </w:rPr>
        <w:t>前以书面形式要求采购人或采购代理机构对招标文件予以澄清；否则，由此产生的后果由投标人自行负责。</w:t>
      </w:r>
    </w:p>
    <w:p w14:paraId="1ADC10E4">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w:t>
      </w:r>
      <w:r>
        <w:rPr>
          <w:rFonts w:hint="eastAsia" w:ascii="宋体" w:hAnsi="宋体" w:cs="宋体"/>
          <w:color w:val="auto"/>
          <w:highlight w:val="none"/>
          <w:lang w:eastAsia="zh-CN"/>
        </w:rPr>
        <w:t>（</w:t>
      </w:r>
      <w:r>
        <w:rPr>
          <w:rFonts w:hint="eastAsia" w:ascii="宋体" w:hAnsi="宋体" w:cs="宋体"/>
          <w:color w:val="auto"/>
          <w:highlight w:val="none"/>
        </w:rPr>
        <w:t>在“</w:t>
      </w:r>
      <w:r>
        <w:rPr>
          <w:rFonts w:hint="eastAsia" w:ascii="宋体" w:hAnsi="宋体" w:cs="宋体"/>
          <w:color w:val="auto"/>
          <w:szCs w:val="21"/>
          <w:highlight w:val="none"/>
        </w:rPr>
        <w:t>投标人须知前附表”</w:t>
      </w:r>
      <w:r>
        <w:rPr>
          <w:rFonts w:hint="eastAsia" w:ascii="宋体" w:hAnsi="宋体" w:cs="宋体"/>
          <w:color w:val="auto"/>
          <w:highlight w:val="none"/>
        </w:rPr>
        <w:t>规定的政府采购信息发布媒体上发布更正公告及平台短信通知</w:t>
      </w:r>
      <w:r>
        <w:rPr>
          <w:rFonts w:hint="eastAsia" w:ascii="宋体" w:hAnsi="宋体" w:cs="宋体"/>
          <w:color w:val="auto"/>
          <w:highlight w:val="none"/>
          <w:lang w:eastAsia="zh-CN"/>
        </w:rPr>
        <w:t>）</w:t>
      </w:r>
      <w:r>
        <w:rPr>
          <w:rFonts w:hint="eastAsia" w:ascii="宋体" w:hAnsi="宋体" w:cs="宋体"/>
          <w:color w:val="auto"/>
          <w:highlight w:val="none"/>
        </w:rPr>
        <w:t>所有获取招标文件的潜在投标人；不足15日的，采购人或者采购代理机构应当顺延提交投标文件的截止时间。发出的澄清或者修改不影响投标文件编制的也应在截标前3日发出。</w:t>
      </w:r>
    </w:p>
    <w:p w14:paraId="0780A99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11.4 采购人和采购代理机构可以视采购具体情况，变更投标截止时间和开标时间，将变更时间将在“</w:t>
      </w:r>
      <w:r>
        <w:rPr>
          <w:rFonts w:hint="eastAsia" w:ascii="宋体" w:hAnsi="宋体" w:cs="宋体"/>
          <w:color w:val="auto"/>
          <w:szCs w:val="21"/>
          <w:highlight w:val="none"/>
        </w:rPr>
        <w:t>投标人须知前附表”</w:t>
      </w:r>
      <w:r>
        <w:rPr>
          <w:rFonts w:hint="eastAsia" w:ascii="宋体" w:hAnsi="宋体" w:cs="宋体"/>
          <w:color w:val="auto"/>
          <w:kern w:val="0"/>
          <w:szCs w:val="21"/>
          <w:highlight w:val="none"/>
        </w:rPr>
        <w:t>规定的政府采购信息发布媒体上</w:t>
      </w:r>
      <w:r>
        <w:rPr>
          <w:rFonts w:hint="eastAsia" w:ascii="宋体" w:hAnsi="宋体" w:cs="宋体"/>
          <w:color w:val="auto"/>
          <w:highlight w:val="none"/>
        </w:rPr>
        <w:t>发布更正公告。</w:t>
      </w:r>
    </w:p>
    <w:p w14:paraId="6DF6A027">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11.5采购人或者采购代理机构可以在招标文件提供期限截止后，组织已获取招标文件的潜在投标人现场考察或者召开开标前答疑会，具体详见“投标人须知前附表”。</w:t>
      </w:r>
    </w:p>
    <w:p w14:paraId="296AEF02">
      <w:pPr>
        <w:pStyle w:val="4"/>
        <w:keepNext w:val="0"/>
        <w:keepLines w:val="0"/>
        <w:spacing w:line="400" w:lineRule="exact"/>
        <w:jc w:val="center"/>
        <w:rPr>
          <w:rFonts w:ascii="宋体" w:hAnsi="宋体" w:cs="宋体"/>
          <w:color w:val="auto"/>
          <w:highlight w:val="none"/>
        </w:rPr>
      </w:pPr>
      <w:bookmarkStart w:id="14" w:name="_Toc1792"/>
      <w:r>
        <w:rPr>
          <w:rFonts w:hint="eastAsia" w:ascii="宋体" w:hAnsi="宋体" w:cs="宋体"/>
          <w:color w:val="auto"/>
          <w:highlight w:val="none"/>
        </w:rPr>
        <w:t>三、投标文件的编制</w:t>
      </w:r>
      <w:bookmarkEnd w:id="14"/>
    </w:p>
    <w:p w14:paraId="065FD68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12.投标文件的编制原则</w:t>
      </w:r>
    </w:p>
    <w:p w14:paraId="25B4BDE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12.1投标人必须按照招标文件的要求编制投标文件。投标文件必须对招标文件提出的要求和条件作出明确响应。</w:t>
      </w:r>
    </w:p>
    <w:p w14:paraId="21E4F7E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6806C48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13.投标文件的组成</w:t>
      </w:r>
    </w:p>
    <w:p w14:paraId="66AEAC6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13.1投标文件由报价文件、资格证明文件、商务文件、技术文件四部分组成。</w:t>
      </w:r>
    </w:p>
    <w:p w14:paraId="56182C07">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（1）资格证明文件：具体材料见“投标人须知前附表”。</w:t>
      </w:r>
    </w:p>
    <w:p w14:paraId="785DEF1E">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（2）商务文件：具体材料见“投标人须知前附表”。</w:t>
      </w:r>
    </w:p>
    <w:p w14:paraId="46AB454A">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 xml:space="preserve">（3）技术文件：具体材料见“投标人须知前附表”。 </w:t>
      </w:r>
    </w:p>
    <w:p w14:paraId="338DF73C">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（4）报价文件： 具体材料见“投标人须知前附表”。</w:t>
      </w:r>
    </w:p>
    <w:p w14:paraId="685279F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13.2投标文件电子版：具体要求见本节19.投标文件编制。</w:t>
      </w:r>
    </w:p>
    <w:p w14:paraId="3F1E936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14.投标文件的语言及计量</w:t>
      </w:r>
    </w:p>
    <w:p w14:paraId="130AEFD4">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14.1语言文字</w:t>
      </w:r>
    </w:p>
    <w:p w14:paraId="259F5E13">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DE8D25F">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14.2投标计量单位</w:t>
      </w:r>
    </w:p>
    <w:p w14:paraId="17DB6DB1">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580BD76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15.投标文件提交的风险</w:t>
      </w:r>
    </w:p>
    <w:p w14:paraId="595425F2">
      <w:pPr>
        <w:spacing w:line="360" w:lineRule="auto"/>
        <w:ind w:firstLine="420" w:firstLineChars="200"/>
        <w:rPr>
          <w:rFonts w:ascii="宋体" w:hAnsi="宋体" w:cs="宋体"/>
          <w:b/>
          <w:bCs/>
          <w:color w:val="auto"/>
          <w:highlight w:val="none"/>
        </w:rPr>
      </w:pPr>
      <w:r>
        <w:rPr>
          <w:rFonts w:hint="eastAsia" w:ascii="宋体" w:hAnsi="宋体" w:cs="宋体"/>
          <w:color w:val="auto"/>
          <w:highlight w:val="none"/>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ascii="宋体" w:hAnsi="宋体" w:cs="宋体"/>
          <w:b/>
          <w:bCs/>
          <w:color w:val="auto"/>
          <w:highlight w:val="none"/>
        </w:rPr>
        <w:t>▲投标文件内容不齐全、未按规定的文件格式编制的、没有对招标文件作出实质性响应，投标无效；</w:t>
      </w:r>
    </w:p>
    <w:p w14:paraId="0C409B5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16.投标报价</w:t>
      </w:r>
    </w:p>
    <w:p w14:paraId="25943E0F">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16.1投标报价应</w:t>
      </w:r>
      <w:r>
        <w:rPr>
          <w:rFonts w:hint="eastAsia" w:ascii="宋体" w:hAnsi="宋体" w:cs="宋体"/>
          <w:bCs/>
          <w:color w:val="auto"/>
          <w:szCs w:val="20"/>
          <w:highlight w:val="none"/>
        </w:rPr>
        <w:t>按“第六章　投标文件格式”中“开标一览表”格式填写。</w:t>
      </w:r>
    </w:p>
    <w:p w14:paraId="431D9D0A">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16.2投标报价具体包括内容详见“投标人须知前附表”。</w:t>
      </w:r>
    </w:p>
    <w:p w14:paraId="621E6F6F">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16.3投标人必须就所投每个分标的全部内容分别作完整唯一总价报价，不得存在漏项报价；投标人必须就所投分标的单项内容作唯一报价。</w:t>
      </w:r>
    </w:p>
    <w:p w14:paraId="44A5D74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17.投标有效期</w:t>
      </w:r>
    </w:p>
    <w:p w14:paraId="293FC1F7">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17.1投标有效期是指为保证采购人有足够的时间在开标后完成评标、定标、合同签订等工作而要求投标人提交的投标文件在一定时间内保持有效的期限。</w:t>
      </w:r>
    </w:p>
    <w:p w14:paraId="0E00E30C">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17.2 投标有效期应按规定的期限作出承诺，具体详见“投标人须知前附表”。</w:t>
      </w:r>
    </w:p>
    <w:p w14:paraId="5312ED52">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17.3投标人的投标文件在投标有效期内均保持有效。</w:t>
      </w:r>
    </w:p>
    <w:p w14:paraId="182731D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18.投标保证金</w:t>
      </w:r>
    </w:p>
    <w:p w14:paraId="32AFD0C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见“投标人须知前附表”。</w:t>
      </w:r>
    </w:p>
    <w:p w14:paraId="1DE9740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19.投标文件的编制</w:t>
      </w:r>
    </w:p>
    <w:p w14:paraId="2015158C">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 xml:space="preserve">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 </w:t>
      </w:r>
    </w:p>
    <w:p w14:paraId="63E8700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19.2投标文件按照招标文件第六章格式要求在规定位置进行签署、盖章。投标人的投标文件未按照招标文件要求签署、盖章的，</w:t>
      </w:r>
      <w:r>
        <w:rPr>
          <w:rFonts w:hint="eastAsia" w:ascii="宋体" w:hAnsi="宋体" w:cs="宋体"/>
          <w:b/>
          <w:color w:val="auto"/>
          <w:szCs w:val="21"/>
          <w:highlight w:val="none"/>
        </w:rPr>
        <w:t>其投标无效。</w:t>
      </w:r>
      <w:r>
        <w:rPr>
          <w:rFonts w:hint="eastAsia" w:ascii="宋体" w:hAnsi="宋体" w:cs="宋体"/>
          <w:color w:val="auto"/>
          <w:szCs w:val="21"/>
          <w:highlight w:val="none"/>
        </w:rPr>
        <w:t>骑缝盖公章不视为在规定位置盖章。</w:t>
      </w:r>
    </w:p>
    <w:p w14:paraId="671DAF8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19.3为确保网上操作合法、有效和安全，投标人应当在投标截止时间前完成在广西政府采购云平台的身份认证，确保在电子投标过程中能够对相关数据电文进行加密和使用电子签名。</w:t>
      </w:r>
    </w:p>
    <w:p w14:paraId="78E3ADB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cs="宋体"/>
          <w:color w:val="auto"/>
          <w:szCs w:val="21"/>
          <w:highlight w:val="none"/>
        </w:rPr>
        <w:t>否则作无效投标处理</w:t>
      </w:r>
      <w:r>
        <w:rPr>
          <w:rFonts w:hint="eastAsia" w:ascii="宋体" w:hAnsi="宋体" w:cs="宋体"/>
          <w:b/>
          <w:color w:val="auto"/>
          <w:szCs w:val="21"/>
          <w:highlight w:val="none"/>
        </w:rPr>
        <w:t>。</w:t>
      </w:r>
    </w:p>
    <w:p w14:paraId="518C90A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 19.5投标文件应避免涂改、行间插字或者删除，</w:t>
      </w:r>
      <w:r>
        <w:rPr>
          <w:rFonts w:hint="eastAsia" w:ascii="宋体" w:hAnsi="宋体" w:cs="宋体"/>
          <w:b/>
          <w:color w:val="auto"/>
          <w:szCs w:val="21"/>
          <w:highlight w:val="none"/>
        </w:rPr>
        <w:t>否则其投标无效。</w:t>
      </w:r>
    </w:p>
    <w:p w14:paraId="18977ACB">
      <w:pPr>
        <w:spacing w:line="360" w:lineRule="auto"/>
        <w:ind w:firstLine="525" w:firstLineChars="250"/>
        <w:rPr>
          <w:rFonts w:ascii="宋体" w:hAnsi="宋体" w:cs="宋体"/>
          <w:color w:val="auto"/>
          <w:highlight w:val="none"/>
        </w:rPr>
      </w:pPr>
      <w:r>
        <w:rPr>
          <w:rFonts w:hint="eastAsia" w:ascii="宋体" w:hAnsi="宋体" w:cs="宋体"/>
          <w:color w:val="auto"/>
          <w:highlight w:val="none"/>
        </w:rPr>
        <w:t>19.6 对招标文件的实质性要求和条件作出响应是指投标人必须对招标文件中标注为实质性要求和条件的</w:t>
      </w:r>
      <w:r>
        <w:rPr>
          <w:rFonts w:hint="eastAsia" w:ascii="宋体" w:hAnsi="宋体" w:cs="宋体"/>
          <w:color w:val="auto"/>
          <w:szCs w:val="21"/>
          <w:highlight w:val="none"/>
        </w:rPr>
        <w:t>服务内容及要求</w:t>
      </w:r>
      <w:r>
        <w:rPr>
          <w:rFonts w:hint="eastAsia" w:ascii="宋体" w:hAnsi="宋体" w:cs="宋体"/>
          <w:color w:val="auto"/>
          <w:highlight w:val="none"/>
        </w:rPr>
        <w:t>、商务条款及其它内容</w:t>
      </w:r>
      <w:r>
        <w:rPr>
          <w:rFonts w:hint="eastAsia" w:ascii="宋体" w:hAnsi="宋体" w:cs="宋体"/>
          <w:b/>
          <w:color w:val="auto"/>
          <w:highlight w:val="none"/>
        </w:rPr>
        <w:t>作出满足或者优于原要求和条件的承诺</w:t>
      </w:r>
      <w:r>
        <w:rPr>
          <w:rFonts w:hint="eastAsia" w:ascii="宋体" w:hAnsi="宋体" w:cs="宋体"/>
          <w:color w:val="auto"/>
          <w:highlight w:val="none"/>
        </w:rPr>
        <w:t>。</w:t>
      </w:r>
    </w:p>
    <w:p w14:paraId="064E82D5">
      <w:pPr>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19.7本项目为南宁市全流程电子化项目，异常情况见“第二节 投标人须知正文”中“四、24.2开标程序。</w:t>
      </w:r>
    </w:p>
    <w:p w14:paraId="0CFDEAF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20.备份投标文件</w:t>
      </w:r>
    </w:p>
    <w:p w14:paraId="042CBBF0">
      <w:pPr>
        <w:spacing w:line="360" w:lineRule="auto"/>
        <w:ind w:firstLine="420" w:firstLineChars="200"/>
        <w:rPr>
          <w:rFonts w:ascii="宋体" w:hAnsi="宋体" w:cs="宋体"/>
          <w:color w:val="auto"/>
          <w:sz w:val="24"/>
          <w:highlight w:val="none"/>
        </w:rPr>
      </w:pPr>
      <w:r>
        <w:rPr>
          <w:rFonts w:hint="eastAsia" w:ascii="宋体" w:hAnsi="宋体" w:cs="宋体"/>
          <w:bCs/>
          <w:color w:val="auto"/>
          <w:szCs w:val="21"/>
          <w:highlight w:val="none"/>
        </w:rPr>
        <w:t>详见在“投标人须知前附表”。</w:t>
      </w:r>
    </w:p>
    <w:p w14:paraId="4332995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21.投标文件的提交</w:t>
      </w:r>
    </w:p>
    <w:p w14:paraId="073260F3">
      <w:pPr>
        <w:spacing w:line="360" w:lineRule="auto"/>
        <w:ind w:firstLine="420" w:firstLineChars="200"/>
        <w:rPr>
          <w:rFonts w:ascii="宋体" w:hAnsi="宋体" w:cs="宋体"/>
          <w:b/>
          <w:color w:val="auto"/>
          <w:highlight w:val="none"/>
        </w:rPr>
      </w:pPr>
      <w:r>
        <w:rPr>
          <w:rFonts w:hint="eastAsia" w:ascii="宋体" w:hAnsi="宋体" w:cs="宋体"/>
          <w:bCs/>
          <w:color w:val="auto"/>
          <w:szCs w:val="21"/>
          <w:highlight w:val="none"/>
        </w:rPr>
        <w:t>21.1投标人必须在“投标人须知前附表”规定的投标文件接收时间和投标地点提交电子版投标文件。电子投标文件应在制作完成后，在投标截止时间前通过有效数字证书（CA认证锁）进行电子签章、加密，然后通过网络将加密的电子投标文件递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32BE0DCA">
      <w:pPr>
        <w:spacing w:line="360" w:lineRule="auto"/>
        <w:ind w:firstLine="422" w:firstLineChars="200"/>
        <w:rPr>
          <w:rFonts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21.2未在规定时间内提交或者未按照招标文件要求密封或者标记的电子投标文件，广西政府采购云平台将拒收。</w:t>
      </w:r>
    </w:p>
    <w:p w14:paraId="4023CB1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21.3电子版投标文件提交方式见“招标公告”中“四、提交投标文件截止时间、开标时间和地点”</w:t>
      </w:r>
      <w:r>
        <w:rPr>
          <w:rFonts w:hint="eastAsia" w:ascii="宋体" w:hAnsi="宋体" w:cs="宋体"/>
          <w:b/>
          <w:color w:val="auto"/>
          <w:szCs w:val="21"/>
          <w:highlight w:val="none"/>
        </w:rPr>
        <w:t xml:space="preserve"> 。</w:t>
      </w:r>
    </w:p>
    <w:p w14:paraId="3833CB0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 投标文件的补充、修改、撤回与退回</w:t>
      </w:r>
    </w:p>
    <w:p w14:paraId="360003C3">
      <w:pPr>
        <w:spacing w:line="360" w:lineRule="auto"/>
        <w:ind w:firstLine="420" w:firstLineChars="200"/>
        <w:rPr>
          <w:rFonts w:ascii="宋体" w:hAnsi="宋体" w:cs="宋体"/>
          <w:color w:val="auto"/>
          <w:sz w:val="24"/>
          <w:highlight w:val="none"/>
        </w:rPr>
      </w:pPr>
      <w:r>
        <w:rPr>
          <w:rFonts w:hint="eastAsia" w:ascii="宋体" w:hAnsi="宋体" w:cs="宋体"/>
          <w:color w:val="auto"/>
          <w:szCs w:val="21"/>
          <w:highlight w:val="none"/>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399D293B">
      <w:pPr>
        <w:pStyle w:val="64"/>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22.2广西政府采购云平台收到投标文件，将妥善保存并即时向供应商发出确认回执通知。在投标截止时间前，除供应商补充、修改或者撤回投标文件外，任何单位和个人不得解密或提取投标文件。</w:t>
      </w:r>
    </w:p>
    <w:p w14:paraId="5D438AA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22.3在投标截止时间止提交电子版投标文件的投标人不足3家时，电子版投标文件由代理机构在广西政府采购云平台操作退回，除此之外采购人和采购代理机构对已提交的投标文件概不退回。</w:t>
      </w:r>
    </w:p>
    <w:p w14:paraId="032B4127">
      <w:pPr>
        <w:pStyle w:val="15"/>
        <w:snapToGrid w:val="0"/>
        <w:spacing w:line="400" w:lineRule="exact"/>
        <w:ind w:firstLine="739"/>
        <w:rPr>
          <w:rFonts w:hAnsi="宋体" w:cs="宋体"/>
          <w:snapToGrid w:val="0"/>
          <w:color w:val="auto"/>
          <w:sz w:val="21"/>
          <w:szCs w:val="21"/>
          <w:highlight w:val="none"/>
        </w:rPr>
      </w:pPr>
    </w:p>
    <w:p w14:paraId="2D6F1AC9">
      <w:pPr>
        <w:pStyle w:val="4"/>
        <w:keepNext w:val="0"/>
        <w:keepLines w:val="0"/>
        <w:spacing w:line="400" w:lineRule="exact"/>
        <w:jc w:val="center"/>
        <w:rPr>
          <w:rFonts w:ascii="宋体" w:hAnsi="宋体" w:cs="宋体"/>
          <w:color w:val="auto"/>
          <w:highlight w:val="none"/>
        </w:rPr>
      </w:pPr>
      <w:bookmarkStart w:id="15" w:name="_Toc3701"/>
      <w:r>
        <w:rPr>
          <w:rFonts w:hint="eastAsia" w:ascii="宋体" w:hAnsi="宋体" w:cs="宋体"/>
          <w:color w:val="auto"/>
          <w:highlight w:val="none"/>
        </w:rPr>
        <w:t>四、开    标</w:t>
      </w:r>
      <w:bookmarkEnd w:id="15"/>
    </w:p>
    <w:p w14:paraId="1A634B8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23.开标时间和地点</w:t>
      </w:r>
    </w:p>
    <w:p w14:paraId="6E55D8A7">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23.1开标时间及地点详见“投标人须知前附表”</w:t>
      </w:r>
    </w:p>
    <w:p w14:paraId="6E65719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23.2如</w:t>
      </w:r>
      <w:r>
        <w:rPr>
          <w:rFonts w:hint="eastAsia" w:ascii="宋体" w:hAnsi="宋体" w:cs="宋体"/>
          <w:bCs/>
          <w:color w:val="auto"/>
          <w:highlight w:val="none"/>
        </w:rPr>
        <w:t>投标人成功解密投标文件，但未在“</w:t>
      </w:r>
      <w:r>
        <w:rPr>
          <w:rFonts w:hint="eastAsia" w:ascii="宋体" w:hAnsi="宋体" w:cs="宋体"/>
          <w:color w:val="auto"/>
          <w:szCs w:val="21"/>
          <w:highlight w:val="none"/>
        </w:rPr>
        <w:t>广西政府采购云平台</w:t>
      </w:r>
      <w:r>
        <w:rPr>
          <w:rFonts w:hint="eastAsia" w:ascii="宋体" w:hAnsi="宋体" w:cs="宋体"/>
          <w:bCs/>
          <w:color w:val="auto"/>
          <w:highlight w:val="none"/>
        </w:rPr>
        <w:t>”电子开标大厅参加开标的，视同认可开标过程和结果，</w:t>
      </w:r>
      <w:r>
        <w:rPr>
          <w:rFonts w:hint="eastAsia" w:ascii="宋体" w:hAnsi="宋体" w:cs="宋体"/>
          <w:color w:val="auto"/>
          <w:highlight w:val="none"/>
        </w:rPr>
        <w:t>由此产生的后果由投标人自行负责。 投标人不足3家的，不得开标。</w:t>
      </w:r>
    </w:p>
    <w:p w14:paraId="44C439B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24.开标程序</w:t>
      </w:r>
    </w:p>
    <w:p w14:paraId="36E75622">
      <w:pPr>
        <w:autoSpaceDE w:val="0"/>
        <w:autoSpaceDN w:val="0"/>
        <w:adjustRightInd w:val="0"/>
        <w:spacing w:line="440" w:lineRule="exact"/>
        <w:ind w:firstLine="420" w:firstLineChars="200"/>
        <w:rPr>
          <w:rFonts w:ascii="宋体" w:hAnsi="宋体" w:cs="宋体"/>
          <w:color w:val="auto"/>
          <w:kern w:val="0"/>
          <w:szCs w:val="21"/>
          <w:highlight w:val="none"/>
        </w:rPr>
      </w:pPr>
      <w:r>
        <w:rPr>
          <w:rFonts w:hint="eastAsia" w:ascii="宋体" w:hAnsi="宋体" w:cs="宋体"/>
          <w:bCs/>
          <w:color w:val="auto"/>
          <w:szCs w:val="21"/>
          <w:highlight w:val="none"/>
        </w:rPr>
        <w:t>24.1</w:t>
      </w:r>
      <w:r>
        <w:rPr>
          <w:rFonts w:hint="eastAsia" w:ascii="宋体" w:hAnsi="宋体" w:cs="宋体"/>
          <w:color w:val="auto"/>
          <w:kern w:val="0"/>
          <w:szCs w:val="21"/>
          <w:highlight w:val="none"/>
        </w:rPr>
        <w:t>开标形式：</w:t>
      </w:r>
    </w:p>
    <w:p w14:paraId="63E02DB7">
      <w:pPr>
        <w:autoSpaceDE w:val="0"/>
        <w:autoSpaceDN w:val="0"/>
        <w:adjustRightInd w:val="0"/>
        <w:spacing w:line="44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（1）</w:t>
      </w:r>
      <w:r>
        <w:rPr>
          <w:rFonts w:hint="eastAsia" w:ascii="宋体" w:hAnsi="宋体" w:cs="宋体"/>
          <w:bCs/>
          <w:color w:val="auto"/>
          <w:szCs w:val="21"/>
          <w:highlight w:val="none"/>
        </w:rPr>
        <w:t>开标的准备工作由采购代理机构负责落实，采购代理机构必须基于广西政府采购云平台选取评审专家，如采购代理机构未按规定选取专家的，视为本次开评标无效，应当重新采购；</w:t>
      </w:r>
    </w:p>
    <w:p w14:paraId="2A46BDBE">
      <w:pPr>
        <w:autoSpaceDE w:val="0"/>
        <w:autoSpaceDN w:val="0"/>
        <w:adjustRightInd w:val="0"/>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76E9E9F4">
      <w:pPr>
        <w:autoSpaceDE w:val="0"/>
        <w:autoSpaceDN w:val="0"/>
        <w:adjustRightInd w:val="0"/>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24.2开标程序：</w:t>
      </w:r>
    </w:p>
    <w:p w14:paraId="06C11DDF">
      <w:pPr>
        <w:pStyle w:val="14"/>
        <w:snapToGrid w:val="0"/>
        <w:spacing w:line="440" w:lineRule="exact"/>
        <w:ind w:firstLine="422" w:firstLineChars="200"/>
        <w:rPr>
          <w:rFonts w:hAnsi="宋体" w:cs="宋体"/>
          <w:color w:val="auto"/>
          <w:szCs w:val="21"/>
          <w:highlight w:val="none"/>
        </w:rPr>
      </w:pPr>
      <w:r>
        <w:rPr>
          <w:rFonts w:hint="eastAsia" w:hAnsi="宋体" w:cs="宋体"/>
          <w:b/>
          <w:color w:val="auto"/>
          <w:szCs w:val="21"/>
          <w:highlight w:val="none"/>
        </w:rPr>
        <w:t>（1）解密电子投标文件。广西政府采购云平台</w:t>
      </w:r>
      <w:r>
        <w:rPr>
          <w:rFonts w:hint="eastAsia" w:hAnsi="宋体" w:cs="宋体"/>
          <w:color w:val="auto"/>
          <w:szCs w:val="21"/>
          <w:highlight w:val="none"/>
        </w:rPr>
        <w:t>按开标时间自动提取所有投标文件。采购代理机构依托广西政府采购云平台向各投标人发出电子加密投标文件【开始解密】通知，由投标人按招标文件规定的时间内自行进行投标文件解密。投标人的法定代表人或其委托代理人</w:t>
      </w:r>
      <w:r>
        <w:rPr>
          <w:rFonts w:hint="eastAsia" w:hAnsi="宋体" w:cs="宋体"/>
          <w:b/>
          <w:color w:val="auto"/>
          <w:szCs w:val="21"/>
          <w:highlight w:val="none"/>
        </w:rPr>
        <w:t>须携带加密时所用的CA锁准时登录到广西政府采购云平台电子开标大厅签到并对电子投标文件解密</w:t>
      </w:r>
      <w:r>
        <w:rPr>
          <w:rFonts w:hint="eastAsia" w:hAnsi="宋体" w:cs="宋体"/>
          <w:color w:val="auto"/>
          <w:szCs w:val="21"/>
          <w:highlight w:val="none"/>
        </w:rPr>
        <w:t>。开标后5分钟投标人还未进行解密的，代理机构要通知投标人。通知后，投标文件仍未按时解密，或者投标人没预留联系方式或预留联系方式无效，导致代理机构无法联系到投标人进行解密的，</w:t>
      </w:r>
      <w:r>
        <w:rPr>
          <w:rFonts w:hint="eastAsia" w:hAnsi="宋体" w:cs="宋体"/>
          <w:b/>
          <w:color w:val="auto"/>
          <w:szCs w:val="21"/>
          <w:highlight w:val="none"/>
        </w:rPr>
        <w:t>均视为无效投标。</w:t>
      </w:r>
    </w:p>
    <w:p w14:paraId="39A39A9A">
      <w:pPr>
        <w:pStyle w:val="14"/>
        <w:snapToGrid w:val="0"/>
        <w:spacing w:line="440" w:lineRule="exact"/>
        <w:ind w:firstLine="420" w:firstLineChars="200"/>
        <w:rPr>
          <w:rFonts w:hAnsi="宋体" w:cs="宋体"/>
          <w:color w:val="auto"/>
          <w:szCs w:val="21"/>
          <w:highlight w:val="none"/>
        </w:rPr>
      </w:pPr>
      <w:r>
        <w:rPr>
          <w:rFonts w:hint="eastAsia" w:hAnsi="宋体" w:cs="宋体"/>
          <w:color w:val="auto"/>
          <w:szCs w:val="21"/>
          <w:highlight w:val="none"/>
        </w:rPr>
        <w:t>（解密</w:t>
      </w:r>
      <w:r>
        <w:rPr>
          <w:rFonts w:hint="eastAsia" w:hAnsi="宋体" w:cs="宋体"/>
          <w:bCs/>
          <w:color w:val="auto"/>
          <w:szCs w:val="21"/>
          <w:highlight w:val="none"/>
        </w:rPr>
        <w:t>异常情况处理：详见本章</w:t>
      </w:r>
      <w:r>
        <w:rPr>
          <w:rFonts w:hint="eastAsia" w:hAnsi="宋体" w:cs="宋体"/>
          <w:color w:val="auto"/>
          <w:highlight w:val="none"/>
        </w:rPr>
        <w:t>29.3 电子交易活动的中止。</w:t>
      </w:r>
      <w:r>
        <w:rPr>
          <w:rFonts w:hint="eastAsia" w:hAnsi="宋体" w:cs="宋体"/>
          <w:color w:val="auto"/>
          <w:szCs w:val="21"/>
          <w:highlight w:val="none"/>
        </w:rPr>
        <w:t>）</w:t>
      </w:r>
    </w:p>
    <w:p w14:paraId="546ECE5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color w:val="auto"/>
          <w:szCs w:val="21"/>
          <w:highlight w:val="none"/>
        </w:rPr>
        <w:t>电子唱标。</w:t>
      </w:r>
      <w:r>
        <w:rPr>
          <w:rFonts w:hint="eastAsia" w:ascii="宋体" w:hAnsi="宋体" w:cs="宋体"/>
          <w:color w:val="auto"/>
          <w:szCs w:val="21"/>
          <w:highlight w:val="none"/>
        </w:rPr>
        <w:t>投标文件解密结束，各投标供应商报价均在广西政府采购云平台远程不见面开标大厅展示；</w:t>
      </w:r>
    </w:p>
    <w:p w14:paraId="39EE31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b/>
          <w:color w:val="auto"/>
          <w:szCs w:val="21"/>
          <w:highlight w:val="none"/>
        </w:rPr>
        <w:t>签署电子《政府采购活动现场确认声明书》。</w:t>
      </w:r>
      <w:r>
        <w:rPr>
          <w:rFonts w:hint="eastAsia" w:ascii="宋体" w:hAnsi="宋体" w:cs="宋体"/>
          <w:color w:val="auto"/>
          <w:szCs w:val="21"/>
          <w:highlight w:val="none"/>
        </w:rPr>
        <w:t>通过邮件形式在远程不见面开标大厅发送各投标人签署电子《政府采购活动现场确认声明书》。</w:t>
      </w:r>
    </w:p>
    <w:p w14:paraId="01FA462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7962A347">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581EDBD2">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（6）开标结束。</w:t>
      </w:r>
    </w:p>
    <w:p w14:paraId="32E3EFF7">
      <w:pPr>
        <w:pStyle w:val="14"/>
        <w:snapToGrid w:val="0"/>
        <w:spacing w:line="440" w:lineRule="exact"/>
        <w:ind w:firstLine="422" w:firstLineChars="200"/>
        <w:rPr>
          <w:rFonts w:hAnsi="宋体" w:cs="宋体"/>
          <w:color w:val="auto"/>
          <w:szCs w:val="21"/>
          <w:highlight w:val="none"/>
        </w:rPr>
      </w:pPr>
      <w:r>
        <w:rPr>
          <w:rFonts w:hint="eastAsia" w:hAnsi="宋体" w:cs="宋体"/>
          <w:b/>
          <w:bCs/>
          <w:color w:val="auto"/>
          <w:szCs w:val="21"/>
          <w:highlight w:val="none"/>
        </w:rPr>
        <w:t>特别说明：</w:t>
      </w:r>
      <w:r>
        <w:rPr>
          <w:rFonts w:hint="eastAsia" w:hAnsi="宋体" w:cs="宋体"/>
          <w:color w:val="auto"/>
          <w:szCs w:val="21"/>
          <w:highlight w:val="none"/>
        </w:rPr>
        <w:t>如遇广西政府采购云平台电子化开标或评审程序调整的，按调整后执行。</w:t>
      </w:r>
    </w:p>
    <w:p w14:paraId="6D79A70D">
      <w:pPr>
        <w:pStyle w:val="14"/>
        <w:snapToGrid w:val="0"/>
        <w:spacing w:line="400" w:lineRule="exact"/>
        <w:ind w:left="689" w:leftChars="228" w:hanging="210" w:hangingChars="100"/>
        <w:rPr>
          <w:rFonts w:hAnsi="宋体" w:cs="宋体"/>
          <w:color w:val="auto"/>
          <w:highlight w:val="none"/>
        </w:rPr>
      </w:pPr>
    </w:p>
    <w:p w14:paraId="6F0A9322">
      <w:pPr>
        <w:pStyle w:val="4"/>
        <w:keepNext w:val="0"/>
        <w:keepLines w:val="0"/>
        <w:spacing w:line="400" w:lineRule="exact"/>
        <w:jc w:val="center"/>
        <w:rPr>
          <w:rFonts w:ascii="宋体" w:hAnsi="宋体" w:cs="宋体"/>
          <w:color w:val="auto"/>
          <w:highlight w:val="none"/>
        </w:rPr>
      </w:pPr>
      <w:bookmarkStart w:id="16" w:name="_Toc30137"/>
      <w:r>
        <w:rPr>
          <w:rFonts w:hint="eastAsia" w:ascii="宋体" w:hAnsi="宋体" w:cs="宋体"/>
          <w:color w:val="auto"/>
          <w:highlight w:val="none"/>
        </w:rPr>
        <w:t>五、资格审查</w:t>
      </w:r>
      <w:bookmarkEnd w:id="16"/>
    </w:p>
    <w:p w14:paraId="03BB717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25.资格审查</w:t>
      </w:r>
    </w:p>
    <w:p w14:paraId="48FCD4A5">
      <w:pPr>
        <w:spacing w:line="360" w:lineRule="auto"/>
        <w:ind w:firstLine="422" w:firstLineChars="200"/>
        <w:rPr>
          <w:rFonts w:ascii="宋体" w:hAnsi="宋体" w:cs="宋体"/>
          <w:b/>
          <w:bCs/>
          <w:color w:val="auto"/>
          <w:szCs w:val="20"/>
          <w:highlight w:val="none"/>
        </w:rPr>
      </w:pPr>
      <w:r>
        <w:rPr>
          <w:rFonts w:hint="eastAsia" w:ascii="宋体" w:hAnsi="宋体" w:cs="宋体"/>
          <w:b/>
          <w:bCs/>
          <w:color w:val="auto"/>
          <w:szCs w:val="20"/>
          <w:highlight w:val="none"/>
        </w:rPr>
        <w:t xml:space="preserve"> 25.1开标结束后，采购人或采购机构依法通过电子投标文件对投标人的资格进行线上审查。</w:t>
      </w:r>
    </w:p>
    <w:p w14:paraId="2676A5CB">
      <w:pPr>
        <w:spacing w:line="360" w:lineRule="auto"/>
        <w:ind w:firstLine="422" w:firstLineChars="200"/>
        <w:rPr>
          <w:rFonts w:ascii="宋体" w:hAnsi="宋体" w:cs="宋体"/>
          <w:b/>
          <w:bCs/>
          <w:color w:val="auto"/>
          <w:szCs w:val="20"/>
          <w:highlight w:val="none"/>
        </w:rPr>
      </w:pPr>
      <w:r>
        <w:rPr>
          <w:rFonts w:hint="eastAsia" w:ascii="宋体" w:hAnsi="宋体" w:cs="宋体"/>
          <w:b/>
          <w:bCs/>
          <w:color w:val="auto"/>
          <w:szCs w:val="20"/>
          <w:highlight w:val="none"/>
        </w:rPr>
        <w:t xml:space="preserve"> 25.2采购人或采购机构依据法律法规和招标文件的规定，对投标人的基本资格条件、特定资格条件进行审查。</w:t>
      </w:r>
    </w:p>
    <w:p w14:paraId="30C32D2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4AA7BA75">
      <w:pPr>
        <w:spacing w:line="360" w:lineRule="auto"/>
        <w:ind w:firstLine="422" w:firstLineChars="200"/>
        <w:rPr>
          <w:rFonts w:ascii="宋体" w:hAnsi="宋体" w:cs="宋体"/>
          <w:b/>
          <w:bCs/>
          <w:color w:val="auto"/>
          <w:szCs w:val="20"/>
          <w:highlight w:val="none"/>
        </w:rPr>
      </w:pPr>
      <w:r>
        <w:rPr>
          <w:rFonts w:hint="eastAsia" w:ascii="宋体" w:hAnsi="宋体" w:cs="宋体"/>
          <w:b/>
          <w:bCs/>
          <w:color w:val="auto"/>
          <w:szCs w:val="20"/>
          <w:highlight w:val="none"/>
        </w:rPr>
        <w:t>25.4投标人有下列情形之一的，资格审查不通过，作无效投标处理：</w:t>
      </w:r>
    </w:p>
    <w:p w14:paraId="1FA9086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（1）不具备招标文件中规定的资格要求的；（注：其中信用查询规则见“投标人须知前附表”，广西政府采购云平台已与“信用中国”平台做接口，审查专家可直接在线查询）</w:t>
      </w:r>
    </w:p>
    <w:p w14:paraId="32B502F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（2）投标文件未提供任一项“投标人须知前附表”资格证明文件规定的“必须提供”的文件资料的；</w:t>
      </w:r>
    </w:p>
    <w:p w14:paraId="654038A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（3）投标文件提供的资格证明文件出现任一项不符合“投标人须知前附表”资格证明文件规定的“必须提供”的文件资料要求或者无效的。</w:t>
      </w:r>
    </w:p>
    <w:p w14:paraId="6BCAB7A8">
      <w:pPr>
        <w:spacing w:line="360" w:lineRule="auto"/>
        <w:ind w:firstLine="420" w:firstLineChars="200"/>
        <w:rPr>
          <w:rFonts w:ascii="宋体" w:hAnsi="宋体" w:cs="宋体"/>
          <w:color w:val="auto"/>
          <w:szCs w:val="20"/>
          <w:highlight w:val="none"/>
        </w:rPr>
      </w:pPr>
      <w:r>
        <w:rPr>
          <w:rFonts w:hint="eastAsia" w:ascii="宋体" w:hAnsi="宋体" w:cs="宋体"/>
          <w:color w:val="auto"/>
          <w:szCs w:val="20"/>
          <w:highlight w:val="none"/>
        </w:rPr>
        <w:t>25.5资格审查的合格投标人不足3家的，不得评标。</w:t>
      </w:r>
    </w:p>
    <w:p w14:paraId="5AF4A96E">
      <w:pPr>
        <w:pStyle w:val="4"/>
        <w:keepNext w:val="0"/>
        <w:keepLines w:val="0"/>
        <w:spacing w:line="360" w:lineRule="auto"/>
        <w:jc w:val="center"/>
        <w:rPr>
          <w:rFonts w:ascii="宋体" w:hAnsi="宋体" w:cs="宋体"/>
          <w:color w:val="auto"/>
          <w:highlight w:val="none"/>
        </w:rPr>
      </w:pPr>
      <w:bookmarkStart w:id="17" w:name="_Toc16242"/>
      <w:r>
        <w:rPr>
          <w:rFonts w:hint="eastAsia" w:ascii="宋体" w:hAnsi="宋体" w:cs="宋体"/>
          <w:color w:val="auto"/>
          <w:highlight w:val="none"/>
        </w:rPr>
        <w:t>六、评   标</w:t>
      </w:r>
      <w:bookmarkEnd w:id="17"/>
    </w:p>
    <w:p w14:paraId="7714D57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26.组建评标委员会</w:t>
      </w:r>
    </w:p>
    <w:p w14:paraId="754E6E1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评标委员会由采购人代表和评审专家组成，人数为5人以上单数，其中评审专家不得少于成员总数的三分之二。</w:t>
      </w:r>
    </w:p>
    <w:p w14:paraId="5CE2D20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参加过采购项目前期咨询论证的专家，不得参加该采购项目的评审活动。</w:t>
      </w:r>
    </w:p>
    <w:p w14:paraId="04A1519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27.评标的依据</w:t>
      </w:r>
    </w:p>
    <w:p w14:paraId="3BC47E1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评标委员会以招标文件为依据对投标文件进行评审，“第四章 评标方法和评标标准”没有规定的方法、评审因素和标准，不作为评标依据。</w:t>
      </w:r>
    </w:p>
    <w:p w14:paraId="7C2585C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28.评标原则</w:t>
      </w:r>
    </w:p>
    <w:p w14:paraId="468A0C31">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3902990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28.2评委表决。在评标过程中出现法律法规和招标文件均没有明确规定的情形时，由评标委员会现场协商解决，协商不一致的，由全体评委投票表决，以得票率二分之一以上专家的意见为准并由采购代理机构作记录。</w:t>
      </w:r>
    </w:p>
    <w:p w14:paraId="33B58A9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5692B60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28.4评标过程的监控。本项目电子评标过程实行网上留痕、全程录音、录像监控，投标人在评标过程中所进行的试图影响评标结果的不公正活动，可能导致其投标按无效处理。</w:t>
      </w:r>
    </w:p>
    <w:p w14:paraId="555DBE9F">
      <w:pPr>
        <w:widowControl/>
        <w:spacing w:line="560" w:lineRule="exact"/>
        <w:ind w:firstLine="420" w:firstLineChars="200"/>
        <w:jc w:val="left"/>
        <w:textAlignment w:val="baseline"/>
        <w:rPr>
          <w:rFonts w:ascii="宋体" w:hAnsi="宋体" w:cs="宋体"/>
          <w:color w:val="auto"/>
          <w:highlight w:val="none"/>
        </w:rPr>
      </w:pPr>
      <w:r>
        <w:rPr>
          <w:rFonts w:hint="eastAsia" w:ascii="宋体" w:hAnsi="宋体" w:cs="宋体"/>
          <w:color w:val="auto"/>
          <w:highlight w:val="none"/>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0866CDA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29.评标方法及评标标准</w:t>
      </w:r>
    </w:p>
    <w:p w14:paraId="6AED3F9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29.1本项目的评标方法详见“投标人须知前附表”。</w:t>
      </w:r>
    </w:p>
    <w:p w14:paraId="2AAE34B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29.2 评标委员会按照</w:t>
      </w:r>
      <w:r>
        <w:rPr>
          <w:rFonts w:hint="eastAsia" w:ascii="宋体" w:hAnsi="宋体" w:cs="宋体"/>
          <w:b/>
          <w:color w:val="auto"/>
          <w:highlight w:val="none"/>
        </w:rPr>
        <w:t>“第四章 评标方法和评标标准”</w:t>
      </w:r>
      <w:r>
        <w:rPr>
          <w:rFonts w:hint="eastAsia" w:ascii="宋体" w:hAnsi="宋体" w:cs="宋体"/>
          <w:color w:val="auto"/>
          <w:highlight w:val="none"/>
        </w:rPr>
        <w:t>规定的方法、评审因素、标准和程序对投标文件进行评审。</w:t>
      </w:r>
    </w:p>
    <w:p w14:paraId="782A143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29.3 电子交易活动的中止。采购过程中出现以下情形，导致电子交易平台无法正常运行，或者无法保证电子交易的公平、公正和安全时，采购机构可中止电子交易活动：</w:t>
      </w:r>
    </w:p>
    <w:p w14:paraId="015789B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164AAFE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4A4B383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42B96326">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14:paraId="5D1D890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（4）其他无法保证电子交易的公平、公正和安全的情况。</w:t>
      </w:r>
    </w:p>
    <w:p w14:paraId="511E1A9F">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AF01A22">
      <w:pPr>
        <w:pStyle w:val="14"/>
        <w:snapToGrid w:val="0"/>
        <w:spacing w:line="400" w:lineRule="exact"/>
        <w:ind w:firstLine="420" w:firstLineChars="200"/>
        <w:rPr>
          <w:rFonts w:hAnsi="宋体" w:cs="宋体"/>
          <w:color w:val="auto"/>
          <w:highlight w:val="none"/>
        </w:rPr>
      </w:pPr>
    </w:p>
    <w:p w14:paraId="3827520F">
      <w:pPr>
        <w:pStyle w:val="4"/>
        <w:keepNext w:val="0"/>
        <w:keepLines w:val="0"/>
        <w:spacing w:line="400" w:lineRule="exact"/>
        <w:jc w:val="center"/>
        <w:rPr>
          <w:rFonts w:ascii="宋体" w:hAnsi="宋体" w:cs="宋体"/>
          <w:color w:val="auto"/>
          <w:highlight w:val="none"/>
        </w:rPr>
      </w:pPr>
      <w:bookmarkStart w:id="18" w:name="_Toc14950"/>
      <w:r>
        <w:rPr>
          <w:rFonts w:hint="eastAsia" w:ascii="宋体" w:hAnsi="宋体" w:cs="宋体"/>
          <w:color w:val="auto"/>
          <w:highlight w:val="none"/>
        </w:rPr>
        <w:t>七、中标和合同</w:t>
      </w:r>
      <w:bookmarkEnd w:id="18"/>
    </w:p>
    <w:p w14:paraId="5783DCC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30.确定中标人</w:t>
      </w:r>
    </w:p>
    <w:p w14:paraId="78B94ACE">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30.1本项目授权评标委员会直接按第四章“评标方法及标准”的规定排列中标候选人顺序，并依照次序确定中标人。</w:t>
      </w:r>
    </w:p>
    <w:p w14:paraId="7777A77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44613A8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30.3中标供应商无正当理由拒签合同的，根据《中华人民共和国政府采购法》第七十七条第一款规定处理。</w:t>
      </w:r>
    </w:p>
    <w:p w14:paraId="611032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30.4根据《中华人民共和国民法典》第五百六十三条，因不可抗力致使不能实现合同目的的，当事人可以解除合同。</w:t>
      </w:r>
    </w:p>
    <w:p w14:paraId="457AAF4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 结果公告</w:t>
      </w:r>
    </w:p>
    <w:p w14:paraId="0EA41755">
      <w:pPr>
        <w:spacing w:line="360" w:lineRule="auto"/>
        <w:ind w:firstLine="420" w:firstLineChars="200"/>
        <w:rPr>
          <w:rFonts w:ascii="宋体" w:hAnsi="宋体" w:cs="宋体"/>
          <w:color w:val="auto"/>
          <w:highlight w:val="none"/>
        </w:rPr>
      </w:pPr>
      <w:r>
        <w:rPr>
          <w:rFonts w:hint="eastAsia" w:ascii="宋体" w:hAnsi="宋体" w:cs="宋体"/>
          <w:color w:val="auto"/>
          <w:szCs w:val="21"/>
          <w:highlight w:val="none"/>
        </w:rPr>
        <w:t>31.1</w:t>
      </w:r>
      <w:r>
        <w:rPr>
          <w:rFonts w:hint="eastAsia" w:ascii="宋体" w:hAnsi="宋体" w:cs="宋体"/>
          <w:color w:val="auto"/>
          <w:highlight w:val="none"/>
        </w:rPr>
        <w:t>在中标供应商确定之日起2个工作日内，由采购代理机构</w:t>
      </w:r>
      <w:r>
        <w:rPr>
          <w:rFonts w:hint="eastAsia" w:ascii="宋体" w:hAnsi="宋体" w:cs="宋体"/>
          <w:b/>
          <w:color w:val="auto"/>
          <w:szCs w:val="21"/>
          <w:highlight w:val="none"/>
        </w:rPr>
        <w:t>在招标公告发布媒体上</w:t>
      </w:r>
      <w:r>
        <w:rPr>
          <w:rFonts w:hint="eastAsia" w:ascii="宋体" w:hAnsi="宋体" w:cs="宋体"/>
          <w:color w:val="auto"/>
          <w:highlight w:val="none"/>
        </w:rPr>
        <w:t>发布中标结果公告，中标结果公告期限为1个工作日，发布中标结果公告的同时向中标供应商发出中标通知书。</w:t>
      </w:r>
      <w:r>
        <w:rPr>
          <w:rFonts w:hint="eastAsia" w:ascii="宋体" w:hAnsi="宋体" w:cs="宋体"/>
          <w:b/>
          <w:color w:val="auto"/>
          <w:szCs w:val="21"/>
          <w:highlight w:val="none"/>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Pr>
          <w:rFonts w:hint="eastAsia" w:ascii="宋体" w:hAnsi="宋体" w:cs="宋体"/>
          <w:color w:val="auto"/>
          <w:szCs w:val="21"/>
          <w:highlight w:val="none"/>
        </w:rPr>
        <w:t>排名第二的中标候选人因前款规定的同样原因被取消中标资格的，授权的评标委员会可以确定排名第三的中标候选人为中标人，以此类推。</w:t>
      </w:r>
    </w:p>
    <w:p w14:paraId="481FE3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以上信息查询记录及相关证据与采购文件一并保存。</w:t>
      </w:r>
    </w:p>
    <w:p w14:paraId="0A586AB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7D0385A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32.发出中标通知书</w:t>
      </w:r>
    </w:p>
    <w:p w14:paraId="0B2B9CA8">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32.1在发布中标公告的同时，采购代理机构向中标人通过广西政府采购云平台发出电子中标通知书。</w:t>
      </w:r>
    </w:p>
    <w:p w14:paraId="2325A10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32.2对未通过资格审查的投标人，采购人或采购机构应当告知其未通过的原因；采用综合评分办法评审的，采购人或采购机构还应当告知未中标人本人的评审得分与排序。</w:t>
      </w:r>
    </w:p>
    <w:p w14:paraId="759FC57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 无义务解释未中标原因</w:t>
      </w:r>
    </w:p>
    <w:p w14:paraId="0D672EF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采购代理机构无义务向未中标的投标人解释未中标原因和退还投标文件。</w:t>
      </w:r>
    </w:p>
    <w:p w14:paraId="4A8261C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34.合同授予标准</w:t>
      </w:r>
    </w:p>
    <w:p w14:paraId="06EDB5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合同将授予被确定实质上响应招标文件要求，具备履行合同能力的中标人（招标文件另有约定多名中标人的除外）。</w:t>
      </w:r>
    </w:p>
    <w:p w14:paraId="6864879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35.履约保证金</w:t>
      </w:r>
    </w:p>
    <w:p w14:paraId="73B35B7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见“投标人须知前附表”。</w:t>
      </w:r>
    </w:p>
    <w:p w14:paraId="42C8BE5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36.签订合同</w:t>
      </w:r>
    </w:p>
    <w:p w14:paraId="2A3C09C5">
      <w:pPr>
        <w:pStyle w:val="64"/>
        <w:snapToGrid w:val="0"/>
        <w:spacing w:before="0"/>
        <w:ind w:firstLine="422"/>
        <w:rPr>
          <w:rFonts w:ascii="宋体" w:hAnsi="宋体" w:cs="宋体"/>
          <w:color w:val="auto"/>
          <w:kern w:val="0"/>
          <w:sz w:val="21"/>
          <w:szCs w:val="21"/>
          <w:highlight w:val="none"/>
          <w:lang w:val="zh-CN"/>
        </w:rPr>
      </w:pPr>
      <w:r>
        <w:rPr>
          <w:rFonts w:hint="eastAsia" w:ascii="宋体" w:hAnsi="宋体" w:cs="宋体"/>
          <w:b/>
          <w:color w:val="auto"/>
          <w:sz w:val="21"/>
          <w:szCs w:val="21"/>
          <w:highlight w:val="none"/>
        </w:rPr>
        <w:t xml:space="preserve"> 36.1中标人领取电子中标通知书后，</w:t>
      </w:r>
      <w:r>
        <w:rPr>
          <w:rFonts w:hint="eastAsia" w:ascii="宋体" w:hAnsi="宋体" w:cs="宋体"/>
          <w:color w:val="auto"/>
          <w:kern w:val="0"/>
          <w:sz w:val="21"/>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5C4F9A70">
      <w:pPr>
        <w:pStyle w:val="64"/>
        <w:snapToGrid w:val="0"/>
        <w:spacing w:before="0"/>
        <w:ind w:firstLine="420"/>
        <w:rPr>
          <w:rFonts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36.2</w:t>
      </w:r>
      <w:r>
        <w:rPr>
          <w:rFonts w:hint="eastAsia" w:ascii="宋体" w:hAnsi="宋体" w:cs="宋体"/>
          <w:color w:val="auto"/>
          <w:sz w:val="21"/>
          <w:szCs w:val="21"/>
          <w:highlight w:val="none"/>
        </w:rPr>
        <w:t>采购合同由采购人与中标供应商根据招标文件、投标文件等内容通过政府采购电子交易平台在线签订，自动备案。</w:t>
      </w:r>
    </w:p>
    <w:p w14:paraId="74E4ACA7">
      <w:pPr>
        <w:pStyle w:val="64"/>
        <w:snapToGrid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36.3签订合同时间：按中标通知书规定的时间与采购人签订合同（最长不能超过25日）。</w:t>
      </w:r>
    </w:p>
    <w:p w14:paraId="03C0671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073F06A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7EF7B8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5962C6B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36.7如签订合同并生效后，供应商无故拒绝或延期，除按照合同条款处理外，将承担相应的法律责任。</w:t>
      </w:r>
    </w:p>
    <w:p w14:paraId="3D6EC1DC">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5D0FEB2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37.政府采购合同公告</w:t>
      </w:r>
    </w:p>
    <w:p w14:paraId="46BD86B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采购人或者受托采购代理机构应当自政府采购合同签订之日起2个工作日内，将政府采购合同</w:t>
      </w:r>
      <w:r>
        <w:rPr>
          <w:rFonts w:hint="eastAsia" w:ascii="宋体" w:hAnsi="宋体" w:cs="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ascii="宋体" w:hAnsi="宋体" w:cs="宋体"/>
          <w:color w:val="auto"/>
          <w:highlight w:val="none"/>
        </w:rPr>
        <w:t>上公告，但政府采购合同中涉及国家秘密、商业秘密的内容除外。</w:t>
      </w:r>
    </w:p>
    <w:p w14:paraId="6FE6203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38. 询问、质疑和投诉</w:t>
      </w:r>
    </w:p>
    <w:p w14:paraId="6A6F33AC">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38.1询问</w:t>
      </w:r>
    </w:p>
    <w:p w14:paraId="471E4F2F">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38.1.1供应商在开标前对政府采购活动事项有疑问的，可以向采购人或采购代理机构项目负责人提出询问。</w:t>
      </w:r>
    </w:p>
    <w:p w14:paraId="70D0A805">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38.1.2采购人或采购人委托的采购代理机构自受理询问之日起3个工作日内对供应商依法提出的询问作出答复，</w:t>
      </w:r>
      <w:r>
        <w:rPr>
          <w:rFonts w:hint="eastAsia" w:ascii="宋体" w:hAnsi="宋体" w:cs="宋体"/>
          <w:color w:val="auto"/>
          <w:highlight w:val="none"/>
        </w:rPr>
        <w:t>但答复内容不得涉及商业秘密</w:t>
      </w:r>
      <w:r>
        <w:rPr>
          <w:rFonts w:hint="eastAsia" w:ascii="宋体" w:hAnsi="宋体" w:cs="宋体"/>
          <w:bCs/>
          <w:color w:val="auto"/>
          <w:szCs w:val="21"/>
          <w:highlight w:val="none"/>
        </w:rPr>
        <w:t>。</w:t>
      </w:r>
    </w:p>
    <w:p w14:paraId="0FCAC1E1">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38.1.3 询问事项可能影响中标、成交结果的，采购人应当暂停签订合同，已经签订合同的，应当中止履行合同。</w:t>
      </w:r>
    </w:p>
    <w:p w14:paraId="707C842A">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38.2质疑</w:t>
      </w:r>
    </w:p>
    <w:p w14:paraId="73E73EA2">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38.2.1</w:t>
      </w:r>
      <w:r>
        <w:rPr>
          <w:rFonts w:hint="eastAsia" w:ascii="宋体" w:hAnsi="宋体" w:cs="宋体"/>
          <w:b/>
          <w:color w:val="auto"/>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095AC4F7">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（1）潜在供应商依法获取公开招标文件后，认为采购文件使自己的权益受到损害的，应当在公开招标文件公告期限届满之日起7个工作日内提出质疑。</w:t>
      </w:r>
      <w:r>
        <w:rPr>
          <w:rFonts w:hint="eastAsia" w:ascii="宋体" w:hAnsi="宋体" w:cs="宋体"/>
          <w:color w:val="auto"/>
          <w:highlight w:val="none"/>
        </w:rPr>
        <w:t>委托代理协议无特殊约定的，</w:t>
      </w:r>
      <w:r>
        <w:rPr>
          <w:rFonts w:hint="eastAsia" w:ascii="宋体" w:hAnsi="宋体" w:cs="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7A42F1CC">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7543168B">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（3）供应商认为中标或者成交结果使自己的权益受到损害的，应当在中标或者成交结果公告期限届满之日起7个工作日内提出质疑，由采购人受理并负责答复。</w:t>
      </w:r>
    </w:p>
    <w:p w14:paraId="29C4C104">
      <w:pPr>
        <w:spacing w:line="360" w:lineRule="auto"/>
        <w:ind w:firstLine="422" w:firstLineChars="200"/>
        <w:rPr>
          <w:rFonts w:ascii="宋体" w:hAnsi="宋体" w:cs="宋体"/>
          <w:bCs/>
          <w:color w:val="auto"/>
          <w:szCs w:val="21"/>
          <w:highlight w:val="none"/>
        </w:rPr>
      </w:pPr>
      <w:r>
        <w:rPr>
          <w:rFonts w:hint="eastAsia" w:ascii="宋体" w:hAnsi="宋体" w:cs="宋体"/>
          <w:b/>
          <w:bCs/>
          <w:color w:val="auto"/>
          <w:szCs w:val="21"/>
          <w:highlight w:val="none"/>
        </w:rPr>
        <w:t>38.2.2</w:t>
      </w:r>
      <w:r>
        <w:rPr>
          <w:rFonts w:hint="eastAsia" w:ascii="宋体" w:hAnsi="宋体" w:cs="宋体"/>
          <w:bCs/>
          <w:color w:val="auto"/>
          <w:szCs w:val="21"/>
          <w:highlight w:val="none"/>
        </w:rPr>
        <w:t>供应商质疑实行实名制，其质疑应当有具体的质疑事项及事实根据，质疑应当坚持依法依规、诚实信用原则，不得进行虚假、恶意质疑。</w:t>
      </w:r>
    </w:p>
    <w:p w14:paraId="7C2D8D4B">
      <w:pPr>
        <w:spacing w:line="360" w:lineRule="auto"/>
        <w:ind w:firstLine="422" w:firstLineChars="200"/>
        <w:rPr>
          <w:rFonts w:ascii="宋体" w:hAnsi="宋体" w:cs="宋体"/>
          <w:bCs/>
          <w:color w:val="auto"/>
          <w:highlight w:val="none"/>
        </w:rPr>
      </w:pPr>
      <w:r>
        <w:rPr>
          <w:rFonts w:hint="eastAsia" w:ascii="宋体" w:hAnsi="宋体" w:cs="宋体"/>
          <w:b/>
          <w:bCs/>
          <w:color w:val="auto"/>
          <w:highlight w:val="none"/>
        </w:rPr>
        <w:t>38.2.3</w:t>
      </w:r>
      <w:r>
        <w:rPr>
          <w:rFonts w:hint="eastAsia" w:ascii="宋体" w:hAnsi="宋体" w:cs="宋体"/>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cs="宋体"/>
          <w:color w:val="auto"/>
          <w:highlight w:val="none"/>
        </w:rPr>
        <w:t>。</w:t>
      </w:r>
    </w:p>
    <w:p w14:paraId="7A926416">
      <w:pPr>
        <w:spacing w:line="360" w:lineRule="auto"/>
        <w:ind w:firstLine="422" w:firstLineChars="200"/>
        <w:rPr>
          <w:rFonts w:ascii="宋体" w:hAnsi="宋体" w:cs="宋体"/>
          <w:b/>
          <w:bCs/>
          <w:color w:val="auto"/>
          <w:highlight w:val="none"/>
        </w:rPr>
      </w:pPr>
      <w:r>
        <w:rPr>
          <w:rFonts w:hint="eastAsia" w:ascii="宋体" w:hAnsi="宋体" w:cs="宋体"/>
          <w:b/>
          <w:bCs/>
          <w:color w:val="auto"/>
          <w:highlight w:val="none"/>
        </w:rPr>
        <w:t>38.2.4 质疑供应商提起质疑应当符合下列条件：</w:t>
      </w:r>
    </w:p>
    <w:p w14:paraId="5D16AB48">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（1）质疑供应商是参与所质疑</w:t>
      </w:r>
      <w:r>
        <w:rPr>
          <w:rFonts w:hint="eastAsia" w:ascii="宋体" w:hAnsi="宋体" w:cs="宋体"/>
          <w:bCs/>
          <w:color w:val="auto"/>
          <w:szCs w:val="21"/>
          <w:highlight w:val="none"/>
        </w:rPr>
        <w:t>项目</w:t>
      </w:r>
      <w:r>
        <w:rPr>
          <w:rFonts w:hint="eastAsia" w:ascii="宋体" w:hAnsi="宋体" w:cs="宋体"/>
          <w:bCs/>
          <w:color w:val="auto"/>
          <w:highlight w:val="none"/>
        </w:rPr>
        <w:t>采购活动的供应商（潜在供应商已依法获取</w:t>
      </w:r>
      <w:r>
        <w:rPr>
          <w:rFonts w:hint="eastAsia" w:ascii="宋体" w:hAnsi="宋体" w:cs="宋体"/>
          <w:bCs/>
          <w:color w:val="auto"/>
          <w:highlight w:val="none"/>
          <w:lang w:eastAsia="zh-CN"/>
        </w:rPr>
        <w:t>可置疑的</w:t>
      </w:r>
      <w:r>
        <w:rPr>
          <w:rFonts w:hint="eastAsia" w:ascii="宋体" w:hAnsi="宋体" w:cs="宋体"/>
          <w:bCs/>
          <w:color w:val="auto"/>
          <w:highlight w:val="none"/>
        </w:rPr>
        <w:t>采购文件的，可以对该采购文件质疑）；</w:t>
      </w:r>
    </w:p>
    <w:p w14:paraId="49B5DCC5">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（2）质疑函内容符合本章第38.2.5项的规定；</w:t>
      </w:r>
    </w:p>
    <w:p w14:paraId="60E355D2">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（3）在质疑有效期限内提起质疑；</w:t>
      </w:r>
    </w:p>
    <w:p w14:paraId="0C60347B">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（4）属于所质疑的采购人或采购人委托的采购代理机构组织的采购活动；</w:t>
      </w:r>
    </w:p>
    <w:p w14:paraId="61CA0855">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 xml:space="preserve">（5）同一质疑事项未经采购人或采购人委托的采购代理机构质疑处理； </w:t>
      </w:r>
    </w:p>
    <w:p w14:paraId="1EAE80D1">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（6）供应商对同一采购程序环节的质疑应当在质疑有效期内一次性提出；</w:t>
      </w:r>
    </w:p>
    <w:p w14:paraId="2790A6E5">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（7）供应商提交质疑应当提交必要的证明材料，证明材料应以合法手段取得；</w:t>
      </w:r>
    </w:p>
    <w:p w14:paraId="735F7847">
      <w:pPr>
        <w:spacing w:line="360" w:lineRule="auto"/>
        <w:ind w:firstLine="420" w:firstLineChars="200"/>
        <w:rPr>
          <w:rFonts w:ascii="宋体" w:hAnsi="宋体" w:cs="宋体"/>
          <w:color w:val="auto"/>
          <w:highlight w:val="none"/>
        </w:rPr>
      </w:pPr>
      <w:r>
        <w:rPr>
          <w:rFonts w:hint="eastAsia" w:ascii="宋体" w:hAnsi="宋体" w:cs="宋体"/>
          <w:bCs/>
          <w:color w:val="auto"/>
          <w:highlight w:val="none"/>
        </w:rPr>
        <w:t>（8）财政部门规定的其他条件。</w:t>
      </w:r>
    </w:p>
    <w:p w14:paraId="30963ADF">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 xml:space="preserve"> 38.2.5 </w:t>
      </w:r>
      <w:r>
        <w:rPr>
          <w:rFonts w:hint="eastAsia" w:ascii="宋体" w:hAnsi="宋体" w:cs="宋体"/>
          <w:bCs/>
          <w:color w:val="auto"/>
          <w:highlight w:val="none"/>
        </w:rPr>
        <w:t>供应商提出质疑应当提交质疑函和必要的证明材料，针对同一采购程序环节的质疑必须在法定质疑期内一次性提出。质疑函应当包括下列内容（质疑函格式后附）：</w:t>
      </w:r>
    </w:p>
    <w:p w14:paraId="0E5D5940">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（1）供应商的姓名或者名称、地址、邮编、联系人及联系电话；</w:t>
      </w:r>
    </w:p>
    <w:p w14:paraId="2E35B6BB">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（2）质疑项目的名称、编号；</w:t>
      </w:r>
    </w:p>
    <w:p w14:paraId="5DAFEC8A">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（3）具体、明确的质疑事项和与质疑事项相关的请求；</w:t>
      </w:r>
    </w:p>
    <w:p w14:paraId="41124459">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（4）事实依据（列明权益受到损害的事实和理由）；</w:t>
      </w:r>
    </w:p>
    <w:p w14:paraId="74D4D87B">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（5）必要的法律依据；</w:t>
      </w:r>
    </w:p>
    <w:p w14:paraId="2481D1D5">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（6）提出质疑的日期。</w:t>
      </w:r>
    </w:p>
    <w:p w14:paraId="235BA8A1">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供应商为自然人的，应当由本人签字；供应商为法人或者其他组织的，应当由法定代表人、主要负责人，或者其委托代理人签字或者盖章，并加盖公章。</w:t>
      </w:r>
    </w:p>
    <w:p w14:paraId="0E60F093">
      <w:pPr>
        <w:spacing w:line="360" w:lineRule="auto"/>
        <w:ind w:firstLine="422" w:firstLineChars="200"/>
        <w:rPr>
          <w:rFonts w:ascii="宋体" w:hAnsi="宋体" w:cs="宋体"/>
          <w:b/>
          <w:color w:val="auto"/>
          <w:szCs w:val="20"/>
          <w:highlight w:val="none"/>
        </w:rPr>
      </w:pPr>
      <w:r>
        <w:rPr>
          <w:rFonts w:hint="eastAsia" w:ascii="宋体" w:hAnsi="宋体" w:cs="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37F9E0D7">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3</w:t>
      </w:r>
      <w:r>
        <w:rPr>
          <w:rFonts w:hint="eastAsia" w:ascii="宋体" w:hAnsi="宋体" w:cs="宋体"/>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08335CBE">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3579A730">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170F9ED4">
      <w:pPr>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质疑答复导致中标结果改变的，采购人或者采购代理机构应当将有关情况书面报告本级财政部门。</w:t>
      </w:r>
    </w:p>
    <w:p w14:paraId="4D4CDBF1">
      <w:pPr>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38.3投诉</w:t>
      </w:r>
    </w:p>
    <w:p w14:paraId="189E9DD8">
      <w:pPr>
        <w:spacing w:line="360" w:lineRule="auto"/>
        <w:ind w:firstLine="422" w:firstLineChars="200"/>
        <w:rPr>
          <w:rFonts w:ascii="宋体" w:hAnsi="宋体" w:cs="宋体"/>
          <w:bCs/>
          <w:color w:val="auto"/>
          <w:highlight w:val="none"/>
        </w:rPr>
      </w:pPr>
      <w:r>
        <w:rPr>
          <w:rFonts w:hint="eastAsia" w:ascii="宋体" w:hAnsi="宋体" w:cs="宋体"/>
          <w:b/>
          <w:color w:val="auto"/>
          <w:highlight w:val="none"/>
        </w:rPr>
        <w:t>38.3</w:t>
      </w:r>
      <w:r>
        <w:rPr>
          <w:rFonts w:hint="eastAsia" w:ascii="宋体" w:hAnsi="宋体" w:cs="宋体"/>
          <w:bCs/>
          <w:color w:val="auto"/>
          <w:highlight w:val="none"/>
        </w:rPr>
        <w:t>.</w:t>
      </w:r>
      <w:r>
        <w:rPr>
          <w:rFonts w:hint="eastAsia" w:ascii="宋体" w:hAnsi="宋体" w:cs="宋体"/>
          <w:b/>
          <w:bCs/>
          <w:color w:val="auto"/>
          <w:highlight w:val="none"/>
        </w:rPr>
        <w:t xml:space="preserve">1 </w:t>
      </w:r>
      <w:r>
        <w:rPr>
          <w:rFonts w:hint="eastAsia" w:ascii="宋体" w:hAnsi="宋体" w:cs="宋体"/>
          <w:bCs/>
          <w:color w:val="auto"/>
          <w:highlight w:val="none"/>
        </w:rPr>
        <w:t xml:space="preserve"> 供应商认为采购文件、采购过程、中标和成交结果使自己的合法权益受到损害的，应当首先依法向采购人或采购人委托的</w:t>
      </w:r>
      <w:r>
        <w:rPr>
          <w:rFonts w:hint="eastAsia" w:ascii="宋体" w:hAnsi="宋体" w:cs="宋体"/>
          <w:color w:val="auto"/>
          <w:highlight w:val="none"/>
        </w:rPr>
        <w:t>采购代理机构</w:t>
      </w:r>
      <w:r>
        <w:rPr>
          <w:rFonts w:hint="eastAsia" w:ascii="宋体" w:hAnsi="宋体" w:cs="宋体"/>
          <w:bCs/>
          <w:color w:val="auto"/>
          <w:highlight w:val="none"/>
        </w:rPr>
        <w:t>提出质疑。对采购人、</w:t>
      </w:r>
      <w:r>
        <w:rPr>
          <w:rFonts w:hint="eastAsia" w:ascii="宋体" w:hAnsi="宋体" w:cs="宋体"/>
          <w:color w:val="auto"/>
          <w:highlight w:val="none"/>
        </w:rPr>
        <w:t>采购代理机构</w:t>
      </w:r>
      <w:r>
        <w:rPr>
          <w:rFonts w:hint="eastAsia" w:ascii="宋体" w:hAnsi="宋体" w:cs="宋体"/>
          <w:bCs/>
          <w:color w:val="auto"/>
          <w:highlight w:val="none"/>
        </w:rPr>
        <w:t>的答复不满意，或者采购人、</w:t>
      </w:r>
      <w:r>
        <w:rPr>
          <w:rFonts w:hint="eastAsia" w:ascii="宋体" w:hAnsi="宋体" w:cs="宋体"/>
          <w:color w:val="auto"/>
          <w:highlight w:val="none"/>
        </w:rPr>
        <w:t>采购代理机构</w:t>
      </w:r>
      <w:r>
        <w:rPr>
          <w:rFonts w:hint="eastAsia" w:ascii="宋体" w:hAnsi="宋体" w:cs="宋体"/>
          <w:bCs/>
          <w:color w:val="auto"/>
          <w:highlight w:val="none"/>
        </w:rPr>
        <w:t>未在规定期限内</w:t>
      </w:r>
      <w:r>
        <w:rPr>
          <w:rFonts w:hint="eastAsia" w:ascii="宋体" w:hAnsi="宋体" w:cs="宋体"/>
          <w:bCs/>
          <w:color w:val="auto"/>
          <w:highlight w:val="none"/>
          <w:lang w:eastAsia="zh-CN"/>
        </w:rPr>
        <w:t>作出</w:t>
      </w:r>
      <w:r>
        <w:rPr>
          <w:rFonts w:hint="eastAsia" w:ascii="宋体" w:hAnsi="宋体" w:cs="宋体"/>
          <w:bCs/>
          <w:color w:val="auto"/>
          <w:highlight w:val="none"/>
        </w:rPr>
        <w:t>答复的，供应商可以在答复期满后15个工作日内向南宁市政府采购监督管理部门提起投诉，投诉方式见“投标人须知前附表”。</w:t>
      </w:r>
    </w:p>
    <w:p w14:paraId="181A3386">
      <w:pPr>
        <w:spacing w:line="360" w:lineRule="auto"/>
        <w:ind w:firstLine="422" w:firstLineChars="200"/>
        <w:rPr>
          <w:rFonts w:ascii="宋体" w:hAnsi="宋体" w:cs="宋体"/>
          <w:bCs/>
          <w:color w:val="auto"/>
          <w:highlight w:val="none"/>
        </w:rPr>
      </w:pPr>
      <w:r>
        <w:rPr>
          <w:rFonts w:hint="eastAsia" w:ascii="宋体" w:hAnsi="宋体" w:cs="宋体"/>
          <w:b/>
          <w:color w:val="auto"/>
          <w:highlight w:val="none"/>
        </w:rPr>
        <w:t xml:space="preserve">38.3.2 </w:t>
      </w:r>
      <w:r>
        <w:rPr>
          <w:rFonts w:hint="eastAsia" w:ascii="宋体" w:hAnsi="宋体" w:cs="宋体"/>
          <w:color w:val="auto"/>
          <w:highlight w:val="none"/>
        </w:rPr>
        <w:t xml:space="preserve"> 投诉人投诉时，应当提交投诉书，并按照被投诉采购人、采购代理机构和与投诉事项有关的供应商数量提供投诉书的副本。投诉书</w:t>
      </w:r>
      <w:r>
        <w:rPr>
          <w:rFonts w:hint="eastAsia" w:ascii="宋体" w:hAnsi="宋体" w:cs="宋体"/>
          <w:color w:val="auto"/>
          <w:szCs w:val="21"/>
          <w:highlight w:val="none"/>
        </w:rPr>
        <w:t>应当包括下列主要内容</w:t>
      </w:r>
      <w:r>
        <w:rPr>
          <w:rFonts w:hint="eastAsia" w:ascii="宋体" w:hAnsi="宋体" w:cs="宋体"/>
          <w:color w:val="auto"/>
          <w:highlight w:val="none"/>
        </w:rPr>
        <w:t>（如材料中有外文资料应同时附上对应的中文译本）</w:t>
      </w:r>
      <w:r>
        <w:rPr>
          <w:rFonts w:hint="eastAsia" w:ascii="宋体" w:hAnsi="宋体" w:cs="宋体"/>
          <w:bCs/>
          <w:color w:val="auto"/>
          <w:highlight w:val="none"/>
        </w:rPr>
        <w:t>（投诉书格式后附）</w:t>
      </w:r>
      <w:r>
        <w:rPr>
          <w:rFonts w:hint="eastAsia" w:ascii="宋体" w:hAnsi="宋体" w:cs="宋体"/>
          <w:color w:val="auto"/>
          <w:szCs w:val="21"/>
          <w:highlight w:val="none"/>
        </w:rPr>
        <w:t>：</w:t>
      </w:r>
    </w:p>
    <w:p w14:paraId="40375D2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（1）投诉人和被投诉人的名称、地址、邮编、联系人及联系电话等； </w:t>
      </w:r>
    </w:p>
    <w:p w14:paraId="26FE0B0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（2）质疑和质疑答复情况及相关证明材料； </w:t>
      </w:r>
    </w:p>
    <w:p w14:paraId="7AF994D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（3）具体、明确的投诉事项和与投诉事项相关的投诉请求；</w:t>
      </w:r>
    </w:p>
    <w:p w14:paraId="53CF9D4C">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5ED2586E">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（5）法律依据；</w:t>
      </w:r>
    </w:p>
    <w:p w14:paraId="46975C69">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（6）提起投诉的日期。</w:t>
      </w:r>
    </w:p>
    <w:p w14:paraId="37C109E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（7）附件材料：营业执照副本内页复印件（要求证件有效并清</w:t>
      </w:r>
      <w:r>
        <w:rPr>
          <w:rFonts w:hint="eastAsia" w:ascii="宋体" w:hAnsi="宋体" w:cs="宋体"/>
          <w:color w:val="auto"/>
          <w:highlight w:val="none"/>
          <w:lang w:eastAsia="zh-CN"/>
        </w:rPr>
        <w:t>晰地</w:t>
      </w:r>
      <w:r>
        <w:rPr>
          <w:rFonts w:hint="eastAsia" w:ascii="宋体" w:hAnsi="宋体" w:cs="宋体"/>
          <w:color w:val="auto"/>
          <w:highlight w:val="none"/>
        </w:rPr>
        <w:t>反映企业法人经营范围；近期连续三个月依法缴纳税收和在职职工社会保障资金证明材料（复印件）。</w:t>
      </w:r>
      <w:r>
        <w:rPr>
          <w:rFonts w:hint="eastAsia" w:ascii="宋体" w:hAnsi="宋体" w:cs="宋体"/>
          <w:color w:val="auto"/>
          <w:highlight w:val="none"/>
        </w:rPr>
        <w:tab/>
      </w:r>
    </w:p>
    <w:p w14:paraId="03A6A484">
      <w:pPr>
        <w:spacing w:line="360" w:lineRule="auto"/>
        <w:ind w:firstLine="422" w:firstLineChars="200"/>
        <w:rPr>
          <w:rFonts w:ascii="宋体" w:hAnsi="宋体" w:cs="宋体"/>
          <w:bCs/>
          <w:color w:val="auto"/>
          <w:highlight w:val="none"/>
        </w:rPr>
      </w:pPr>
      <w:r>
        <w:rPr>
          <w:rFonts w:hint="eastAsia" w:ascii="宋体" w:hAnsi="宋体" w:cs="宋体"/>
          <w:b/>
          <w:color w:val="auto"/>
          <w:highlight w:val="none"/>
        </w:rPr>
        <w:t xml:space="preserve">38.3.3  </w:t>
      </w:r>
      <w:r>
        <w:rPr>
          <w:rFonts w:hint="eastAsia" w:ascii="宋体" w:hAnsi="宋体" w:cs="宋体"/>
          <w:color w:val="auto"/>
          <w:highlight w:val="none"/>
        </w:rPr>
        <w:t>投诉人可以委托代理人办理投诉事务。</w:t>
      </w:r>
      <w:r>
        <w:rPr>
          <w:rFonts w:hint="eastAsia" w:ascii="宋体" w:hAnsi="宋体" w:cs="宋体"/>
          <w:bCs/>
          <w:color w:val="auto"/>
          <w:highlight w:val="none"/>
        </w:rPr>
        <w:t>委托代理人应熟悉相关业务情况。</w:t>
      </w:r>
      <w:r>
        <w:rPr>
          <w:rFonts w:hint="eastAsia" w:ascii="宋体" w:hAnsi="宋体" w:cs="宋体"/>
          <w:color w:val="auto"/>
          <w:highlight w:val="none"/>
        </w:rPr>
        <w:t>代理人办理投诉事务时，除提交投诉书外，还应当提交投诉人的授权委托书和委托代理人身份证明复印件。</w:t>
      </w:r>
    </w:p>
    <w:p w14:paraId="2B020025">
      <w:pPr>
        <w:spacing w:line="360" w:lineRule="auto"/>
        <w:ind w:firstLine="422" w:firstLineChars="200"/>
        <w:rPr>
          <w:rFonts w:ascii="宋体" w:hAnsi="宋体" w:cs="宋体"/>
          <w:color w:val="auto"/>
          <w:highlight w:val="none"/>
        </w:rPr>
      </w:pPr>
      <w:r>
        <w:rPr>
          <w:rFonts w:hint="eastAsia" w:ascii="宋体" w:hAnsi="宋体" w:cs="宋体"/>
          <w:b/>
          <w:color w:val="auto"/>
          <w:highlight w:val="none"/>
        </w:rPr>
        <w:t>38.3.4</w:t>
      </w:r>
      <w:r>
        <w:rPr>
          <w:rFonts w:hint="eastAsia" w:ascii="宋体" w:hAnsi="宋体" w:cs="宋体"/>
          <w:color w:val="auto"/>
          <w:highlight w:val="none"/>
        </w:rPr>
        <w:t xml:space="preserve">  投诉人提起投诉应当符合下列条件：</w:t>
      </w:r>
    </w:p>
    <w:p w14:paraId="06CC5B05">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（1）投诉人是参与所投诉政府采购活动的供应商；</w:t>
      </w:r>
    </w:p>
    <w:p w14:paraId="68CC7E8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（2）提起投诉前已依法进行质疑；</w:t>
      </w:r>
    </w:p>
    <w:p w14:paraId="081F8F63">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（3）投诉书内容符合本章第38.3.2项的规定；</w:t>
      </w:r>
    </w:p>
    <w:p w14:paraId="3DCC8A3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（4）在投诉有效期限内提起投诉；</w:t>
      </w:r>
    </w:p>
    <w:p w14:paraId="6ADFB4E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（5）属于南宁市政府采购监督管理部门管辖；</w:t>
      </w:r>
    </w:p>
    <w:p w14:paraId="232CCA7B">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（6）同一投诉事项未经</w:t>
      </w:r>
      <w:r>
        <w:rPr>
          <w:rFonts w:hint="eastAsia" w:ascii="宋体" w:hAnsi="宋体" w:cs="宋体"/>
          <w:bCs/>
          <w:color w:val="auto"/>
          <w:highlight w:val="none"/>
        </w:rPr>
        <w:t>南宁市政府采购监督管理部门</w:t>
      </w:r>
      <w:r>
        <w:rPr>
          <w:rFonts w:hint="eastAsia" w:ascii="宋体" w:hAnsi="宋体" w:cs="宋体"/>
          <w:color w:val="auto"/>
          <w:highlight w:val="none"/>
        </w:rPr>
        <w:t>投诉处理；</w:t>
      </w:r>
    </w:p>
    <w:p w14:paraId="08609732">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（7）国务院财政部门规定的其他条件。</w:t>
      </w:r>
    </w:p>
    <w:p w14:paraId="7C9509B7">
      <w:pPr>
        <w:spacing w:line="360" w:lineRule="auto"/>
        <w:ind w:firstLine="422" w:firstLineChars="200"/>
        <w:rPr>
          <w:rFonts w:ascii="宋体" w:hAnsi="宋体" w:cs="宋体"/>
          <w:color w:val="auto"/>
          <w:highlight w:val="none"/>
        </w:rPr>
      </w:pPr>
      <w:r>
        <w:rPr>
          <w:rFonts w:hint="eastAsia" w:ascii="宋体" w:hAnsi="宋体" w:cs="宋体"/>
          <w:b/>
          <w:color w:val="auto"/>
          <w:highlight w:val="none"/>
        </w:rPr>
        <w:t>38.3.5</w:t>
      </w:r>
      <w:r>
        <w:rPr>
          <w:rFonts w:hint="eastAsia" w:ascii="宋体" w:hAnsi="宋体" w:cs="宋体"/>
          <w:color w:val="auto"/>
          <w:highlight w:val="none"/>
        </w:rPr>
        <w:t xml:space="preserve">  南宁市政府采购监督管理部门自受理投诉之日起30个工作日内，对投诉事项作出处理决定，并以书面形式通知投诉人、被投诉人及其他与投诉处理结果有利害关系的政府采购当事人。并将投诉结果在</w:t>
      </w:r>
      <w:r>
        <w:rPr>
          <w:rFonts w:hint="eastAsia" w:ascii="宋体" w:hAnsi="宋体" w:cs="宋体"/>
          <w:color w:val="auto"/>
          <w:kern w:val="0"/>
          <w:szCs w:val="21"/>
          <w:highlight w:val="none"/>
        </w:rPr>
        <w:t>“广西政府采购网”（http://zfcg.gxzf.gov.cn）</w:t>
      </w:r>
      <w:r>
        <w:rPr>
          <w:rFonts w:hint="eastAsia" w:ascii="宋体" w:hAnsi="宋体" w:cs="宋体"/>
          <w:color w:val="auto"/>
          <w:highlight w:val="none"/>
        </w:rPr>
        <w:t>发布。</w:t>
      </w:r>
    </w:p>
    <w:p w14:paraId="7CA2A64A">
      <w:pPr>
        <w:spacing w:line="360" w:lineRule="auto"/>
        <w:ind w:firstLine="422" w:firstLineChars="200"/>
        <w:rPr>
          <w:rFonts w:ascii="宋体" w:hAnsi="宋体" w:cs="宋体"/>
          <w:color w:val="auto"/>
          <w:highlight w:val="none"/>
        </w:rPr>
      </w:pPr>
      <w:r>
        <w:rPr>
          <w:rFonts w:hint="eastAsia" w:ascii="宋体" w:hAnsi="宋体" w:cs="宋体"/>
          <w:b/>
          <w:color w:val="auto"/>
          <w:highlight w:val="none"/>
        </w:rPr>
        <w:t>38.3.6</w:t>
      </w:r>
      <w:r>
        <w:rPr>
          <w:rFonts w:hint="eastAsia" w:ascii="宋体" w:hAnsi="宋体" w:cs="宋体"/>
          <w:color w:val="auto"/>
          <w:highlight w:val="none"/>
        </w:rPr>
        <w:t xml:space="preserve">  南宁市政府采购监督管理部门在处理投诉事项期间，可以视具体情况暂停采购活动。</w:t>
      </w:r>
    </w:p>
    <w:p w14:paraId="06D26BFB">
      <w:pPr>
        <w:snapToGrid w:val="0"/>
        <w:spacing w:line="360" w:lineRule="auto"/>
        <w:ind w:left="120" w:leftChars="57" w:firstLine="482" w:firstLineChars="150"/>
        <w:jc w:val="center"/>
        <w:outlineLvl w:val="2"/>
        <w:rPr>
          <w:rFonts w:ascii="宋体" w:hAnsi="宋体" w:cs="宋体"/>
          <w:b/>
          <w:bCs/>
          <w:color w:val="auto"/>
          <w:sz w:val="32"/>
          <w:szCs w:val="32"/>
          <w:highlight w:val="none"/>
        </w:rPr>
      </w:pPr>
      <w:bookmarkStart w:id="19" w:name="_Toc32030"/>
      <w:r>
        <w:rPr>
          <w:rFonts w:hint="eastAsia" w:ascii="宋体" w:hAnsi="宋体" w:cs="宋体"/>
          <w:b/>
          <w:bCs/>
          <w:color w:val="auto"/>
          <w:sz w:val="32"/>
          <w:szCs w:val="32"/>
          <w:highlight w:val="none"/>
        </w:rPr>
        <w:t>八、验收</w:t>
      </w:r>
      <w:bookmarkEnd w:id="19"/>
    </w:p>
    <w:p w14:paraId="518542D7">
      <w:pPr>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39.验收</w:t>
      </w:r>
    </w:p>
    <w:p w14:paraId="006216F7">
      <w:pPr>
        <w:tabs>
          <w:tab w:val="left" w:pos="0"/>
        </w:tabs>
        <w:spacing w:line="360" w:lineRule="auto"/>
        <w:ind w:firstLine="480"/>
        <w:rPr>
          <w:rFonts w:ascii="宋体" w:hAnsi="宋体" w:cs="宋体"/>
          <w:color w:val="auto"/>
          <w:highlight w:val="none"/>
        </w:rPr>
      </w:pPr>
      <w:r>
        <w:rPr>
          <w:rFonts w:hint="eastAsia" w:ascii="宋体" w:hAnsi="宋体" w:cs="宋体"/>
          <w:color w:val="auto"/>
          <w:highlight w:val="none"/>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E17A193">
      <w:pPr>
        <w:tabs>
          <w:tab w:val="left" w:pos="0"/>
        </w:tabs>
        <w:spacing w:line="360" w:lineRule="auto"/>
        <w:ind w:firstLine="480"/>
        <w:rPr>
          <w:rFonts w:ascii="宋体" w:hAnsi="宋体" w:cs="宋体"/>
          <w:color w:val="auto"/>
          <w:highlight w:val="none"/>
        </w:rPr>
      </w:pPr>
      <w:r>
        <w:rPr>
          <w:rFonts w:hint="eastAsia" w:ascii="宋体" w:hAnsi="宋体" w:cs="宋体"/>
          <w:color w:val="auto"/>
          <w:highlight w:val="none"/>
        </w:rPr>
        <w:t>39.2采购人可以邀请参加本项目的其他投标人或者第三方机构参与验收。参与验收的投标人或者第三方机构的意见作为验收书的参考资料一并存档。</w:t>
      </w:r>
    </w:p>
    <w:p w14:paraId="7B9E65CF">
      <w:pPr>
        <w:tabs>
          <w:tab w:val="left" w:pos="0"/>
        </w:tabs>
        <w:spacing w:line="360" w:lineRule="auto"/>
        <w:ind w:firstLine="480"/>
        <w:rPr>
          <w:rFonts w:ascii="宋体" w:hAnsi="宋体" w:cs="宋体"/>
          <w:color w:val="auto"/>
          <w:highlight w:val="none"/>
        </w:rPr>
      </w:pPr>
      <w:r>
        <w:rPr>
          <w:rFonts w:hint="eastAsia" w:ascii="宋体" w:hAnsi="宋体" w:cs="宋体"/>
          <w:color w:val="auto"/>
          <w:highlight w:val="none"/>
        </w:rPr>
        <w:t>39.3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6B4A386">
      <w:pPr>
        <w:tabs>
          <w:tab w:val="left" w:pos="0"/>
        </w:tabs>
        <w:spacing w:line="360" w:lineRule="auto"/>
        <w:ind w:firstLine="480"/>
        <w:rPr>
          <w:rFonts w:ascii="宋体" w:hAnsi="宋体" w:cs="宋体"/>
          <w:color w:val="auto"/>
          <w:highlight w:val="none"/>
        </w:rPr>
      </w:pPr>
      <w:r>
        <w:rPr>
          <w:rFonts w:hint="eastAsia" w:ascii="宋体" w:hAnsi="宋体" w:cs="宋体"/>
          <w:color w:val="auto"/>
          <w:highlight w:val="none"/>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AF1FFC1">
      <w:pPr>
        <w:pStyle w:val="14"/>
        <w:snapToGrid w:val="0"/>
        <w:spacing w:line="400" w:lineRule="exact"/>
        <w:rPr>
          <w:rFonts w:hAnsi="宋体" w:cs="宋体"/>
          <w:color w:val="auto"/>
          <w:highlight w:val="none"/>
        </w:rPr>
      </w:pPr>
    </w:p>
    <w:p w14:paraId="10ED722C">
      <w:pPr>
        <w:pStyle w:val="4"/>
        <w:keepNext w:val="0"/>
        <w:keepLines w:val="0"/>
        <w:spacing w:line="360" w:lineRule="auto"/>
        <w:jc w:val="center"/>
        <w:rPr>
          <w:rFonts w:ascii="宋体" w:hAnsi="宋体" w:cs="宋体"/>
          <w:color w:val="auto"/>
          <w:highlight w:val="none"/>
        </w:rPr>
      </w:pPr>
      <w:bookmarkStart w:id="20" w:name="_Toc9831"/>
      <w:r>
        <w:rPr>
          <w:rFonts w:hint="eastAsia" w:ascii="宋体" w:hAnsi="宋体" w:cs="宋体"/>
          <w:color w:val="auto"/>
          <w:highlight w:val="none"/>
        </w:rPr>
        <w:t>九、其他事项</w:t>
      </w:r>
      <w:bookmarkEnd w:id="20"/>
    </w:p>
    <w:p w14:paraId="0041BA6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40.代理服务费</w:t>
      </w:r>
    </w:p>
    <w:p w14:paraId="7498F90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代理服务收费标准及缴费账户详见“投标人须知前附表”，投标人为联合体的，可以由联合体中的一方或者多方共同交纳代理服务费。</w:t>
      </w:r>
    </w:p>
    <w:p w14:paraId="2B95714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41. 需要补充的其他内容</w:t>
      </w:r>
    </w:p>
    <w:p w14:paraId="1F28B2C0">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41.1本招标文件解释规则详见“投标人须知前附表”。</w:t>
      </w:r>
    </w:p>
    <w:p w14:paraId="775E3B6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41.2 其他事项详见“投标人须知前附表”。</w:t>
      </w:r>
    </w:p>
    <w:p w14:paraId="751AAFF8">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不对其中涉及的货物的制造商和工程承建商作出要求的，享受本文件规定的中小企业扶持政策。</w:t>
      </w:r>
    </w:p>
    <w:p w14:paraId="1BDDA22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以联合体形式参加政府采购活动，联合体各方均为中小企业的，联合体视同中小企业。其中，联合体各方均为小微企业的，联合体视同小微企业。</w:t>
      </w:r>
    </w:p>
    <w:p w14:paraId="20A34D2D">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依据本文件规定享受扶持政策获得政府采购合同的，小微企业不得将合同分包给大中型企业，中型企业不得将合同分包给大型企业。</w:t>
      </w:r>
    </w:p>
    <w:p w14:paraId="33D46CF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 政采贷相关说明</w:t>
      </w:r>
    </w:p>
    <w:p w14:paraId="77664E92">
      <w:pPr>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为优化政府采购营商环境，缓解供应商资金难题，南宁市政府采购试行政府采购信用融资制度，中标供应商如有融资需求，可凭政府采购合同通过以下方式申请政府采购信用融资贷款：</w:t>
      </w:r>
    </w:p>
    <w:p w14:paraId="2AE1325F">
      <w:pPr>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（1）线下渠道：在“南宁市公共资源交易中心”官网</w:t>
      </w:r>
      <w:r>
        <w:rPr>
          <w:rFonts w:hint="eastAsia" w:ascii="宋体" w:hAnsi="宋体" w:cs="宋体"/>
          <w:color w:val="auto"/>
          <w:highlight w:val="none"/>
          <w:lang w:eastAsia="zh-CN"/>
        </w:rPr>
        <w:t>（</w:t>
      </w:r>
      <w:r>
        <w:rPr>
          <w:rFonts w:hint="eastAsia" w:ascii="宋体" w:hAnsi="宋体" w:cs="宋体"/>
          <w:color w:val="auto"/>
          <w:highlight w:val="none"/>
        </w:rPr>
        <w:t>网址</w:t>
      </w:r>
      <w:r>
        <w:rPr>
          <w:rFonts w:hint="eastAsia" w:ascii="宋体" w:hAnsi="宋体" w:cs="宋体"/>
          <w:color w:val="auto"/>
          <w:highlight w:val="none"/>
          <w:lang w:eastAsia="zh-CN"/>
        </w:rPr>
        <w:t>：</w:t>
      </w:r>
      <w:r>
        <w:rPr>
          <w:rFonts w:hint="eastAsia" w:ascii="宋体" w:hAnsi="宋体" w:cs="宋体"/>
          <w:color w:val="auto"/>
          <w:highlight w:val="none"/>
        </w:rPr>
        <w:t xml:space="preserve"> htp:/www..ggzy.rg.cn)“交易信息-政府采购-政府采购信用融资”中融资银行和南宁市企业融资服务中心专栏信息</w:t>
      </w:r>
      <w:r>
        <w:rPr>
          <w:rFonts w:hint="eastAsia" w:ascii="宋体" w:hAnsi="宋体" w:cs="宋体"/>
          <w:color w:val="auto"/>
          <w:highlight w:val="none"/>
          <w:lang w:eastAsia="zh-CN"/>
        </w:rPr>
        <w:t>申请</w:t>
      </w:r>
      <w:r>
        <w:rPr>
          <w:rFonts w:hint="eastAsia" w:ascii="宋体" w:hAnsi="宋体" w:cs="宋体"/>
          <w:color w:val="auto"/>
          <w:highlight w:val="none"/>
        </w:rPr>
        <w:t>政府采购信用融资。</w:t>
      </w:r>
    </w:p>
    <w:p w14:paraId="1C563FC1">
      <w:pPr>
        <w:spacing w:line="360" w:lineRule="auto"/>
        <w:ind w:firstLine="420" w:firstLineChars="200"/>
        <w:jc w:val="left"/>
        <w:rPr>
          <w:rFonts w:hAnsi="宋体"/>
          <w:color w:val="auto"/>
          <w:highlight w:val="none"/>
        </w:rPr>
      </w:pPr>
      <w:r>
        <w:rPr>
          <w:rFonts w:hint="eastAsia" w:ascii="宋体" w:hAnsi="宋体" w:cs="宋体"/>
          <w:color w:val="auto"/>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cs="宋体"/>
          <w:color w:val="auto"/>
          <w:highlight w:val="none"/>
        </w:rPr>
        <w:br w:type="page"/>
      </w:r>
    </w:p>
    <w:p w14:paraId="33D88F67">
      <w:pPr>
        <w:pStyle w:val="14"/>
        <w:jc w:val="center"/>
        <w:outlineLvl w:val="0"/>
        <w:rPr>
          <w:rFonts w:ascii="Times New Roman" w:hAnsi="Times New Roman"/>
          <w:b/>
          <w:color w:val="auto"/>
          <w:sz w:val="36"/>
          <w:highlight w:val="none"/>
        </w:rPr>
      </w:pPr>
      <w:bookmarkStart w:id="21" w:name="_Toc29102"/>
      <w:r>
        <w:rPr>
          <w:rFonts w:hint="eastAsia" w:ascii="Times New Roman" w:hAnsi="Times New Roman"/>
          <w:b/>
          <w:color w:val="auto"/>
          <w:sz w:val="36"/>
          <w:highlight w:val="none"/>
        </w:rPr>
        <w:t>第四章</w:t>
      </w:r>
      <w:r>
        <w:rPr>
          <w:rFonts w:ascii="Times New Roman" w:hAnsi="Times New Roman"/>
          <w:b/>
          <w:color w:val="auto"/>
          <w:sz w:val="36"/>
          <w:highlight w:val="none"/>
        </w:rPr>
        <w:t xml:space="preserve">  </w:t>
      </w:r>
      <w:r>
        <w:rPr>
          <w:rFonts w:hint="eastAsia" w:ascii="Times New Roman" w:hAnsi="Times New Roman"/>
          <w:b/>
          <w:color w:val="auto"/>
          <w:sz w:val="36"/>
          <w:highlight w:val="none"/>
        </w:rPr>
        <w:t>评标方法及评分标准</w:t>
      </w:r>
      <w:bookmarkEnd w:id="21"/>
    </w:p>
    <w:p w14:paraId="1602366A">
      <w:pPr>
        <w:pStyle w:val="14"/>
        <w:jc w:val="center"/>
        <w:outlineLvl w:val="1"/>
        <w:rPr>
          <w:rFonts w:ascii="Times New Roman" w:hAnsi="Times New Roman"/>
          <w:b/>
          <w:bCs/>
          <w:color w:val="auto"/>
          <w:sz w:val="32"/>
          <w:szCs w:val="32"/>
          <w:highlight w:val="none"/>
        </w:rPr>
      </w:pPr>
      <w:bookmarkStart w:id="22" w:name="_Toc10280"/>
      <w:r>
        <w:rPr>
          <w:rFonts w:hint="eastAsia" w:ascii="Times New Roman" w:hAnsi="Times New Roman"/>
          <w:b/>
          <w:bCs/>
          <w:color w:val="auto"/>
          <w:sz w:val="32"/>
          <w:szCs w:val="32"/>
          <w:highlight w:val="none"/>
        </w:rPr>
        <w:t>第一节</w:t>
      </w:r>
      <w:r>
        <w:rPr>
          <w:rFonts w:ascii="Times New Roman" w:hAnsi="Times New Roman"/>
          <w:b/>
          <w:bCs/>
          <w:color w:val="auto"/>
          <w:sz w:val="32"/>
          <w:szCs w:val="32"/>
          <w:highlight w:val="none"/>
        </w:rPr>
        <w:t xml:space="preserve"> </w:t>
      </w:r>
      <w:r>
        <w:rPr>
          <w:rFonts w:hint="eastAsia" w:ascii="Times New Roman" w:hAnsi="Times New Roman"/>
          <w:b/>
          <w:bCs/>
          <w:color w:val="auto"/>
          <w:sz w:val="32"/>
          <w:szCs w:val="32"/>
          <w:highlight w:val="none"/>
        </w:rPr>
        <w:t>评标方法</w:t>
      </w:r>
      <w:bookmarkEnd w:id="22"/>
    </w:p>
    <w:p w14:paraId="6DEE4BBC">
      <w:pPr>
        <w:pStyle w:val="14"/>
        <w:tabs>
          <w:tab w:val="left" w:pos="2472"/>
        </w:tabs>
        <w:spacing w:line="460" w:lineRule="exact"/>
        <w:ind w:firstLine="420" w:firstLineChars="200"/>
        <w:rPr>
          <w:rFonts w:hAnsi="宋体"/>
          <w:color w:val="auto"/>
          <w:highlight w:val="none"/>
        </w:rPr>
      </w:pPr>
      <w:r>
        <w:rPr>
          <w:rFonts w:hint="eastAsia" w:hAnsi="宋体" w:cs="宋体"/>
          <w:color w:val="auto"/>
          <w:szCs w:val="21"/>
          <w:highlight w:val="none"/>
        </w:rPr>
        <w:t>本项目采用</w:t>
      </w:r>
      <w:r>
        <w:rPr>
          <w:rFonts w:hint="eastAsia" w:hAnsi="宋体" w:cs="宋体"/>
          <w:color w:val="auto"/>
          <w:szCs w:val="21"/>
          <w:highlight w:val="none"/>
          <w:u w:val="single"/>
        </w:rPr>
        <w:t xml:space="preserve"> 以下勾选的方式</w:t>
      </w:r>
      <w:r>
        <w:rPr>
          <w:rFonts w:hint="eastAsia" w:hAnsi="宋体" w:cs="宋体"/>
          <w:color w:val="auto"/>
          <w:szCs w:val="21"/>
          <w:highlight w:val="none"/>
        </w:rPr>
        <w:t>进行评审。</w:t>
      </w:r>
    </w:p>
    <w:p w14:paraId="69DC5338">
      <w:pPr>
        <w:autoSpaceDE w:val="0"/>
        <w:autoSpaceDN w:val="0"/>
        <w:adjustRightInd w:val="0"/>
        <w:spacing w:line="440" w:lineRule="exact"/>
        <w:ind w:firstLine="420" w:firstLineChars="200"/>
        <w:rPr>
          <w:rFonts w:ascii="宋体" w:hAnsi="宋体"/>
          <w:color w:val="auto"/>
          <w:sz w:val="24"/>
          <w:highlight w:val="none"/>
        </w:rPr>
      </w:pPr>
      <w:r>
        <w:rPr>
          <w:rFonts w:hint="eastAsia" w:hAnsi="宋体"/>
          <w:color w:val="auto"/>
          <w:highlight w:val="none"/>
        </w:rPr>
        <w:t>☑综合评分法，</w:t>
      </w:r>
      <w:r>
        <w:rPr>
          <w:rFonts w:hint="eastAsia" w:ascii="宋体" w:hAnsi="宋体"/>
          <w:color w:val="auto"/>
          <w:szCs w:val="20"/>
          <w:highlight w:val="none"/>
        </w:rPr>
        <w:t>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w:t>
      </w:r>
      <w:r>
        <w:rPr>
          <w:rFonts w:hint="eastAsia" w:ascii="宋体" w:hAnsi="宋体"/>
          <w:color w:val="auto"/>
          <w:szCs w:val="20"/>
          <w:highlight w:val="none"/>
          <w:lang w:eastAsia="zh-CN"/>
        </w:rPr>
        <w:t>，</w:t>
      </w:r>
      <w:r>
        <w:rPr>
          <w:rFonts w:hint="eastAsia" w:ascii="宋体" w:hAnsi="宋体"/>
          <w:color w:val="auto"/>
          <w:szCs w:val="20"/>
          <w:highlight w:val="none"/>
        </w:rPr>
        <w:t xml:space="preserve">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44718926">
      <w:pPr>
        <w:pStyle w:val="14"/>
        <w:spacing w:line="360" w:lineRule="auto"/>
        <w:ind w:firstLine="420"/>
        <w:rPr>
          <w:rFonts w:hAnsi="宋体"/>
          <w:color w:val="auto"/>
          <w:highlight w:val="none"/>
        </w:rPr>
      </w:pPr>
    </w:p>
    <w:p w14:paraId="52A74FAB">
      <w:pPr>
        <w:pStyle w:val="14"/>
        <w:tabs>
          <w:tab w:val="left" w:pos="2472"/>
        </w:tabs>
        <w:spacing w:line="460" w:lineRule="exact"/>
        <w:jc w:val="center"/>
        <w:outlineLvl w:val="1"/>
        <w:rPr>
          <w:rFonts w:ascii="Times New Roman" w:hAnsi="Times New Roman"/>
          <w:b/>
          <w:bCs/>
          <w:color w:val="auto"/>
          <w:sz w:val="32"/>
          <w:szCs w:val="32"/>
          <w:highlight w:val="none"/>
        </w:rPr>
      </w:pPr>
      <w:bookmarkStart w:id="23" w:name="_Toc12982"/>
      <w:r>
        <w:rPr>
          <w:rFonts w:hint="eastAsia" w:ascii="Times New Roman" w:hAnsi="Times New Roman"/>
          <w:b/>
          <w:bCs/>
          <w:color w:val="auto"/>
          <w:sz w:val="32"/>
          <w:szCs w:val="32"/>
          <w:highlight w:val="none"/>
        </w:rPr>
        <w:t>第二节</w:t>
      </w:r>
      <w:r>
        <w:rPr>
          <w:rFonts w:ascii="Times New Roman" w:hAnsi="Times New Roman"/>
          <w:b/>
          <w:bCs/>
          <w:color w:val="auto"/>
          <w:sz w:val="32"/>
          <w:szCs w:val="32"/>
          <w:highlight w:val="none"/>
        </w:rPr>
        <w:t xml:space="preserve"> </w:t>
      </w:r>
      <w:r>
        <w:rPr>
          <w:rFonts w:hint="eastAsia" w:ascii="Times New Roman" w:hAnsi="Times New Roman"/>
          <w:b/>
          <w:bCs/>
          <w:color w:val="auto"/>
          <w:sz w:val="32"/>
          <w:szCs w:val="32"/>
          <w:highlight w:val="none"/>
        </w:rPr>
        <w:t>评标程序</w:t>
      </w:r>
      <w:bookmarkEnd w:id="23"/>
    </w:p>
    <w:p w14:paraId="77A83D4B">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1.符合性审查</w:t>
      </w:r>
    </w:p>
    <w:p w14:paraId="0C444ED9">
      <w:pPr>
        <w:spacing w:line="360" w:lineRule="auto"/>
        <w:ind w:firstLine="420" w:firstLineChars="200"/>
        <w:rPr>
          <w:rFonts w:hAnsi="宋体"/>
          <w:color w:val="auto"/>
          <w:highlight w:val="none"/>
        </w:rPr>
      </w:pPr>
      <w:r>
        <w:rPr>
          <w:rFonts w:hint="eastAsia" w:hAnsi="宋体"/>
          <w:color w:val="auto"/>
          <w:highlight w:val="none"/>
        </w:rPr>
        <w:t>评标委员会应当对符合资格的投标人的投标文件进行投标报价、商务、技术等实质性内容符合性审查，以确定其是否满足招标文件的实质性要求。</w:t>
      </w:r>
    </w:p>
    <w:p w14:paraId="3391A430">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2.符合性审查不通过而导致投标无效的情形</w:t>
      </w:r>
    </w:p>
    <w:p w14:paraId="7554989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投标人的投标文件中存在对招标文件的任何实质性要求和条件的负偏离，将被视为投标无效。</w:t>
      </w:r>
    </w:p>
    <w:p w14:paraId="496F63F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2.1在报价评审时，如发现下列情形之一的，将被视为投标无效：</w:t>
      </w:r>
    </w:p>
    <w:p w14:paraId="515B366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（1）投标文件未提供“投标人须知前附表”第13.1条规定中“必须提供”的文件资料的</w:t>
      </w:r>
      <w:r>
        <w:rPr>
          <w:rFonts w:hint="eastAsia" w:ascii="宋体" w:hAnsi="宋体"/>
          <w:color w:val="auto"/>
          <w:szCs w:val="21"/>
          <w:highlight w:val="none"/>
          <w:lang w:eastAsia="zh-CN"/>
        </w:rPr>
        <w:t>；</w:t>
      </w:r>
    </w:p>
    <w:p w14:paraId="3343CDD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（2）未采用人民币报价或者未按照招标文件标明的币种报价的；</w:t>
      </w:r>
    </w:p>
    <w:p w14:paraId="4B3B72B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（3）报价超出招标文件规定最高限价，或者超出采购预算金额（包括分项预算）的；</w:t>
      </w:r>
    </w:p>
    <w:p w14:paraId="42AC9B4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72CD4FC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（5）修正后的报价，投标人不确认的；</w:t>
      </w:r>
    </w:p>
    <w:p w14:paraId="497B4BF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（6）投标人属于本章第5条第（2）项情形的。</w:t>
      </w:r>
    </w:p>
    <w:p w14:paraId="1A1EB43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2.2在商务评审时，如发现下列情形之一的，将被视为投标无效：</w:t>
      </w:r>
    </w:p>
    <w:p w14:paraId="26F4D8F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（1）投标文件未按招标文件要求签署、盖章的；</w:t>
      </w:r>
    </w:p>
    <w:p w14:paraId="1A33F83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（2）委托代理人未能出具有效身份证明或者出具的身份证明与授权委托书中的信息不符的； </w:t>
      </w:r>
    </w:p>
    <w:p w14:paraId="56C5F4D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（3）投标文件未提供“投标人须知前附表”第13.1条规定中“必须提供”或者“委托时必须提供”的文件资料的</w:t>
      </w:r>
      <w:r>
        <w:rPr>
          <w:rFonts w:hint="eastAsia" w:ascii="宋体" w:hAnsi="宋体"/>
          <w:color w:val="auto"/>
          <w:szCs w:val="21"/>
          <w:highlight w:val="none"/>
          <w:lang w:eastAsia="zh-CN"/>
        </w:rPr>
        <w:t>；</w:t>
      </w:r>
    </w:p>
    <w:p w14:paraId="034F22B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（4）投标有效期、项目完成时间（交货时间、服务完成时间或者服务期等）、质保期、售后服务等招标文件中标“▲”的商务条款发生负偏离的；</w:t>
      </w:r>
    </w:p>
    <w:p w14:paraId="0DF49AC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（5）商务条款评审允许负偏离的条款数超过“投标人须知前附表”规定项数的。</w:t>
      </w:r>
    </w:p>
    <w:p w14:paraId="7BE3AB2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（6）投标文件的实质性内容未使用中文表述、使用计量单位不符合招标文件要求的；</w:t>
      </w:r>
    </w:p>
    <w:p w14:paraId="6828D6B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（7）投标文件中的文件资料因填写不齐全或者内容虚假或者出现其他情形而导致被评标委员会认定无效的；</w:t>
      </w:r>
    </w:p>
    <w:p w14:paraId="01C33B6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（8）投标文件含有采购人不能接受的附加条件的；</w:t>
      </w:r>
    </w:p>
    <w:p w14:paraId="39CB768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（9）未响应招标文件实质性要求的；</w:t>
      </w:r>
    </w:p>
    <w:p w14:paraId="4D8DE54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（10）属于投标人须知正文第9.2条情形的；</w:t>
      </w:r>
    </w:p>
    <w:p w14:paraId="57A2421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（11）法律、法规和招标文件规定的其他无效情形。</w:t>
      </w:r>
    </w:p>
    <w:p w14:paraId="06CE5004">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2.3在技术评审时，如发现下列情形之一的，将被视为投标无效：</w:t>
      </w:r>
    </w:p>
    <w:p w14:paraId="33E04CE5">
      <w:pPr>
        <w:spacing w:line="360" w:lineRule="auto"/>
        <w:ind w:firstLine="420" w:firstLineChars="200"/>
        <w:rPr>
          <w:rFonts w:hAnsi="宋体"/>
          <w:color w:val="auto"/>
          <w:szCs w:val="21"/>
          <w:highlight w:val="none"/>
        </w:rPr>
      </w:pPr>
      <w:r>
        <w:rPr>
          <w:rFonts w:hint="eastAsia" w:hAnsi="宋体"/>
          <w:color w:val="auto"/>
          <w:szCs w:val="21"/>
          <w:highlight w:val="none"/>
        </w:rPr>
        <w:t>（</w:t>
      </w:r>
      <w:r>
        <w:rPr>
          <w:rFonts w:hAnsi="宋体"/>
          <w:color w:val="auto"/>
          <w:szCs w:val="21"/>
          <w:highlight w:val="none"/>
        </w:rPr>
        <w:t>1</w:t>
      </w:r>
      <w:r>
        <w:rPr>
          <w:rFonts w:hint="eastAsia" w:hAnsi="宋体"/>
          <w:color w:val="auto"/>
          <w:szCs w:val="21"/>
          <w:highlight w:val="none"/>
        </w:rPr>
        <w:t>）不满足招标文件要求的服务内容、技术要求、安全、质量标准，或者与招标文件中标“▲”的技术需求发生负偏离的；</w:t>
      </w:r>
    </w:p>
    <w:p w14:paraId="3EF2C3CF">
      <w:pPr>
        <w:spacing w:line="360" w:lineRule="auto"/>
        <w:ind w:firstLine="420" w:firstLineChars="200"/>
        <w:rPr>
          <w:rFonts w:hAnsi="宋体"/>
          <w:color w:val="auto"/>
          <w:szCs w:val="21"/>
          <w:highlight w:val="none"/>
        </w:rPr>
      </w:pPr>
      <w:r>
        <w:rPr>
          <w:rFonts w:hint="eastAsia" w:hAnsi="宋体"/>
          <w:color w:val="auto"/>
          <w:szCs w:val="21"/>
          <w:highlight w:val="none"/>
        </w:rPr>
        <w:t>（</w:t>
      </w:r>
      <w:r>
        <w:rPr>
          <w:rFonts w:hAnsi="宋体"/>
          <w:color w:val="auto"/>
          <w:szCs w:val="21"/>
          <w:highlight w:val="none"/>
        </w:rPr>
        <w:t>2</w:t>
      </w:r>
      <w:r>
        <w:rPr>
          <w:rFonts w:hint="eastAsia" w:hAnsi="宋体"/>
          <w:color w:val="auto"/>
          <w:szCs w:val="21"/>
          <w:highlight w:val="none"/>
        </w:rPr>
        <w:t>）技术需求评审允许负偏离的条款数超过“投标人须知前附表”规定项数的；</w:t>
      </w:r>
    </w:p>
    <w:p w14:paraId="024EB525">
      <w:pPr>
        <w:spacing w:line="360" w:lineRule="auto"/>
        <w:ind w:firstLine="420" w:firstLineChars="200"/>
        <w:rPr>
          <w:rFonts w:hAnsi="宋体"/>
          <w:color w:val="auto"/>
          <w:szCs w:val="21"/>
          <w:highlight w:val="none"/>
        </w:rPr>
      </w:pPr>
      <w:r>
        <w:rPr>
          <w:rFonts w:hint="eastAsia" w:hAnsi="宋体"/>
          <w:color w:val="auto"/>
          <w:szCs w:val="21"/>
          <w:highlight w:val="none"/>
        </w:rPr>
        <w:t>（</w:t>
      </w:r>
      <w:r>
        <w:rPr>
          <w:rFonts w:hAnsi="宋体"/>
          <w:color w:val="auto"/>
          <w:szCs w:val="21"/>
          <w:highlight w:val="none"/>
        </w:rPr>
        <w:t>3</w:t>
      </w:r>
      <w:r>
        <w:rPr>
          <w:rFonts w:hint="eastAsia" w:hAnsi="宋体"/>
          <w:color w:val="auto"/>
          <w:szCs w:val="21"/>
          <w:highlight w:val="none"/>
        </w:rPr>
        <w:t>）投标文件未提供“投标人须知前附表”第</w:t>
      </w:r>
      <w:r>
        <w:rPr>
          <w:rFonts w:hAnsi="宋体"/>
          <w:color w:val="auto"/>
          <w:szCs w:val="21"/>
          <w:highlight w:val="none"/>
        </w:rPr>
        <w:t>13.1</w:t>
      </w:r>
      <w:r>
        <w:rPr>
          <w:rFonts w:hint="eastAsia" w:hAnsi="宋体"/>
          <w:color w:val="auto"/>
          <w:szCs w:val="21"/>
          <w:highlight w:val="none"/>
        </w:rPr>
        <w:t>条规定中“必须提供”的文件资料的</w:t>
      </w:r>
      <w:r>
        <w:rPr>
          <w:rFonts w:hint="eastAsia" w:hAnsi="宋体"/>
          <w:color w:val="auto"/>
          <w:szCs w:val="21"/>
          <w:highlight w:val="none"/>
          <w:lang w:eastAsia="zh-CN"/>
        </w:rPr>
        <w:t>；</w:t>
      </w:r>
    </w:p>
    <w:p w14:paraId="2087F0DC">
      <w:pPr>
        <w:spacing w:line="360" w:lineRule="auto"/>
        <w:ind w:firstLine="420" w:firstLineChars="200"/>
        <w:rPr>
          <w:rFonts w:hAnsi="宋体"/>
          <w:color w:val="auto"/>
          <w:szCs w:val="21"/>
          <w:highlight w:val="none"/>
        </w:rPr>
      </w:pPr>
      <w:r>
        <w:rPr>
          <w:rFonts w:hint="eastAsia" w:hAnsi="宋体"/>
          <w:color w:val="auto"/>
          <w:szCs w:val="21"/>
          <w:highlight w:val="none"/>
        </w:rPr>
        <w:t>（</w:t>
      </w:r>
      <w:r>
        <w:rPr>
          <w:rFonts w:hAnsi="宋体"/>
          <w:color w:val="auto"/>
          <w:szCs w:val="21"/>
          <w:highlight w:val="none"/>
        </w:rPr>
        <w:t>4</w:t>
      </w:r>
      <w:r>
        <w:rPr>
          <w:rFonts w:hint="eastAsia" w:hAnsi="宋体"/>
          <w:color w:val="auto"/>
          <w:szCs w:val="21"/>
          <w:highlight w:val="none"/>
        </w:rPr>
        <w:t>）虚假投标，或者出现其他情形而导致被评标委员会认定无效的；</w:t>
      </w:r>
    </w:p>
    <w:p w14:paraId="1A2FE60B">
      <w:pPr>
        <w:spacing w:line="360" w:lineRule="auto"/>
        <w:ind w:firstLine="420" w:firstLineChars="200"/>
        <w:rPr>
          <w:rFonts w:hAnsi="宋体"/>
          <w:color w:val="auto"/>
          <w:szCs w:val="21"/>
          <w:highlight w:val="none"/>
        </w:rPr>
      </w:pPr>
      <w:r>
        <w:rPr>
          <w:rFonts w:hint="eastAsia" w:hAnsi="宋体"/>
          <w:color w:val="auto"/>
          <w:szCs w:val="21"/>
          <w:highlight w:val="none"/>
        </w:rPr>
        <w:t>（</w:t>
      </w:r>
      <w:r>
        <w:rPr>
          <w:rFonts w:hAnsi="宋体"/>
          <w:color w:val="auto"/>
          <w:szCs w:val="21"/>
          <w:highlight w:val="none"/>
        </w:rPr>
        <w:t>5</w:t>
      </w:r>
      <w:r>
        <w:rPr>
          <w:rFonts w:hint="eastAsia" w:hAnsi="宋体"/>
          <w:color w:val="auto"/>
          <w:szCs w:val="21"/>
          <w:highlight w:val="none"/>
        </w:rPr>
        <w:t>）如招标文件需要提供技术方案的，投标技术方案不明确，招标文件未允许但存在一个或者一个以上备选（替代）投标方案的。</w:t>
      </w:r>
    </w:p>
    <w:p w14:paraId="3A98EE5E">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3.澄清补正、说明或者补正</w:t>
      </w:r>
    </w:p>
    <w:p w14:paraId="17FD52BC">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6C5BADD1">
      <w:pPr>
        <w:spacing w:line="360" w:lineRule="auto"/>
        <w:ind w:firstLine="420" w:firstLineChars="200"/>
        <w:rPr>
          <w:rFonts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4281B9F">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4.投标文件修正</w:t>
      </w:r>
    </w:p>
    <w:p w14:paraId="61B85D6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4.1投标文件报价出现前后不一致的，按照下列规定修正： </w:t>
      </w:r>
    </w:p>
    <w:p w14:paraId="78E5276A">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）报价文件中“开标一览表”内容与投标文件中相应内容不一致的，以“开标一览表”为准；</w:t>
      </w:r>
    </w:p>
    <w:p w14:paraId="0A260147">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）大写金额和小写金额不一致的，以大写金额为准；</w:t>
      </w:r>
    </w:p>
    <w:p w14:paraId="6F0BA654">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）单价金额小数点或者百分比有明显错位的，以开标一览表的总价为准，并修改单价；</w:t>
      </w:r>
    </w:p>
    <w:p w14:paraId="2CF8E4CB">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）总价金额与按单价汇总金额不一致的，以单价金额计算结果为准。</w:t>
      </w:r>
    </w:p>
    <w:p w14:paraId="636E1862">
      <w:pPr>
        <w:spacing w:line="360" w:lineRule="auto"/>
        <w:ind w:firstLine="420" w:firstLineChars="200"/>
        <w:rPr>
          <w:rFonts w:hAnsi="宋体"/>
          <w:color w:val="auto"/>
          <w:highlight w:val="none"/>
        </w:rPr>
      </w:pPr>
      <w:r>
        <w:rPr>
          <w:rFonts w:hint="eastAsia" w:hAnsi="宋体"/>
          <w:color w:val="auto"/>
          <w:highlight w:val="none"/>
        </w:rPr>
        <w:t>同时出现两种以上不一致的，按照以上（</w:t>
      </w:r>
      <w:r>
        <w:rPr>
          <w:rFonts w:hAnsi="宋体"/>
          <w:color w:val="auto"/>
          <w:highlight w:val="none"/>
        </w:rPr>
        <w:t>1</w:t>
      </w:r>
      <w:r>
        <w:rPr>
          <w:rFonts w:hint="eastAsia" w:hAnsi="宋体"/>
          <w:color w:val="auto"/>
          <w:highlight w:val="none"/>
        </w:rPr>
        <w:t>）</w:t>
      </w:r>
      <w:r>
        <w:rPr>
          <w:rFonts w:hAnsi="宋体"/>
          <w:color w:val="auto"/>
          <w:highlight w:val="none"/>
        </w:rPr>
        <w:t>-</w:t>
      </w:r>
      <w:r>
        <w:rPr>
          <w:rFonts w:hint="eastAsia" w:hAnsi="宋体"/>
          <w:color w:val="auto"/>
          <w:highlight w:val="none"/>
        </w:rPr>
        <w:t>（</w:t>
      </w:r>
      <w:r>
        <w:rPr>
          <w:rFonts w:hAnsi="宋体"/>
          <w:color w:val="auto"/>
          <w:highlight w:val="none"/>
        </w:rPr>
        <w:t>4</w:t>
      </w:r>
      <w:r>
        <w:rPr>
          <w:rFonts w:hint="eastAsia" w:hAnsi="宋体"/>
          <w:color w:val="auto"/>
          <w:highlight w:val="none"/>
        </w:rPr>
        <w:t>）规定的顺序修正。修正后的报价经投标人确认后产生约束力，投标人不确认的，其投标无效。</w:t>
      </w:r>
    </w:p>
    <w:p w14:paraId="11AA633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4.2经投标人确认修正后的报价若超过采购预算金额或者最高限价，投标人的投标文件作无效投标处理。</w:t>
      </w:r>
    </w:p>
    <w:p w14:paraId="50ADC36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4.3经投标人确认修正后的报价作为签订合同的依据，并以此报价计算价格分。</w:t>
      </w:r>
    </w:p>
    <w:p w14:paraId="352DE84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5.比较与评价</w:t>
      </w:r>
    </w:p>
    <w:p w14:paraId="3D351641">
      <w:pPr>
        <w:spacing w:line="360" w:lineRule="auto"/>
        <w:ind w:firstLine="420" w:firstLineChars="200"/>
        <w:rPr>
          <w:rFonts w:hAnsi="宋体"/>
          <w:color w:val="auto"/>
          <w:highlight w:val="none"/>
        </w:rPr>
      </w:pPr>
      <w:r>
        <w:rPr>
          <w:rFonts w:hAnsi="宋体"/>
          <w:color w:val="auto"/>
          <w:highlight w:val="none"/>
        </w:rPr>
        <w:t>5.1</w:t>
      </w:r>
      <w:r>
        <w:rPr>
          <w:rFonts w:hint="eastAsia" w:hAnsi="宋体"/>
          <w:color w:val="auto"/>
          <w:highlight w:val="none"/>
        </w:rPr>
        <w:t>评标委员会按照招标文件中规定的评标方法和评标标准，对符合性审查合格的投标文件进行商务和技术评估，综合比较与评价。</w:t>
      </w:r>
    </w:p>
    <w:p w14:paraId="38A39E5F">
      <w:pPr>
        <w:spacing w:line="360" w:lineRule="auto"/>
        <w:ind w:firstLine="420" w:firstLineChars="200"/>
        <w:rPr>
          <w:rFonts w:hAnsi="宋体"/>
          <w:color w:val="auto"/>
          <w:highlight w:val="none"/>
        </w:rPr>
      </w:pPr>
      <w:r>
        <w:rPr>
          <w:rFonts w:hAnsi="宋体"/>
          <w:color w:val="auto"/>
          <w:highlight w:val="none"/>
        </w:rPr>
        <w:t>5.2</w:t>
      </w:r>
      <w:r>
        <w:rPr>
          <w:rFonts w:hint="eastAsia" w:hAnsi="宋体"/>
          <w:color w:val="auto"/>
          <w:highlight w:val="none"/>
        </w:rPr>
        <w:t>评标委员会独立对每个投标人的投标文件进行评价，并汇总每个投标人的得分。</w:t>
      </w:r>
    </w:p>
    <w:p w14:paraId="77FF656B">
      <w:pPr>
        <w:widowControl/>
        <w:numPr>
          <w:ilvl w:val="0"/>
          <w:numId w:val="2"/>
        </w:numPr>
        <w:spacing w:after="150" w:line="480" w:lineRule="auto"/>
        <w:ind w:firstLine="420" w:firstLineChars="200"/>
        <w:jc w:val="left"/>
        <w:rPr>
          <w:rFonts w:hAnsi="宋体"/>
          <w:color w:val="auto"/>
          <w:highlight w:val="none"/>
        </w:rPr>
      </w:pPr>
      <w:r>
        <w:rPr>
          <w:rFonts w:hint="eastAsia" w:hAnsi="宋体"/>
          <w:color w:val="auto"/>
          <w:highlight w:val="none"/>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1BE2C1F2">
      <w:pPr>
        <w:widowControl/>
        <w:numPr>
          <w:ilvl w:val="0"/>
          <w:numId w:val="2"/>
        </w:numPr>
        <w:spacing w:after="150" w:line="480" w:lineRule="auto"/>
        <w:ind w:firstLine="420" w:firstLineChars="200"/>
        <w:jc w:val="left"/>
        <w:rPr>
          <w:rFonts w:hAnsi="宋体"/>
          <w:color w:val="auto"/>
          <w:highlight w:val="none"/>
        </w:rPr>
      </w:pPr>
      <w:r>
        <w:rPr>
          <w:rFonts w:hint="eastAsia" w:hAnsi="宋体"/>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65370EFE">
      <w:pPr>
        <w:spacing w:line="360" w:lineRule="auto"/>
        <w:ind w:firstLine="420" w:firstLineChars="200"/>
        <w:rPr>
          <w:rFonts w:hAnsi="宋体"/>
          <w:color w:val="auto"/>
          <w:highlight w:val="none"/>
        </w:rPr>
      </w:pPr>
      <w:r>
        <w:rPr>
          <w:rFonts w:hAnsi="宋体"/>
          <w:color w:val="auto"/>
          <w:highlight w:val="none"/>
        </w:rPr>
        <w:t>5.3</w:t>
      </w:r>
      <w:r>
        <w:rPr>
          <w:rFonts w:hint="eastAsia" w:hAnsi="宋体"/>
          <w:color w:val="auto"/>
          <w:highlight w:val="none"/>
        </w:rPr>
        <w:t>评标委员会按照招标文件中规定的评标方法和标准计算各投标人的报价得分。在计算过程中，不得去掉最高报价或者最低报价。</w:t>
      </w:r>
    </w:p>
    <w:p w14:paraId="0C471B51">
      <w:pPr>
        <w:spacing w:line="360" w:lineRule="auto"/>
        <w:ind w:firstLine="420" w:firstLineChars="200"/>
        <w:rPr>
          <w:rFonts w:hAnsi="宋体"/>
          <w:color w:val="auto"/>
          <w:highlight w:val="none"/>
        </w:rPr>
      </w:pPr>
      <w:r>
        <w:rPr>
          <w:rFonts w:hAnsi="宋体"/>
          <w:color w:val="auto"/>
          <w:highlight w:val="none"/>
        </w:rPr>
        <w:t>5.4</w:t>
      </w:r>
      <w:r>
        <w:rPr>
          <w:rFonts w:hint="eastAsia" w:hAnsi="宋体"/>
          <w:color w:val="auto"/>
          <w:highlight w:val="none"/>
        </w:rPr>
        <w:t>各投标人的得分为所有评委的有效评分的算术平均数。</w:t>
      </w:r>
    </w:p>
    <w:p w14:paraId="1EEF9B44">
      <w:pPr>
        <w:spacing w:line="360" w:lineRule="auto"/>
        <w:ind w:firstLine="420" w:firstLineChars="200"/>
        <w:rPr>
          <w:rFonts w:hAnsi="宋体"/>
          <w:color w:val="auto"/>
          <w:highlight w:val="none"/>
        </w:rPr>
      </w:pPr>
      <w:r>
        <w:rPr>
          <w:rFonts w:hAnsi="宋体"/>
          <w:color w:val="auto"/>
          <w:highlight w:val="none"/>
        </w:rPr>
        <w:t>5.5</w:t>
      </w:r>
      <w:r>
        <w:rPr>
          <w:rFonts w:hint="eastAsia" w:hAnsi="宋体"/>
          <w:color w:val="auto"/>
          <w:highlight w:val="none"/>
        </w:rPr>
        <w:t>评标委员会按照招标文件中的规定推荐中标候选人。</w:t>
      </w:r>
    </w:p>
    <w:p w14:paraId="692432F4">
      <w:pPr>
        <w:spacing w:line="360" w:lineRule="auto"/>
        <w:ind w:firstLine="420" w:firstLineChars="200"/>
        <w:rPr>
          <w:rFonts w:hAnsi="宋体"/>
          <w:color w:val="auto"/>
          <w:highlight w:val="none"/>
        </w:rPr>
      </w:pPr>
      <w:r>
        <w:rPr>
          <w:rFonts w:hAnsi="宋体"/>
          <w:color w:val="auto"/>
          <w:highlight w:val="none"/>
        </w:rPr>
        <w:t>5.6</w:t>
      </w:r>
      <w:r>
        <w:rPr>
          <w:rFonts w:hint="eastAsia" w:hAnsi="宋体"/>
          <w:color w:val="auto"/>
          <w:highlight w:val="none"/>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w:t>
      </w:r>
      <w:r>
        <w:rPr>
          <w:rFonts w:hint="eastAsia" w:hAnsi="宋体"/>
          <w:color w:val="auto"/>
          <w:highlight w:val="none"/>
          <w:lang w:eastAsia="zh-CN"/>
        </w:rPr>
        <w:t>原则作出结论</w:t>
      </w:r>
      <w:r>
        <w:rPr>
          <w:rFonts w:hint="eastAsia" w:hAnsi="宋体"/>
          <w:color w:val="auto"/>
          <w:highlight w:val="none"/>
        </w:rPr>
        <w:t>。持不同意见的评标委员会应当在评标报告上签署不同意见及理由，否则视为同意评标报告。</w:t>
      </w:r>
    </w:p>
    <w:p w14:paraId="2CC39DC6">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6.评审复核</w:t>
      </w:r>
    </w:p>
    <w:p w14:paraId="6788745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6.1评标报告签署前，评标委员会要对评审结果进行复核，复核意见要体现在评标报告中。</w:t>
      </w:r>
    </w:p>
    <w:p w14:paraId="78E33AE3">
      <w:pPr>
        <w:widowControl/>
        <w:spacing w:line="560" w:lineRule="exact"/>
        <w:ind w:firstLine="420" w:firstLineChars="200"/>
        <w:jc w:val="left"/>
        <w:textAlignment w:val="baseline"/>
        <w:rPr>
          <w:rFonts w:hAnsi="宋体"/>
          <w:color w:val="auto"/>
          <w:highlight w:val="none"/>
        </w:rPr>
      </w:pPr>
      <w:r>
        <w:rPr>
          <w:rFonts w:hAnsi="宋体"/>
          <w:color w:val="auto"/>
          <w:highlight w:val="none"/>
        </w:rPr>
        <w:t>6.2</w:t>
      </w:r>
      <w:r>
        <w:rPr>
          <w:rFonts w:hint="eastAsia" w:hAnsi="宋体"/>
          <w:color w:val="auto"/>
          <w:highlight w:val="none"/>
        </w:rPr>
        <w:t>评标结果汇总完成后，除下列情形外，任何人不得修改评标结果：</w:t>
      </w:r>
    </w:p>
    <w:p w14:paraId="40571325">
      <w:pPr>
        <w:widowControl/>
        <w:spacing w:line="560" w:lineRule="exact"/>
        <w:jc w:val="left"/>
        <w:textAlignment w:val="baseline"/>
        <w:rPr>
          <w:rFonts w:hAnsi="宋体"/>
          <w:color w:val="auto"/>
          <w:highlight w:val="none"/>
        </w:rPr>
      </w:pPr>
      <w:r>
        <w:rPr>
          <w:rFonts w:hint="eastAsia" w:hAnsi="宋体"/>
          <w:color w:val="auto"/>
          <w:highlight w:val="none"/>
        </w:rPr>
        <w:t>　　（一）分值汇总计算错误的；</w:t>
      </w:r>
    </w:p>
    <w:p w14:paraId="678655DF">
      <w:pPr>
        <w:widowControl/>
        <w:spacing w:line="560" w:lineRule="exact"/>
        <w:jc w:val="left"/>
        <w:textAlignment w:val="baseline"/>
        <w:rPr>
          <w:rFonts w:hAnsi="宋体"/>
          <w:color w:val="auto"/>
          <w:highlight w:val="none"/>
        </w:rPr>
      </w:pPr>
      <w:r>
        <w:rPr>
          <w:rFonts w:hint="eastAsia" w:hAnsi="宋体"/>
          <w:color w:val="auto"/>
          <w:highlight w:val="none"/>
        </w:rPr>
        <w:t>　　（二）分项评分超出评分标准范围的；</w:t>
      </w:r>
    </w:p>
    <w:p w14:paraId="27992747">
      <w:pPr>
        <w:widowControl/>
        <w:spacing w:line="560" w:lineRule="exact"/>
        <w:jc w:val="left"/>
        <w:textAlignment w:val="baseline"/>
        <w:rPr>
          <w:rFonts w:hAnsi="宋体"/>
          <w:color w:val="auto"/>
          <w:highlight w:val="none"/>
        </w:rPr>
      </w:pPr>
      <w:r>
        <w:rPr>
          <w:rFonts w:hint="eastAsia" w:hAnsi="宋体"/>
          <w:color w:val="auto"/>
          <w:highlight w:val="none"/>
        </w:rPr>
        <w:t>　　（三）评标委员会成员对客观评审因素评分不一致的；</w:t>
      </w:r>
    </w:p>
    <w:p w14:paraId="39848B69">
      <w:pPr>
        <w:widowControl/>
        <w:spacing w:line="560" w:lineRule="exact"/>
        <w:jc w:val="left"/>
        <w:textAlignment w:val="baseline"/>
        <w:rPr>
          <w:rFonts w:hAnsi="宋体"/>
          <w:color w:val="auto"/>
          <w:highlight w:val="none"/>
        </w:rPr>
      </w:pPr>
      <w:r>
        <w:rPr>
          <w:rFonts w:hint="eastAsia" w:hAnsi="宋体"/>
          <w:color w:val="auto"/>
          <w:highlight w:val="none"/>
        </w:rPr>
        <w:t>　　（四）经评标委员会认定评分畸高、畸低的。</w:t>
      </w:r>
    </w:p>
    <w:p w14:paraId="2CE512F6">
      <w:pPr>
        <w:spacing w:line="360" w:lineRule="auto"/>
        <w:ind w:firstLine="420" w:firstLineChars="200"/>
        <w:rPr>
          <w:rFonts w:hAnsi="宋体"/>
          <w:color w:val="auto"/>
          <w:highlight w:val="none"/>
        </w:rPr>
      </w:pPr>
      <w:r>
        <w:rPr>
          <w:rFonts w:hint="eastAsia" w:hAnsi="宋体"/>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B153CB5">
      <w:pPr>
        <w:rPr>
          <w:color w:val="auto"/>
          <w:sz w:val="30"/>
          <w:szCs w:val="30"/>
          <w:highlight w:val="none"/>
        </w:rPr>
      </w:pPr>
      <w:r>
        <w:rPr>
          <w:rFonts w:hint="eastAsia"/>
          <w:color w:val="auto"/>
          <w:sz w:val="30"/>
          <w:szCs w:val="30"/>
          <w:highlight w:val="none"/>
        </w:rPr>
        <w:br w:type="page"/>
      </w:r>
    </w:p>
    <w:p w14:paraId="28C6E7B0">
      <w:pPr>
        <w:pStyle w:val="3"/>
        <w:jc w:val="center"/>
        <w:rPr>
          <w:b w:val="0"/>
          <w:color w:val="auto"/>
          <w:sz w:val="30"/>
          <w:szCs w:val="30"/>
          <w:highlight w:val="none"/>
        </w:rPr>
      </w:pPr>
      <w:bookmarkStart w:id="24" w:name="_Toc25670"/>
      <w:r>
        <w:rPr>
          <w:rFonts w:hint="eastAsia"/>
          <w:b w:val="0"/>
          <w:color w:val="auto"/>
          <w:sz w:val="30"/>
          <w:szCs w:val="30"/>
          <w:highlight w:val="none"/>
        </w:rPr>
        <w:t>第三节</w:t>
      </w:r>
      <w:r>
        <w:rPr>
          <w:b w:val="0"/>
          <w:color w:val="auto"/>
          <w:sz w:val="30"/>
          <w:szCs w:val="30"/>
          <w:highlight w:val="none"/>
        </w:rPr>
        <w:t xml:space="preserve"> </w:t>
      </w:r>
      <w:r>
        <w:rPr>
          <w:rFonts w:hint="eastAsia"/>
          <w:b w:val="0"/>
          <w:color w:val="auto"/>
          <w:sz w:val="30"/>
          <w:szCs w:val="30"/>
          <w:highlight w:val="none"/>
        </w:rPr>
        <w:t>评分标准</w:t>
      </w:r>
      <w:bookmarkEnd w:id="24"/>
    </w:p>
    <w:p w14:paraId="71B30F32">
      <w:pPr>
        <w:pStyle w:val="14"/>
        <w:ind w:firstLine="602" w:firstLineChars="200"/>
        <w:jc w:val="center"/>
        <w:rPr>
          <w:rFonts w:ascii="Times New Roman" w:hAnsi="Times New Roman"/>
          <w:b/>
          <w:color w:val="auto"/>
          <w:sz w:val="30"/>
          <w:szCs w:val="30"/>
          <w:highlight w:val="none"/>
        </w:rPr>
      </w:pPr>
      <w:r>
        <w:rPr>
          <w:rFonts w:hint="eastAsia" w:ascii="Times New Roman" w:hAnsi="Times New Roman"/>
          <w:b/>
          <w:color w:val="auto"/>
          <w:sz w:val="30"/>
          <w:szCs w:val="30"/>
          <w:highlight w:val="none"/>
        </w:rPr>
        <w:t>综合评分法</w:t>
      </w:r>
    </w:p>
    <w:p w14:paraId="7D5ADD35">
      <w:pPr>
        <w:pStyle w:val="14"/>
        <w:spacing w:line="360" w:lineRule="auto"/>
        <w:ind w:firstLine="420"/>
        <w:rPr>
          <w:rFonts w:hAnsi="宋体"/>
          <w:bCs/>
          <w:color w:val="auto"/>
          <w:highlight w:val="none"/>
        </w:rPr>
      </w:pPr>
      <w:bookmarkStart w:id="25" w:name="PO_3000001866_PM051"/>
      <w:r>
        <w:rPr>
          <w:rFonts w:hint="eastAsia" w:hAnsi="宋体"/>
          <w:bCs/>
          <w:color w:val="auto"/>
          <w:highlight w:val="none"/>
        </w:rPr>
        <w:t>注：</w:t>
      </w:r>
    </w:p>
    <w:p w14:paraId="21E537C3">
      <w:pPr>
        <w:pStyle w:val="14"/>
        <w:spacing w:line="360" w:lineRule="auto"/>
        <w:ind w:firstLine="420"/>
        <w:rPr>
          <w:rFonts w:hAnsi="宋体"/>
          <w:bCs/>
          <w:color w:val="auto"/>
          <w:highlight w:val="none"/>
        </w:rPr>
      </w:pPr>
      <w:r>
        <w:rPr>
          <w:rFonts w:hint="eastAsia" w:hAnsi="宋体"/>
          <w:bCs/>
          <w:color w:val="auto"/>
          <w:highlight w:val="none"/>
          <w:lang w:eastAsia="zh-CN"/>
        </w:rPr>
        <w:t>1.</w:t>
      </w:r>
      <w:r>
        <w:rPr>
          <w:rFonts w:hint="eastAsia" w:hAnsi="宋体"/>
          <w:bCs/>
          <w:color w:val="auto"/>
          <w:highlight w:val="none"/>
        </w:rPr>
        <w:t>计分方法按四舍五入取至百分位。</w:t>
      </w:r>
      <w:bookmarkEnd w:id="25"/>
    </w:p>
    <w:tbl>
      <w:tblPr>
        <w:tblStyle w:val="35"/>
        <w:tblW w:w="100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7"/>
        <w:gridCol w:w="1600"/>
        <w:gridCol w:w="7124"/>
        <w:gridCol w:w="817"/>
      </w:tblGrid>
      <w:tr w14:paraId="3AD3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7" w:type="dxa"/>
            <w:vAlign w:val="center"/>
          </w:tcPr>
          <w:p w14:paraId="7198F0E7">
            <w:pPr>
              <w:widowControl/>
              <w:spacing w:line="420" w:lineRule="exact"/>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序号</w:t>
            </w:r>
          </w:p>
        </w:tc>
        <w:tc>
          <w:tcPr>
            <w:tcW w:w="1600" w:type="dxa"/>
            <w:vAlign w:val="center"/>
          </w:tcPr>
          <w:p w14:paraId="135ECF8C">
            <w:pPr>
              <w:widowControl/>
              <w:spacing w:line="420" w:lineRule="exact"/>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评审因素</w:t>
            </w:r>
          </w:p>
        </w:tc>
        <w:tc>
          <w:tcPr>
            <w:tcW w:w="7124" w:type="dxa"/>
            <w:vAlign w:val="center"/>
          </w:tcPr>
          <w:p w14:paraId="374CEAA1">
            <w:pPr>
              <w:widowControl/>
              <w:spacing w:line="420" w:lineRule="exact"/>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评审因素具体内容</w:t>
            </w:r>
          </w:p>
        </w:tc>
        <w:tc>
          <w:tcPr>
            <w:tcW w:w="817" w:type="dxa"/>
            <w:vAlign w:val="center"/>
          </w:tcPr>
          <w:p w14:paraId="1CD1E1E1">
            <w:pPr>
              <w:widowControl/>
              <w:spacing w:line="420" w:lineRule="exact"/>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分值</w:t>
            </w:r>
          </w:p>
        </w:tc>
      </w:tr>
      <w:tr w14:paraId="3B4F3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47" w:type="dxa"/>
            <w:vAlign w:val="center"/>
          </w:tcPr>
          <w:p w14:paraId="5591AB6C">
            <w:pPr>
              <w:widowControl/>
              <w:spacing w:line="42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1600" w:type="dxa"/>
            <w:vAlign w:val="center"/>
          </w:tcPr>
          <w:p w14:paraId="506A31AA">
            <w:pPr>
              <w:widowControl/>
              <w:spacing w:line="360" w:lineRule="auto"/>
              <w:jc w:val="center"/>
              <w:rPr>
                <w:rFonts w:eastAsia="仿宋_GB2312"/>
                <w:color w:val="auto"/>
                <w:sz w:val="21"/>
                <w:szCs w:val="21"/>
                <w:highlight w:val="none"/>
              </w:rPr>
            </w:pPr>
            <w:r>
              <w:rPr>
                <w:rFonts w:hint="eastAsia" w:ascii="宋体" w:hAnsi="宋体" w:cs="宋体"/>
                <w:bCs/>
                <w:color w:val="auto"/>
                <w:sz w:val="21"/>
                <w:szCs w:val="21"/>
                <w:highlight w:val="none"/>
              </w:rPr>
              <w:t>价格分</w:t>
            </w:r>
          </w:p>
        </w:tc>
        <w:tc>
          <w:tcPr>
            <w:tcW w:w="7124" w:type="dxa"/>
            <w:vAlign w:val="center"/>
          </w:tcPr>
          <w:p w14:paraId="15002206">
            <w:pPr>
              <w:spacing w:line="400" w:lineRule="exact"/>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（1）评标价为投标人的投标报价进行政策性扣除后的价格，评标价只是作为评标时使用。最终中标供应商的中标金额＝投标报价。</w:t>
            </w:r>
          </w:p>
          <w:p w14:paraId="4125FCCC">
            <w:pPr>
              <w:spacing w:line="400" w:lineRule="exact"/>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2）按照《政府采购促进中小企业发展管理办法》（财库〔2020〕46号）及《广西壮族自治区财政厅关于持续优化政府采购营商环境推动高质量发展的通知》（桂财采〔2024〕55号）规定，投标人在其投标文件中提供《中小企业声明函》，且服务全部由小微企业承接，对其最后报价给予20%的扣除。</w:t>
            </w:r>
          </w:p>
          <w:p w14:paraId="695FF5EC">
            <w:pPr>
              <w:spacing w:line="400" w:lineRule="exact"/>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216A5A71">
            <w:pPr>
              <w:spacing w:line="400" w:lineRule="exact"/>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81C769F">
            <w:pPr>
              <w:spacing w:line="400" w:lineRule="exact"/>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（5）政策性扣除计算方法。</w:t>
            </w:r>
          </w:p>
          <w:p w14:paraId="46FF75DF">
            <w:pPr>
              <w:spacing w:line="400" w:lineRule="exact"/>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在货物采购项目中，供应商所投标全部货物由小型或者微型企业制造；在服务采购项目中，服务由小微企业承接。对符合上述要求的投标人的投标报价给予20%的扣除，扣除后的价格为评标报价，即评标报价=投标报价×（1-20%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标价，即评标报价=投标报价×（1-4%）。除上述情况外，评标报价=投标报价。</w:t>
            </w:r>
          </w:p>
          <w:p w14:paraId="5159CA1F">
            <w:pPr>
              <w:spacing w:line="400" w:lineRule="exact"/>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（6）以进入综合评分环节的最低的评标报价为基准价，基准价报价得分为10分。</w:t>
            </w:r>
          </w:p>
          <w:p w14:paraId="7CABE67E">
            <w:pPr>
              <w:spacing w:line="400" w:lineRule="exact"/>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 xml:space="preserve">（7）价格分计算公式：        </w:t>
            </w:r>
          </w:p>
          <w:p w14:paraId="69B66ACE">
            <w:pPr>
              <w:spacing w:line="400" w:lineRule="exact"/>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 xml:space="preserve">某投标人价格分=基准价/某投标人评标报价金额×10分   </w:t>
            </w:r>
          </w:p>
        </w:tc>
        <w:tc>
          <w:tcPr>
            <w:tcW w:w="817" w:type="dxa"/>
            <w:vAlign w:val="center"/>
          </w:tcPr>
          <w:p w14:paraId="162C4492">
            <w:pPr>
              <w:widowControl/>
              <w:spacing w:line="42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10分</w:t>
            </w:r>
          </w:p>
        </w:tc>
      </w:tr>
      <w:tr w14:paraId="1468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547" w:type="dxa"/>
            <w:vAlign w:val="center"/>
          </w:tcPr>
          <w:p w14:paraId="6A41F145">
            <w:pPr>
              <w:widowControl/>
              <w:spacing w:line="420" w:lineRule="exact"/>
              <w:jc w:val="center"/>
              <w:rPr>
                <w:rFonts w:ascii="宋体" w:hAnsi="宋体" w:cs="宋体"/>
                <w:color w:val="auto"/>
                <w:kern w:val="0"/>
                <w:sz w:val="21"/>
                <w:szCs w:val="21"/>
                <w:highlight w:val="none"/>
              </w:rPr>
            </w:pPr>
            <w:r>
              <w:rPr>
                <w:rFonts w:hint="eastAsia" w:ascii="宋体" w:hAnsi="宋体" w:cs="宋体"/>
                <w:bCs/>
                <w:color w:val="auto"/>
                <w:kern w:val="0"/>
                <w:sz w:val="21"/>
                <w:szCs w:val="21"/>
                <w:highlight w:val="none"/>
              </w:rPr>
              <w:t>2</w:t>
            </w:r>
          </w:p>
        </w:tc>
        <w:tc>
          <w:tcPr>
            <w:tcW w:w="1600" w:type="dxa"/>
            <w:vAlign w:val="center"/>
          </w:tcPr>
          <w:p w14:paraId="7ED1E3BE">
            <w:pPr>
              <w:widowControl/>
              <w:spacing w:line="420" w:lineRule="exact"/>
              <w:jc w:val="center"/>
              <w:rPr>
                <w:rFonts w:ascii="宋体" w:hAnsi="宋体" w:cs="宋体"/>
                <w:color w:val="auto"/>
                <w:kern w:val="0"/>
                <w:sz w:val="21"/>
                <w:szCs w:val="21"/>
                <w:highlight w:val="none"/>
              </w:rPr>
            </w:pPr>
            <w:r>
              <w:rPr>
                <w:rFonts w:hint="eastAsia" w:ascii="宋体" w:hAnsi="宋体" w:cs="宋体"/>
                <w:bCs/>
                <w:color w:val="auto"/>
                <w:kern w:val="0"/>
                <w:sz w:val="21"/>
                <w:szCs w:val="21"/>
                <w:highlight w:val="none"/>
              </w:rPr>
              <w:t>技术分</w:t>
            </w:r>
          </w:p>
        </w:tc>
        <w:tc>
          <w:tcPr>
            <w:tcW w:w="7124" w:type="dxa"/>
            <w:vAlign w:val="center"/>
          </w:tcPr>
          <w:p w14:paraId="551ADDA4">
            <w:pPr>
              <w:widowControl/>
              <w:spacing w:line="42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评审因素具体内容</w:t>
            </w:r>
          </w:p>
        </w:tc>
        <w:tc>
          <w:tcPr>
            <w:tcW w:w="817" w:type="dxa"/>
            <w:vAlign w:val="center"/>
          </w:tcPr>
          <w:p w14:paraId="02B5D2E5">
            <w:pPr>
              <w:widowControl/>
              <w:spacing w:line="42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50分</w:t>
            </w:r>
          </w:p>
        </w:tc>
      </w:tr>
      <w:tr w14:paraId="58A2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547" w:type="dxa"/>
            <w:vAlign w:val="center"/>
          </w:tcPr>
          <w:p w14:paraId="7F87F456">
            <w:pPr>
              <w:spacing w:line="420" w:lineRule="exact"/>
              <w:ind w:left="-105" w:leftChars="-50" w:right="-105" w:rightChars="-50"/>
              <w:jc w:val="center"/>
              <w:rPr>
                <w:rFonts w:ascii="宋体" w:hAnsi="宋体" w:cs="宋体"/>
                <w:bCs/>
                <w:color w:val="auto"/>
                <w:kern w:val="0"/>
                <w:sz w:val="21"/>
                <w:szCs w:val="21"/>
                <w:highlight w:val="none"/>
              </w:rPr>
            </w:pPr>
            <w:r>
              <w:rPr>
                <w:rFonts w:hint="eastAsia" w:ascii="宋体" w:hAnsi="宋体" w:cs="宋体"/>
                <w:bCs/>
                <w:color w:val="auto"/>
                <w:kern w:val="0"/>
                <w:sz w:val="21"/>
                <w:szCs w:val="21"/>
                <w:highlight w:val="none"/>
              </w:rPr>
              <w:t>2.1</w:t>
            </w:r>
          </w:p>
        </w:tc>
        <w:tc>
          <w:tcPr>
            <w:tcW w:w="1600" w:type="dxa"/>
            <w:vAlign w:val="center"/>
          </w:tcPr>
          <w:p w14:paraId="1DB587BF">
            <w:pPr>
              <w:spacing w:line="360" w:lineRule="auto"/>
              <w:rPr>
                <w:rFonts w:ascii="宋体" w:hAnsi="宋体" w:cs="宋体"/>
                <w:bCs/>
                <w:color w:val="auto"/>
                <w:sz w:val="21"/>
                <w:szCs w:val="21"/>
                <w:highlight w:val="none"/>
              </w:rPr>
            </w:pPr>
            <w:r>
              <w:rPr>
                <w:rFonts w:hint="eastAsia" w:ascii="宋体" w:hAnsi="宋体" w:cs="宋体"/>
                <w:bCs/>
                <w:color w:val="auto"/>
                <w:sz w:val="21"/>
                <w:szCs w:val="21"/>
                <w:highlight w:val="none"/>
              </w:rPr>
              <w:t>实施方案（满分15分）</w:t>
            </w:r>
          </w:p>
        </w:tc>
        <w:tc>
          <w:tcPr>
            <w:tcW w:w="7124" w:type="dxa"/>
            <w:vAlign w:val="center"/>
          </w:tcPr>
          <w:p w14:paraId="582571A4">
            <w:pPr>
              <w:spacing w:line="360" w:lineRule="auto"/>
              <w:ind w:firstLine="420" w:firstLineChars="200"/>
              <w:rPr>
                <w:rFonts w:ascii="宋体" w:hAnsi="宋体"/>
                <w:bCs/>
                <w:color w:val="auto"/>
                <w:kern w:val="0"/>
                <w:sz w:val="21"/>
                <w:szCs w:val="21"/>
                <w:highlight w:val="none"/>
              </w:rPr>
            </w:pPr>
            <w:r>
              <w:rPr>
                <w:rFonts w:hint="eastAsia" w:ascii="宋体" w:hAnsi="宋体"/>
                <w:bCs/>
                <w:color w:val="auto"/>
                <w:kern w:val="0"/>
                <w:sz w:val="21"/>
                <w:szCs w:val="21"/>
                <w:highlight w:val="none"/>
              </w:rPr>
              <w:t>根据供应商提供的实施方案，包括但不限于项目分析、建设方案、进度计划、质量保障措施、信息安全措施等</w:t>
            </w:r>
          </w:p>
          <w:p w14:paraId="2F8596D1">
            <w:pPr>
              <w:spacing w:line="360" w:lineRule="auto"/>
              <w:ind w:firstLine="420" w:firstLineChars="200"/>
              <w:rPr>
                <w:rFonts w:ascii="宋体" w:hAnsi="宋体"/>
                <w:bCs/>
                <w:color w:val="auto"/>
                <w:kern w:val="0"/>
                <w:sz w:val="21"/>
                <w:szCs w:val="21"/>
                <w:highlight w:val="none"/>
              </w:rPr>
            </w:pPr>
            <w:r>
              <w:rPr>
                <w:rFonts w:hint="eastAsia" w:ascii="宋体" w:hAnsi="宋体"/>
                <w:bCs/>
                <w:color w:val="auto"/>
                <w:kern w:val="0"/>
                <w:sz w:val="21"/>
                <w:szCs w:val="21"/>
                <w:highlight w:val="none"/>
              </w:rPr>
              <w:t>一档（6分）：投标人根据本项目就业服务（零工市场）站点分布，提供切合项目实际的工作计划方案，方案能够明确各分布站点的筹备进展情况。</w:t>
            </w:r>
          </w:p>
          <w:p w14:paraId="32F79B88">
            <w:pPr>
              <w:spacing w:line="360" w:lineRule="auto"/>
              <w:ind w:firstLine="420" w:firstLineChars="200"/>
              <w:rPr>
                <w:rFonts w:ascii="宋体" w:hAnsi="宋体"/>
                <w:bCs/>
                <w:color w:val="auto"/>
                <w:kern w:val="0"/>
                <w:sz w:val="21"/>
                <w:szCs w:val="21"/>
                <w:highlight w:val="none"/>
              </w:rPr>
            </w:pPr>
            <w:r>
              <w:rPr>
                <w:rFonts w:hint="eastAsia" w:ascii="宋体" w:hAnsi="宋体"/>
                <w:bCs/>
                <w:color w:val="auto"/>
                <w:kern w:val="0"/>
                <w:sz w:val="21"/>
                <w:szCs w:val="21"/>
                <w:highlight w:val="none"/>
              </w:rPr>
              <w:t>二档（9分）：在满足一档的基础上，能根据项目服务过</w:t>
            </w:r>
            <w:r>
              <w:rPr>
                <w:rFonts w:hint="eastAsia" w:ascii="宋体" w:hAnsi="宋体"/>
                <w:bCs/>
                <w:color w:val="auto"/>
                <w:kern w:val="0"/>
                <w:sz w:val="21"/>
                <w:szCs w:val="21"/>
                <w:highlight w:val="none"/>
                <w:lang w:eastAsia="zh-CN"/>
              </w:rPr>
              <w:t>程中</w:t>
            </w:r>
            <w:r>
              <w:rPr>
                <w:rFonts w:hint="eastAsia" w:ascii="宋体" w:hAnsi="宋体"/>
                <w:bCs/>
                <w:color w:val="auto"/>
                <w:kern w:val="0"/>
                <w:sz w:val="21"/>
                <w:szCs w:val="21"/>
                <w:highlight w:val="none"/>
              </w:rPr>
              <w:t>涉及的工作环节列出具体的工作计划及时间表，工作计划能够有效指导工作有序开展；为确保服务站点的建设质量及统一性，明确支持零工市场、就业服务站提供公共就业服务的规范配备，满足办公服务、求职服务、便民服务、安全防护等设施设备清单，有实施过程质量保障措施及信息安全保障措施。</w:t>
            </w:r>
          </w:p>
          <w:p w14:paraId="60166E72">
            <w:pPr>
              <w:spacing w:line="360" w:lineRule="auto"/>
              <w:ind w:firstLine="420" w:firstLineChars="200"/>
              <w:rPr>
                <w:rFonts w:ascii="宋体" w:hAnsi="宋体"/>
                <w:bCs/>
                <w:color w:val="auto"/>
                <w:kern w:val="0"/>
                <w:sz w:val="21"/>
                <w:szCs w:val="21"/>
                <w:highlight w:val="none"/>
              </w:rPr>
            </w:pPr>
            <w:r>
              <w:rPr>
                <w:rFonts w:hint="eastAsia" w:ascii="宋体" w:hAnsi="宋体"/>
                <w:bCs/>
                <w:color w:val="auto"/>
                <w:kern w:val="0"/>
                <w:sz w:val="21"/>
                <w:szCs w:val="21"/>
                <w:highlight w:val="none"/>
              </w:rPr>
              <w:t>三档（12分）：在满足二档的基础上，能够根据工作计划进一步给出筹备各阶段的工作开展部署方案，确保项目能够按时间要求有计划有进度</w:t>
            </w:r>
            <w:r>
              <w:rPr>
                <w:rFonts w:hint="eastAsia" w:ascii="宋体" w:hAnsi="宋体"/>
                <w:bCs/>
                <w:color w:val="auto"/>
                <w:kern w:val="0"/>
                <w:sz w:val="21"/>
                <w:szCs w:val="21"/>
                <w:highlight w:val="none"/>
                <w:lang w:eastAsia="zh-CN"/>
              </w:rPr>
              <w:t>地</w:t>
            </w:r>
            <w:r>
              <w:rPr>
                <w:rFonts w:hint="eastAsia" w:ascii="宋体" w:hAnsi="宋体"/>
                <w:bCs/>
                <w:color w:val="auto"/>
                <w:kern w:val="0"/>
                <w:sz w:val="21"/>
                <w:szCs w:val="21"/>
                <w:highlight w:val="none"/>
              </w:rPr>
              <w:t>完成各阶段工作内容；能根据本项目规范配备标准提供零工市场、就业服务站的筹备设计方案（包括明确的分区功能，包括但不限于柜面服务区、信息发布区、数智求职区、等候休息区、便民服务区等）及建设效果图，实施过程质量保障措施及信息安全保障措施完成满足项目需求。</w:t>
            </w:r>
          </w:p>
          <w:p w14:paraId="5797F48A">
            <w:pPr>
              <w:spacing w:line="360" w:lineRule="auto"/>
              <w:ind w:firstLine="420" w:firstLineChars="200"/>
              <w:rPr>
                <w:rFonts w:ascii="宋体" w:hAnsi="宋体"/>
                <w:bCs/>
                <w:color w:val="auto"/>
                <w:kern w:val="0"/>
                <w:sz w:val="21"/>
                <w:szCs w:val="21"/>
                <w:highlight w:val="none"/>
              </w:rPr>
            </w:pPr>
            <w:r>
              <w:rPr>
                <w:rFonts w:hint="eastAsia" w:ascii="宋体" w:hAnsi="宋体"/>
                <w:bCs/>
                <w:color w:val="auto"/>
                <w:kern w:val="0"/>
                <w:sz w:val="21"/>
                <w:szCs w:val="21"/>
                <w:highlight w:val="none"/>
              </w:rPr>
              <w:t>四档（15分）：在满足三档的基础上，提供的筹备设计方案（包括明确的分区功能，包括但不限于柜面服务区、信息发布区、数智求职区、等候休息区、便民服务区等）及建设效果图，能实现风格统一，且体现就业服务特点，实施过程质量保障措施及信息安全保障措施有力科学合理。</w:t>
            </w:r>
          </w:p>
          <w:p w14:paraId="7B8D25E6">
            <w:pPr>
              <w:spacing w:line="360" w:lineRule="auto"/>
              <w:ind w:firstLine="422" w:firstLineChars="200"/>
              <w:rPr>
                <w:rFonts w:ascii="宋体" w:hAnsi="宋体"/>
                <w:bCs/>
                <w:color w:val="auto"/>
                <w:kern w:val="0"/>
                <w:sz w:val="21"/>
                <w:szCs w:val="21"/>
                <w:highlight w:val="none"/>
              </w:rPr>
            </w:pPr>
            <w:r>
              <w:rPr>
                <w:rFonts w:ascii="宋体" w:hAnsi="宋体"/>
                <w:b/>
                <w:color w:val="auto"/>
                <w:kern w:val="0"/>
                <w:sz w:val="21"/>
                <w:szCs w:val="21"/>
                <w:highlight w:val="none"/>
              </w:rPr>
              <w:t>注：不符合最低入档要求的不得分。</w:t>
            </w:r>
          </w:p>
        </w:tc>
        <w:tc>
          <w:tcPr>
            <w:tcW w:w="817" w:type="dxa"/>
            <w:vAlign w:val="center"/>
          </w:tcPr>
          <w:p w14:paraId="70F3EB9A">
            <w:pPr>
              <w:spacing w:line="42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15分</w:t>
            </w:r>
          </w:p>
        </w:tc>
      </w:tr>
      <w:tr w14:paraId="63AD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547" w:type="dxa"/>
            <w:vAlign w:val="center"/>
          </w:tcPr>
          <w:p w14:paraId="69621EFC">
            <w:pPr>
              <w:spacing w:line="420" w:lineRule="exact"/>
              <w:ind w:left="-105" w:leftChars="-50" w:right="-105" w:rightChars="-50"/>
              <w:jc w:val="center"/>
              <w:rPr>
                <w:rFonts w:ascii="宋体" w:hAnsi="宋体" w:cs="宋体"/>
                <w:bCs/>
                <w:color w:val="auto"/>
                <w:kern w:val="0"/>
                <w:sz w:val="21"/>
                <w:szCs w:val="21"/>
                <w:highlight w:val="none"/>
              </w:rPr>
            </w:pPr>
            <w:r>
              <w:rPr>
                <w:rFonts w:hint="eastAsia" w:ascii="宋体" w:hAnsi="宋体" w:cs="宋体"/>
                <w:bCs/>
                <w:color w:val="auto"/>
                <w:kern w:val="0"/>
                <w:sz w:val="21"/>
                <w:szCs w:val="21"/>
                <w:highlight w:val="none"/>
              </w:rPr>
              <w:t>2.2</w:t>
            </w:r>
          </w:p>
        </w:tc>
        <w:tc>
          <w:tcPr>
            <w:tcW w:w="1600" w:type="dxa"/>
            <w:vAlign w:val="center"/>
          </w:tcPr>
          <w:p w14:paraId="744B88DA">
            <w:pPr>
              <w:spacing w:line="360" w:lineRule="auto"/>
              <w:jc w:val="center"/>
              <w:rPr>
                <w:rFonts w:ascii="宋体" w:hAnsi="宋体" w:cs="宋体"/>
                <w:bCs/>
                <w:color w:val="auto"/>
                <w:sz w:val="21"/>
                <w:szCs w:val="21"/>
                <w:highlight w:val="none"/>
              </w:rPr>
            </w:pPr>
            <w:r>
              <w:rPr>
                <w:rFonts w:hint="eastAsia" w:ascii="宋体" w:hAnsi="宋体" w:cs="宋体"/>
                <w:bCs/>
                <w:color w:val="auto"/>
                <w:sz w:val="21"/>
                <w:szCs w:val="21"/>
                <w:highlight w:val="none"/>
              </w:rPr>
              <w:t>运营服务方案（满分20分）</w:t>
            </w:r>
          </w:p>
        </w:tc>
        <w:tc>
          <w:tcPr>
            <w:tcW w:w="7124" w:type="dxa"/>
            <w:vAlign w:val="center"/>
          </w:tcPr>
          <w:p w14:paraId="10CE1533">
            <w:pPr>
              <w:spacing w:line="360" w:lineRule="auto"/>
              <w:ind w:firstLine="420" w:firstLineChars="200"/>
              <w:rPr>
                <w:rFonts w:ascii="宋体" w:hAnsi="宋体"/>
                <w:bCs/>
                <w:color w:val="auto"/>
                <w:kern w:val="0"/>
                <w:sz w:val="21"/>
                <w:szCs w:val="21"/>
                <w:highlight w:val="none"/>
              </w:rPr>
            </w:pPr>
            <w:r>
              <w:rPr>
                <w:rFonts w:hint="eastAsia" w:ascii="宋体" w:hAnsi="宋体"/>
                <w:bCs/>
                <w:color w:val="auto"/>
                <w:kern w:val="0"/>
                <w:sz w:val="21"/>
                <w:szCs w:val="21"/>
                <w:highlight w:val="none"/>
              </w:rPr>
              <w:t>据供应商提供的运营方案，包括但不限于需求分析、运营内容、运营管理、宣传推广、人员配备、人员培训等</w:t>
            </w:r>
          </w:p>
          <w:p w14:paraId="4D0FFEB2">
            <w:pPr>
              <w:spacing w:line="360" w:lineRule="auto"/>
              <w:ind w:firstLine="420" w:firstLineChars="200"/>
              <w:rPr>
                <w:rFonts w:ascii="宋体" w:hAnsi="宋体"/>
                <w:bCs/>
                <w:color w:val="auto"/>
                <w:kern w:val="0"/>
                <w:sz w:val="21"/>
                <w:szCs w:val="21"/>
                <w:highlight w:val="none"/>
              </w:rPr>
            </w:pPr>
            <w:r>
              <w:rPr>
                <w:rFonts w:hint="eastAsia" w:ascii="宋体" w:hAnsi="宋体"/>
                <w:bCs/>
                <w:color w:val="auto"/>
                <w:kern w:val="0"/>
                <w:sz w:val="21"/>
                <w:szCs w:val="21"/>
                <w:highlight w:val="none"/>
              </w:rPr>
              <w:t>一档（5分）：根据项目服务特点提供运营服务方案，有简单的项目管理组织架构，基本符合运营服务要求。</w:t>
            </w:r>
          </w:p>
          <w:p w14:paraId="79AAE334">
            <w:pPr>
              <w:spacing w:line="360" w:lineRule="auto"/>
              <w:ind w:firstLine="420" w:firstLineChars="200"/>
              <w:rPr>
                <w:rFonts w:ascii="宋体" w:hAnsi="宋体"/>
                <w:bCs/>
                <w:color w:val="auto"/>
                <w:kern w:val="0"/>
                <w:sz w:val="21"/>
                <w:szCs w:val="21"/>
                <w:highlight w:val="none"/>
              </w:rPr>
            </w:pPr>
            <w:r>
              <w:rPr>
                <w:rFonts w:hint="eastAsia" w:ascii="宋体" w:hAnsi="宋体"/>
                <w:bCs/>
                <w:color w:val="auto"/>
                <w:kern w:val="0"/>
                <w:sz w:val="21"/>
                <w:szCs w:val="21"/>
                <w:highlight w:val="none"/>
              </w:rPr>
              <w:t>二档（10分）：根据项目服务特点提供运营服务方案，有较完善的项目管理组织架构，及人员配置计划、职责划分、人员替补措施、相互配合的工作组织管理等，能够确保项目服务周期内的相关服务工作有序推进。</w:t>
            </w:r>
          </w:p>
          <w:p w14:paraId="2BDB3B5A">
            <w:pPr>
              <w:spacing w:line="360" w:lineRule="auto"/>
              <w:ind w:firstLine="420" w:firstLineChars="200"/>
              <w:rPr>
                <w:rFonts w:ascii="宋体" w:hAnsi="宋体"/>
                <w:bCs/>
                <w:color w:val="auto"/>
                <w:kern w:val="0"/>
                <w:sz w:val="21"/>
                <w:szCs w:val="21"/>
                <w:highlight w:val="none"/>
              </w:rPr>
            </w:pPr>
            <w:r>
              <w:rPr>
                <w:rFonts w:hint="eastAsia" w:ascii="宋体" w:hAnsi="宋体"/>
                <w:bCs/>
                <w:color w:val="auto"/>
                <w:kern w:val="0"/>
                <w:sz w:val="21"/>
                <w:szCs w:val="21"/>
                <w:highlight w:val="none"/>
              </w:rPr>
              <w:t>三档（15分）：满足二档要求，并根据本项目实际情况、服务内容和考核标准要求，</w:t>
            </w:r>
            <w:r>
              <w:rPr>
                <w:rFonts w:hint="eastAsia" w:ascii="宋体" w:hAnsi="宋体"/>
                <w:bCs/>
                <w:color w:val="auto"/>
                <w:kern w:val="0"/>
                <w:sz w:val="21"/>
                <w:szCs w:val="21"/>
                <w:highlight w:val="none"/>
                <w:lang w:eastAsia="zh-CN"/>
              </w:rPr>
              <w:t>建立</w:t>
            </w:r>
            <w:r>
              <w:rPr>
                <w:rFonts w:hint="eastAsia" w:ascii="宋体" w:hAnsi="宋体"/>
                <w:bCs/>
                <w:color w:val="auto"/>
                <w:kern w:val="0"/>
                <w:sz w:val="21"/>
                <w:szCs w:val="21"/>
                <w:highlight w:val="none"/>
              </w:rPr>
              <w:t>科学合理的内部运营管理考核机制；并能根据站点类别对应的服务事项提供相应的目标任务推进计划、帮扶计划、活动计划等，方案思路清晰，且具有针对性、可操作性，能够有效帮助完成年度运营目标任务。</w:t>
            </w:r>
          </w:p>
          <w:p w14:paraId="1480B01C">
            <w:pPr>
              <w:spacing w:line="360" w:lineRule="auto"/>
              <w:ind w:firstLine="420" w:firstLineChars="200"/>
              <w:rPr>
                <w:rFonts w:ascii="宋体" w:hAnsi="宋体"/>
                <w:bCs/>
                <w:color w:val="auto"/>
                <w:kern w:val="0"/>
                <w:sz w:val="21"/>
                <w:szCs w:val="21"/>
                <w:highlight w:val="none"/>
              </w:rPr>
            </w:pPr>
            <w:r>
              <w:rPr>
                <w:rFonts w:hint="eastAsia" w:ascii="宋体" w:hAnsi="宋体"/>
                <w:bCs/>
                <w:color w:val="auto"/>
                <w:kern w:val="0"/>
                <w:sz w:val="21"/>
                <w:szCs w:val="21"/>
                <w:highlight w:val="none"/>
              </w:rPr>
              <w:t>四档（20分）：满足三档要求，能充分理解“政府资金小投入，撬动就业大市场”的可持续运行目标，在完成项目要求的公共服务供给的基础上，能充分依托线下服务站点和线上服务平台，拓展提供延伸性、关联性、精细化、多元化等市场化服务。相关的市场化服务思路清晰、措施可行，并操作上合法合规、数据安全可控，能形成可落地的长期运营方案，具有可持续的自我造血功能和服务，使项目在政府资金有限投入的情况下仍能稳定运行，并持续扩大社会效益。</w:t>
            </w:r>
          </w:p>
          <w:p w14:paraId="27F0CF6E">
            <w:pPr>
              <w:spacing w:line="360" w:lineRule="auto"/>
              <w:ind w:firstLine="422" w:firstLineChars="200"/>
              <w:rPr>
                <w:rFonts w:ascii="宋体" w:hAnsi="宋体"/>
                <w:bCs/>
                <w:color w:val="auto"/>
                <w:kern w:val="0"/>
                <w:sz w:val="21"/>
                <w:szCs w:val="21"/>
                <w:highlight w:val="none"/>
              </w:rPr>
            </w:pPr>
            <w:r>
              <w:rPr>
                <w:rFonts w:hint="eastAsia" w:ascii="宋体" w:hAnsi="宋体"/>
                <w:b/>
                <w:color w:val="auto"/>
                <w:kern w:val="0"/>
                <w:sz w:val="21"/>
                <w:szCs w:val="21"/>
                <w:highlight w:val="none"/>
              </w:rPr>
              <w:t>注：不符合最低入档要求的不得分。</w:t>
            </w:r>
          </w:p>
        </w:tc>
        <w:tc>
          <w:tcPr>
            <w:tcW w:w="817" w:type="dxa"/>
            <w:vAlign w:val="center"/>
          </w:tcPr>
          <w:p w14:paraId="5C527DB6">
            <w:pPr>
              <w:spacing w:line="42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20分</w:t>
            </w:r>
          </w:p>
        </w:tc>
      </w:tr>
      <w:tr w14:paraId="2D60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547" w:type="dxa"/>
            <w:vAlign w:val="center"/>
          </w:tcPr>
          <w:p w14:paraId="12DF1704">
            <w:pPr>
              <w:spacing w:line="420" w:lineRule="exact"/>
              <w:ind w:left="-105" w:leftChars="-50" w:right="-105" w:rightChars="-50"/>
              <w:jc w:val="center"/>
              <w:rPr>
                <w:rFonts w:ascii="宋体" w:hAnsi="宋体" w:cs="宋体"/>
                <w:bCs/>
                <w:color w:val="auto"/>
                <w:kern w:val="0"/>
                <w:sz w:val="21"/>
                <w:szCs w:val="21"/>
                <w:highlight w:val="none"/>
              </w:rPr>
            </w:pPr>
            <w:r>
              <w:rPr>
                <w:rFonts w:hint="eastAsia" w:ascii="宋体" w:hAnsi="宋体" w:cs="宋体"/>
                <w:bCs/>
                <w:color w:val="auto"/>
                <w:kern w:val="0"/>
                <w:sz w:val="21"/>
                <w:szCs w:val="21"/>
                <w:highlight w:val="none"/>
              </w:rPr>
              <w:t>2.3</w:t>
            </w:r>
          </w:p>
        </w:tc>
        <w:tc>
          <w:tcPr>
            <w:tcW w:w="1600" w:type="dxa"/>
            <w:vAlign w:val="center"/>
          </w:tcPr>
          <w:p w14:paraId="1382B199">
            <w:pPr>
              <w:spacing w:line="360" w:lineRule="auto"/>
              <w:jc w:val="center"/>
              <w:rPr>
                <w:rFonts w:ascii="宋体" w:hAnsi="宋体" w:cs="宋体"/>
                <w:bCs/>
                <w:color w:val="auto"/>
                <w:sz w:val="21"/>
                <w:szCs w:val="21"/>
                <w:highlight w:val="none"/>
              </w:rPr>
            </w:pPr>
            <w:r>
              <w:rPr>
                <w:rFonts w:hint="eastAsia" w:ascii="宋体" w:hAnsi="宋体" w:cs="宋体"/>
                <w:bCs/>
                <w:color w:val="auto"/>
                <w:sz w:val="21"/>
                <w:szCs w:val="21"/>
                <w:highlight w:val="none"/>
              </w:rPr>
              <w:t>服务质量与服务保证（满分15分）</w:t>
            </w:r>
          </w:p>
        </w:tc>
        <w:tc>
          <w:tcPr>
            <w:tcW w:w="7124" w:type="dxa"/>
            <w:vAlign w:val="center"/>
          </w:tcPr>
          <w:p w14:paraId="17E3F674">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一档（6分）：</w:t>
            </w:r>
            <w:r>
              <w:rPr>
                <w:rFonts w:hint="eastAsia" w:ascii="宋体" w:hAnsi="宋体"/>
                <w:bCs/>
                <w:color w:val="auto"/>
                <w:kern w:val="0"/>
                <w:sz w:val="21"/>
                <w:szCs w:val="21"/>
                <w:highlight w:val="none"/>
              </w:rPr>
              <w:t>根据项目服务特点提供</w:t>
            </w:r>
            <w:r>
              <w:rPr>
                <w:rFonts w:hint="eastAsia" w:ascii="宋体" w:hAnsi="宋体" w:cs="宋体"/>
                <w:bCs/>
                <w:color w:val="auto"/>
                <w:sz w:val="21"/>
                <w:szCs w:val="21"/>
                <w:highlight w:val="none"/>
              </w:rPr>
              <w:t>服务质量与服务保证方案</w:t>
            </w:r>
            <w:r>
              <w:rPr>
                <w:rFonts w:hint="eastAsia" w:ascii="宋体" w:hAnsi="宋体"/>
                <w:bCs/>
                <w:color w:val="auto"/>
                <w:kern w:val="0"/>
                <w:sz w:val="21"/>
                <w:szCs w:val="21"/>
                <w:highlight w:val="none"/>
              </w:rPr>
              <w:t>，有简单的</w:t>
            </w:r>
            <w:r>
              <w:rPr>
                <w:rFonts w:hint="eastAsia" w:ascii="宋体" w:hAnsi="宋体" w:cs="宋体"/>
                <w:bCs/>
                <w:color w:val="auto"/>
                <w:sz w:val="21"/>
                <w:szCs w:val="21"/>
                <w:highlight w:val="none"/>
              </w:rPr>
              <w:t>方案和保障措施</w:t>
            </w:r>
            <w:r>
              <w:rPr>
                <w:rFonts w:hint="eastAsia" w:ascii="宋体" w:hAnsi="宋体"/>
                <w:bCs/>
                <w:color w:val="auto"/>
                <w:kern w:val="0"/>
                <w:sz w:val="21"/>
                <w:szCs w:val="21"/>
                <w:highlight w:val="none"/>
              </w:rPr>
              <w:t>，基本满足项目服务质量要求。</w:t>
            </w:r>
          </w:p>
          <w:p w14:paraId="1F7278A4">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二档（9分）：满足二档要求，按照项目的考核标准接受服务质量考核，为该项目提供基本的项目管理制度、质量保障管理制度、安全生产管理制度、安全保密制度、档案管理制度、应急预案制度等；缺任一项不得分。</w:t>
            </w:r>
          </w:p>
          <w:p w14:paraId="058ADD69">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三档（</w:t>
            </w:r>
            <w:r>
              <w:rPr>
                <w:rFonts w:ascii="宋体" w:hAnsi="宋体" w:cs="宋体"/>
                <w:color w:val="auto"/>
                <w:sz w:val="21"/>
                <w:szCs w:val="21"/>
                <w:highlight w:val="none"/>
              </w:rPr>
              <w:t>1</w:t>
            </w:r>
            <w:r>
              <w:rPr>
                <w:rFonts w:hint="eastAsia" w:ascii="宋体" w:hAnsi="宋体" w:cs="宋体"/>
                <w:color w:val="auto"/>
                <w:sz w:val="21"/>
                <w:szCs w:val="21"/>
                <w:highlight w:val="none"/>
              </w:rPr>
              <w:t>2分）：满足二档要求，各项制度制定合理、内容完整、有针对性、可行性；对运营服务管理能提 供信息化数据采集、整理和分析能力，满足就业服务数据管理需求；应急预案制度要充分考虑就业服务（零工市场）运营服务过程中突发事件能迅速响应，并能以最快速度解除不良舆论。</w:t>
            </w:r>
          </w:p>
          <w:p w14:paraId="3B5CB09B">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四档（15分）：满足三档要求，能合理运用信息服务平台，通过智能化服务手段提升运营服务和管理能力，能建立多级调度监督机制，能实现分站点、分时段、分类型等服务数据监测、分析、统计、调度、展示，科学直观地了解运营方、求职人员、用人单位有关服务动态和运营数据，确保数据的真实性及准确性，保障就业服务工作质量。</w:t>
            </w:r>
          </w:p>
          <w:p w14:paraId="6DEFEB45">
            <w:pPr>
              <w:spacing w:line="360" w:lineRule="auto"/>
              <w:ind w:firstLine="422" w:firstLineChars="200"/>
              <w:rPr>
                <w:color w:val="auto"/>
                <w:sz w:val="21"/>
                <w:szCs w:val="21"/>
                <w:highlight w:val="none"/>
              </w:rPr>
            </w:pPr>
            <w:r>
              <w:rPr>
                <w:rFonts w:hint="eastAsia"/>
                <w:b/>
                <w:bCs/>
                <w:color w:val="auto"/>
                <w:sz w:val="21"/>
                <w:szCs w:val="21"/>
                <w:highlight w:val="none"/>
              </w:rPr>
              <w:t>注：不符合最低入档要求的不得分。</w:t>
            </w:r>
          </w:p>
        </w:tc>
        <w:tc>
          <w:tcPr>
            <w:tcW w:w="817" w:type="dxa"/>
            <w:vAlign w:val="center"/>
          </w:tcPr>
          <w:p w14:paraId="2821A26A">
            <w:pPr>
              <w:widowControl/>
              <w:spacing w:line="42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15分</w:t>
            </w:r>
          </w:p>
        </w:tc>
      </w:tr>
      <w:tr w14:paraId="3FA6E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47" w:type="dxa"/>
            <w:vAlign w:val="center"/>
          </w:tcPr>
          <w:p w14:paraId="6B7ABCC3">
            <w:pPr>
              <w:widowControl/>
              <w:spacing w:line="42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3</w:t>
            </w:r>
          </w:p>
        </w:tc>
        <w:tc>
          <w:tcPr>
            <w:tcW w:w="1600" w:type="dxa"/>
            <w:vAlign w:val="center"/>
          </w:tcPr>
          <w:p w14:paraId="5EA880FF">
            <w:pPr>
              <w:widowControl/>
              <w:spacing w:line="420" w:lineRule="exact"/>
              <w:jc w:val="center"/>
              <w:rPr>
                <w:rFonts w:ascii="宋体" w:hAnsi="宋体" w:cs="宋体"/>
                <w:bCs/>
                <w:color w:val="auto"/>
                <w:sz w:val="21"/>
                <w:szCs w:val="21"/>
                <w:highlight w:val="none"/>
              </w:rPr>
            </w:pPr>
            <w:r>
              <w:rPr>
                <w:rFonts w:hint="eastAsia" w:ascii="宋体" w:hAnsi="宋体" w:cs="宋体"/>
                <w:bCs/>
                <w:color w:val="auto"/>
                <w:sz w:val="21"/>
                <w:szCs w:val="21"/>
                <w:highlight w:val="none"/>
              </w:rPr>
              <w:t>商务分</w:t>
            </w:r>
          </w:p>
        </w:tc>
        <w:tc>
          <w:tcPr>
            <w:tcW w:w="7124" w:type="dxa"/>
            <w:vAlign w:val="center"/>
          </w:tcPr>
          <w:p w14:paraId="01698FBB">
            <w:pPr>
              <w:widowControl/>
              <w:spacing w:line="440" w:lineRule="exact"/>
              <w:jc w:val="center"/>
              <w:rPr>
                <w:rFonts w:ascii="宋体" w:hAnsi="宋体" w:cs="宋体"/>
                <w:bCs/>
                <w:color w:val="auto"/>
                <w:sz w:val="21"/>
                <w:szCs w:val="21"/>
                <w:highlight w:val="none"/>
              </w:rPr>
            </w:pPr>
            <w:r>
              <w:rPr>
                <w:rFonts w:hint="eastAsia" w:ascii="宋体" w:hAnsi="宋体" w:cs="宋体"/>
                <w:bCs/>
                <w:color w:val="auto"/>
                <w:sz w:val="21"/>
                <w:szCs w:val="21"/>
                <w:highlight w:val="none"/>
              </w:rPr>
              <w:t>评审因素具体内容</w:t>
            </w:r>
          </w:p>
        </w:tc>
        <w:tc>
          <w:tcPr>
            <w:tcW w:w="817" w:type="dxa"/>
            <w:vAlign w:val="center"/>
          </w:tcPr>
          <w:p w14:paraId="49BBAB49">
            <w:pPr>
              <w:widowControl/>
              <w:spacing w:line="42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40分</w:t>
            </w:r>
          </w:p>
        </w:tc>
      </w:tr>
      <w:tr w14:paraId="5F92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5" w:hRule="atLeast"/>
          <w:jc w:val="center"/>
        </w:trPr>
        <w:tc>
          <w:tcPr>
            <w:tcW w:w="547" w:type="dxa"/>
            <w:vMerge w:val="restart"/>
            <w:vAlign w:val="center"/>
          </w:tcPr>
          <w:p w14:paraId="01AF476C">
            <w:pPr>
              <w:spacing w:line="420" w:lineRule="exact"/>
              <w:ind w:left="-105" w:leftChars="-50" w:right="-105" w:rightChars="-50"/>
              <w:jc w:val="center"/>
              <w:rPr>
                <w:rFonts w:ascii="宋体" w:hAnsi="宋体" w:cs="宋体"/>
                <w:color w:val="auto"/>
                <w:kern w:val="0"/>
                <w:sz w:val="21"/>
                <w:szCs w:val="21"/>
                <w:highlight w:val="none"/>
              </w:rPr>
            </w:pPr>
            <w:r>
              <w:rPr>
                <w:rFonts w:hint="eastAsia" w:ascii="宋体" w:hAnsi="宋体" w:cs="宋体"/>
                <w:bCs/>
                <w:color w:val="auto"/>
                <w:kern w:val="0"/>
                <w:sz w:val="21"/>
                <w:szCs w:val="21"/>
                <w:highlight w:val="none"/>
              </w:rPr>
              <w:t>3</w:t>
            </w:r>
            <w:r>
              <w:rPr>
                <w:rFonts w:ascii="宋体" w:hAnsi="宋体" w:cs="宋体"/>
                <w:bCs/>
                <w:color w:val="auto"/>
                <w:kern w:val="0"/>
                <w:sz w:val="21"/>
                <w:szCs w:val="21"/>
                <w:highlight w:val="none"/>
              </w:rPr>
              <w:t>.1</w:t>
            </w:r>
          </w:p>
        </w:tc>
        <w:tc>
          <w:tcPr>
            <w:tcW w:w="1600" w:type="dxa"/>
            <w:vMerge w:val="restart"/>
            <w:vAlign w:val="center"/>
          </w:tcPr>
          <w:p w14:paraId="3C53BAD3">
            <w:pPr>
              <w:spacing w:line="360" w:lineRule="auto"/>
              <w:jc w:val="center"/>
              <w:rPr>
                <w:rFonts w:ascii="宋体" w:hAnsi="宋体" w:cs="宋体"/>
                <w:bCs/>
                <w:color w:val="auto"/>
                <w:sz w:val="21"/>
                <w:szCs w:val="21"/>
                <w:highlight w:val="none"/>
              </w:rPr>
            </w:pPr>
            <w:r>
              <w:rPr>
                <w:rFonts w:hint="eastAsia" w:ascii="宋体" w:hAnsi="宋体" w:cs="宋体"/>
                <w:color w:val="auto"/>
                <w:sz w:val="21"/>
                <w:szCs w:val="21"/>
                <w:highlight w:val="none"/>
                <w:lang w:bidi="ar"/>
              </w:rPr>
              <w:t>企业综合实力</w:t>
            </w:r>
            <w:r>
              <w:rPr>
                <w:rFonts w:hint="eastAsia" w:ascii="宋体" w:hAnsi="宋体" w:cs="宋体"/>
                <w:color w:val="auto"/>
                <w:sz w:val="21"/>
                <w:szCs w:val="21"/>
                <w:highlight w:val="none"/>
                <w:lang w:eastAsia="zh-CN" w:bidi="ar"/>
              </w:rPr>
              <w:t>（</w:t>
            </w:r>
            <w:r>
              <w:rPr>
                <w:rFonts w:hint="eastAsia" w:ascii="宋体" w:hAnsi="宋体" w:cs="宋体"/>
                <w:color w:val="auto"/>
                <w:sz w:val="21"/>
                <w:szCs w:val="21"/>
                <w:highlight w:val="none"/>
                <w:lang w:val="en-US" w:eastAsia="zh-CN" w:bidi="ar"/>
              </w:rPr>
              <w:t>满分</w:t>
            </w:r>
            <w:r>
              <w:rPr>
                <w:rFonts w:hint="eastAsia" w:ascii="宋体" w:hAnsi="宋体" w:cs="宋体"/>
                <w:color w:val="auto"/>
                <w:sz w:val="21"/>
                <w:szCs w:val="21"/>
                <w:highlight w:val="none"/>
                <w:lang w:bidi="ar"/>
              </w:rPr>
              <w:t>5分</w:t>
            </w:r>
            <w:r>
              <w:rPr>
                <w:rFonts w:hint="eastAsia" w:ascii="宋体" w:hAnsi="宋体" w:cs="宋体"/>
                <w:color w:val="auto"/>
                <w:sz w:val="21"/>
                <w:szCs w:val="21"/>
                <w:highlight w:val="none"/>
                <w:lang w:eastAsia="zh-CN" w:bidi="ar"/>
              </w:rPr>
              <w:t>）</w:t>
            </w:r>
          </w:p>
        </w:tc>
        <w:tc>
          <w:tcPr>
            <w:tcW w:w="7124" w:type="dxa"/>
          </w:tcPr>
          <w:p w14:paraId="7332FA28">
            <w:pPr>
              <w:autoSpaceDE w:val="0"/>
              <w:spacing w:line="360" w:lineRule="auto"/>
              <w:rPr>
                <w:rFonts w:ascii="宋体" w:hAnsi="宋体" w:cs="宋体"/>
                <w:color w:val="auto"/>
                <w:sz w:val="21"/>
                <w:szCs w:val="21"/>
                <w:highlight w:val="none"/>
              </w:rPr>
            </w:pPr>
            <w:r>
              <w:rPr>
                <w:rFonts w:hint="eastAsia" w:ascii="宋体" w:hAnsi="宋体" w:cs="宋体"/>
                <w:color w:val="auto"/>
                <w:sz w:val="21"/>
                <w:szCs w:val="21"/>
                <w:highlight w:val="none"/>
                <w:lang w:bidi="ar"/>
              </w:rPr>
              <w:t>1.供应商每具有以下其中一项管理体系认证证书的得0.5分，本项满分2分，不提供不得分。</w:t>
            </w:r>
          </w:p>
          <w:p w14:paraId="05B3C8A5">
            <w:pPr>
              <w:autoSpaceDE w:val="0"/>
              <w:spacing w:line="360" w:lineRule="auto"/>
              <w:rPr>
                <w:rFonts w:ascii="宋体" w:hAnsi="宋体" w:cs="宋体"/>
                <w:color w:val="auto"/>
                <w:sz w:val="21"/>
                <w:szCs w:val="21"/>
                <w:highlight w:val="none"/>
              </w:rPr>
            </w:pPr>
            <w:r>
              <w:rPr>
                <w:rFonts w:hint="eastAsia" w:ascii="宋体" w:hAnsi="宋体" w:cs="宋体"/>
                <w:color w:val="auto"/>
                <w:sz w:val="21"/>
                <w:szCs w:val="21"/>
                <w:highlight w:val="none"/>
                <w:lang w:bidi="ar"/>
              </w:rPr>
              <w:t>（1）ISO9001质量管理体系认证证书；</w:t>
            </w:r>
          </w:p>
          <w:p w14:paraId="5D251C02">
            <w:pPr>
              <w:autoSpaceDE w:val="0"/>
              <w:spacing w:line="360" w:lineRule="auto"/>
              <w:rPr>
                <w:rFonts w:ascii="宋体" w:hAnsi="宋体" w:cs="宋体"/>
                <w:color w:val="auto"/>
                <w:sz w:val="21"/>
                <w:szCs w:val="21"/>
                <w:highlight w:val="none"/>
              </w:rPr>
            </w:pPr>
            <w:r>
              <w:rPr>
                <w:rFonts w:hint="eastAsia" w:ascii="宋体" w:hAnsi="宋体" w:cs="宋体"/>
                <w:color w:val="auto"/>
                <w:sz w:val="21"/>
                <w:szCs w:val="21"/>
                <w:highlight w:val="none"/>
                <w:lang w:bidi="ar"/>
              </w:rPr>
              <w:t>（2）ISO14001环境管理体系认证证书；</w:t>
            </w:r>
          </w:p>
          <w:p w14:paraId="73B07029">
            <w:pPr>
              <w:autoSpaceDE w:val="0"/>
              <w:spacing w:line="360" w:lineRule="auto"/>
              <w:rPr>
                <w:rFonts w:ascii="宋体" w:hAnsi="宋体" w:cs="宋体"/>
                <w:color w:val="auto"/>
                <w:sz w:val="21"/>
                <w:szCs w:val="21"/>
                <w:highlight w:val="none"/>
              </w:rPr>
            </w:pPr>
            <w:r>
              <w:rPr>
                <w:rFonts w:hint="eastAsia" w:ascii="宋体" w:hAnsi="宋体" w:cs="宋体"/>
                <w:color w:val="auto"/>
                <w:sz w:val="21"/>
                <w:szCs w:val="21"/>
                <w:highlight w:val="none"/>
                <w:lang w:bidi="ar"/>
              </w:rPr>
              <w:t>（3）ISO45001职业健康安全管理体系认证证书；</w:t>
            </w:r>
          </w:p>
          <w:p w14:paraId="52CBC343">
            <w:pPr>
              <w:autoSpaceDE w:val="0"/>
              <w:spacing w:line="360" w:lineRule="auto"/>
              <w:rPr>
                <w:rFonts w:ascii="宋体" w:hAnsi="宋体" w:cs="宋体"/>
                <w:color w:val="auto"/>
                <w:sz w:val="21"/>
                <w:szCs w:val="21"/>
                <w:highlight w:val="none"/>
              </w:rPr>
            </w:pPr>
            <w:r>
              <w:rPr>
                <w:rFonts w:hint="eastAsia" w:ascii="宋体" w:hAnsi="宋体" w:cs="宋体"/>
                <w:color w:val="auto"/>
                <w:sz w:val="21"/>
                <w:szCs w:val="21"/>
                <w:highlight w:val="none"/>
                <w:lang w:bidi="ar"/>
              </w:rPr>
              <w:t>（4）ISO27001信息安全管理体系认证。</w:t>
            </w:r>
          </w:p>
          <w:p w14:paraId="6E0ED09B">
            <w:pPr>
              <w:spacing w:line="360" w:lineRule="auto"/>
              <w:rPr>
                <w:rFonts w:ascii="宋体" w:hAnsi="宋体"/>
                <w:bCs/>
                <w:color w:val="auto"/>
                <w:kern w:val="0"/>
                <w:sz w:val="21"/>
                <w:szCs w:val="21"/>
                <w:highlight w:val="none"/>
              </w:rPr>
            </w:pPr>
            <w:r>
              <w:rPr>
                <w:rFonts w:hint="eastAsia" w:ascii="宋体" w:hAnsi="宋体"/>
                <w:bCs/>
                <w:color w:val="auto"/>
                <w:kern w:val="0"/>
                <w:sz w:val="21"/>
                <w:szCs w:val="21"/>
                <w:highlight w:val="none"/>
              </w:rPr>
              <w:t>注：以上资料以提供合法有效的证书为准，证书复印件加盖供应商电子签章。</w:t>
            </w:r>
          </w:p>
        </w:tc>
        <w:tc>
          <w:tcPr>
            <w:tcW w:w="817" w:type="dxa"/>
            <w:vAlign w:val="center"/>
          </w:tcPr>
          <w:p w14:paraId="4965C065">
            <w:pPr>
              <w:widowControl/>
              <w:spacing w:line="42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2分</w:t>
            </w:r>
          </w:p>
        </w:tc>
      </w:tr>
      <w:tr w14:paraId="7004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47" w:type="dxa"/>
            <w:vMerge w:val="continue"/>
            <w:vAlign w:val="center"/>
          </w:tcPr>
          <w:p w14:paraId="1CDE6D7E">
            <w:pPr>
              <w:widowControl/>
              <w:spacing w:line="420" w:lineRule="exact"/>
              <w:jc w:val="center"/>
              <w:rPr>
                <w:rFonts w:ascii="宋体" w:hAnsi="宋体" w:cs="宋体"/>
                <w:color w:val="auto"/>
                <w:kern w:val="0"/>
                <w:sz w:val="21"/>
                <w:szCs w:val="21"/>
                <w:highlight w:val="none"/>
              </w:rPr>
            </w:pPr>
          </w:p>
        </w:tc>
        <w:tc>
          <w:tcPr>
            <w:tcW w:w="1600" w:type="dxa"/>
            <w:vMerge w:val="continue"/>
            <w:vAlign w:val="center"/>
          </w:tcPr>
          <w:p w14:paraId="1C1B3CCA">
            <w:pPr>
              <w:spacing w:line="360" w:lineRule="auto"/>
              <w:jc w:val="center"/>
              <w:rPr>
                <w:rFonts w:ascii="宋体" w:hAnsi="宋体" w:cs="宋体"/>
                <w:color w:val="auto"/>
                <w:sz w:val="21"/>
                <w:szCs w:val="21"/>
                <w:highlight w:val="none"/>
                <w:lang w:bidi="ar"/>
              </w:rPr>
            </w:pPr>
          </w:p>
        </w:tc>
        <w:tc>
          <w:tcPr>
            <w:tcW w:w="7124" w:type="dxa"/>
          </w:tcPr>
          <w:p w14:paraId="5BF7C5D5">
            <w:pPr>
              <w:spacing w:line="360" w:lineRule="auto"/>
              <w:rPr>
                <w:color w:val="auto"/>
                <w:sz w:val="21"/>
                <w:szCs w:val="21"/>
                <w:highlight w:val="none"/>
              </w:rPr>
            </w:pPr>
            <w:r>
              <w:rPr>
                <w:rFonts w:hint="eastAsia" w:ascii="宋体" w:hAnsi="宋体"/>
                <w:bCs/>
                <w:color w:val="auto"/>
                <w:kern w:val="0"/>
                <w:sz w:val="21"/>
                <w:szCs w:val="21"/>
                <w:highlight w:val="none"/>
                <w:lang w:val="en-US" w:eastAsia="zh-CN"/>
              </w:rPr>
              <w:t>2.</w:t>
            </w:r>
            <w:r>
              <w:rPr>
                <w:rFonts w:hint="eastAsia" w:ascii="宋体" w:hAnsi="宋体"/>
                <w:bCs/>
                <w:color w:val="auto"/>
                <w:kern w:val="0"/>
                <w:sz w:val="21"/>
                <w:szCs w:val="21"/>
                <w:highlight w:val="none"/>
              </w:rPr>
              <w:t>投标人的技能培训服务能力：本身有培训能力3分；如无，若承诺中标后与培训机构签订合作协议，得1分</w:t>
            </w:r>
            <w:r>
              <w:rPr>
                <w:rFonts w:hint="eastAsia"/>
                <w:color w:val="auto"/>
                <w:sz w:val="21"/>
                <w:szCs w:val="21"/>
                <w:highlight w:val="none"/>
              </w:rPr>
              <w:t>。</w:t>
            </w:r>
          </w:p>
          <w:p w14:paraId="4B6D5BE9">
            <w:pPr>
              <w:spacing w:line="360" w:lineRule="auto"/>
              <w:rPr>
                <w:color w:val="auto"/>
                <w:sz w:val="21"/>
                <w:szCs w:val="21"/>
                <w:highlight w:val="none"/>
              </w:rPr>
            </w:pPr>
            <w:r>
              <w:rPr>
                <w:rFonts w:hint="eastAsia" w:ascii="宋体" w:hAnsi="宋体" w:cs="宋体"/>
                <w:color w:val="auto"/>
                <w:sz w:val="21"/>
                <w:szCs w:val="21"/>
                <w:highlight w:val="none"/>
                <w:lang w:bidi="ar"/>
              </w:rPr>
              <w:t>注：投标文件中须提供相关承诺书（格式自拟），加</w:t>
            </w:r>
            <w:r>
              <w:rPr>
                <w:rFonts w:hint="eastAsia" w:ascii="宋体" w:hAnsi="宋体" w:cs="宋体"/>
                <w:color w:val="auto"/>
                <w:kern w:val="0"/>
                <w:sz w:val="21"/>
                <w:szCs w:val="21"/>
                <w:highlight w:val="none"/>
                <w:lang w:bidi="ar"/>
              </w:rPr>
              <w:t>盖供应商电子签章</w:t>
            </w:r>
            <w:r>
              <w:rPr>
                <w:rFonts w:hint="eastAsia" w:ascii="宋体" w:hAnsi="宋体" w:cs="宋体"/>
                <w:color w:val="auto"/>
                <w:sz w:val="21"/>
                <w:szCs w:val="21"/>
                <w:highlight w:val="none"/>
                <w:lang w:bidi="ar"/>
              </w:rPr>
              <w:t>，否则不予计分。</w:t>
            </w:r>
          </w:p>
        </w:tc>
        <w:tc>
          <w:tcPr>
            <w:tcW w:w="817" w:type="dxa"/>
            <w:vAlign w:val="center"/>
          </w:tcPr>
          <w:p w14:paraId="3D6BEA30">
            <w:pPr>
              <w:widowControl/>
              <w:spacing w:line="42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3分</w:t>
            </w:r>
          </w:p>
        </w:tc>
      </w:tr>
      <w:tr w14:paraId="695B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547" w:type="dxa"/>
            <w:vMerge w:val="restart"/>
            <w:vAlign w:val="center"/>
          </w:tcPr>
          <w:p w14:paraId="657B7A1A">
            <w:pPr>
              <w:spacing w:line="420" w:lineRule="exact"/>
              <w:ind w:left="-105" w:leftChars="-50" w:right="-105" w:rightChars="-50"/>
              <w:jc w:val="center"/>
              <w:rPr>
                <w:rFonts w:ascii="宋体" w:hAnsi="宋体" w:cs="宋体"/>
                <w:color w:val="auto"/>
                <w:kern w:val="0"/>
                <w:sz w:val="21"/>
                <w:szCs w:val="21"/>
                <w:highlight w:val="none"/>
              </w:rPr>
            </w:pPr>
            <w:r>
              <w:rPr>
                <w:rFonts w:hint="eastAsia" w:ascii="宋体" w:hAnsi="宋体" w:cs="宋体"/>
                <w:bCs/>
                <w:color w:val="auto"/>
                <w:kern w:val="0"/>
                <w:sz w:val="21"/>
                <w:szCs w:val="21"/>
                <w:highlight w:val="none"/>
              </w:rPr>
              <w:t>3</w:t>
            </w:r>
            <w:r>
              <w:rPr>
                <w:rFonts w:ascii="宋体" w:hAnsi="宋体" w:cs="宋体"/>
                <w:bCs/>
                <w:color w:val="auto"/>
                <w:kern w:val="0"/>
                <w:sz w:val="21"/>
                <w:szCs w:val="21"/>
                <w:highlight w:val="none"/>
              </w:rPr>
              <w:t>.2</w:t>
            </w:r>
          </w:p>
        </w:tc>
        <w:tc>
          <w:tcPr>
            <w:tcW w:w="1600" w:type="dxa"/>
            <w:vMerge w:val="restart"/>
            <w:vAlign w:val="center"/>
          </w:tcPr>
          <w:p w14:paraId="4D082A76">
            <w:pPr>
              <w:spacing w:line="360" w:lineRule="auto"/>
              <w:jc w:val="center"/>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拟派本项目服务团队</w:t>
            </w:r>
          </w:p>
          <w:p w14:paraId="4D51C3BD">
            <w:pPr>
              <w:spacing w:line="360" w:lineRule="auto"/>
              <w:jc w:val="center"/>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w:t>
            </w:r>
            <w:r>
              <w:rPr>
                <w:rFonts w:hint="eastAsia" w:ascii="宋体" w:hAnsi="宋体" w:cs="宋体"/>
                <w:color w:val="auto"/>
                <w:sz w:val="21"/>
                <w:szCs w:val="21"/>
                <w:highlight w:val="none"/>
                <w:lang w:val="en-US" w:eastAsia="zh-CN" w:bidi="ar"/>
              </w:rPr>
              <w:t>满分</w:t>
            </w:r>
            <w:r>
              <w:rPr>
                <w:rFonts w:hint="eastAsia" w:ascii="宋体" w:hAnsi="宋体" w:cs="宋体"/>
                <w:color w:val="auto"/>
                <w:sz w:val="21"/>
                <w:szCs w:val="21"/>
                <w:highlight w:val="none"/>
                <w:lang w:bidi="ar"/>
              </w:rPr>
              <w:t>20</w:t>
            </w:r>
            <w:r>
              <w:rPr>
                <w:rFonts w:ascii="宋体" w:hAnsi="宋体" w:cs="宋体"/>
                <w:color w:val="auto"/>
                <w:sz w:val="21"/>
                <w:szCs w:val="21"/>
                <w:highlight w:val="none"/>
                <w:lang w:bidi="ar"/>
              </w:rPr>
              <w:t>分）</w:t>
            </w:r>
          </w:p>
        </w:tc>
        <w:tc>
          <w:tcPr>
            <w:tcW w:w="7124" w:type="dxa"/>
          </w:tcPr>
          <w:p w14:paraId="54CEFF74">
            <w:pPr>
              <w:widowControl/>
              <w:autoSpaceDE w:val="0"/>
              <w:spacing w:line="360" w:lineRule="auto"/>
              <w:jc w:val="left"/>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1.承诺为本项目组建一支具有招聘服务能力、求职招聘信息归集和发布能力的不少于39人（含项目负责人和核心管理团队人员）的专属运营服务团队，为项目运行提供专业化的服务。承诺提供40人得8分。承诺提供41人得9分，承诺提供42人得10分；承诺提供43人及以上得12分，满分12分。</w:t>
            </w:r>
          </w:p>
          <w:p w14:paraId="242ADE28">
            <w:pPr>
              <w:widowControl/>
              <w:autoSpaceDE w:val="0"/>
              <w:spacing w:line="360" w:lineRule="auto"/>
              <w:jc w:val="left"/>
              <w:rPr>
                <w:rFonts w:ascii="宋体" w:hAnsi="宋体" w:cs="宋体"/>
                <w:color w:val="auto"/>
                <w:sz w:val="21"/>
                <w:szCs w:val="21"/>
                <w:highlight w:val="none"/>
                <w:lang w:bidi="ar"/>
              </w:rPr>
            </w:pPr>
            <w:r>
              <w:rPr>
                <w:rFonts w:hint="eastAsia" w:ascii="宋体" w:hAnsi="宋体" w:cs="宋体"/>
                <w:color w:val="auto"/>
                <w:sz w:val="21"/>
                <w:szCs w:val="21"/>
                <w:highlight w:val="none"/>
                <w:lang w:bidi="ar"/>
              </w:rPr>
              <w:t>注：投标文件中须提供相关承诺书（格式自拟），加</w:t>
            </w:r>
            <w:r>
              <w:rPr>
                <w:rFonts w:hint="eastAsia" w:ascii="宋体" w:hAnsi="宋体" w:cs="宋体"/>
                <w:color w:val="auto"/>
                <w:kern w:val="0"/>
                <w:sz w:val="21"/>
                <w:szCs w:val="21"/>
                <w:highlight w:val="none"/>
                <w:lang w:bidi="ar"/>
              </w:rPr>
              <w:t>盖供应商电子签章</w:t>
            </w:r>
            <w:r>
              <w:rPr>
                <w:rFonts w:hint="eastAsia" w:ascii="宋体" w:hAnsi="宋体" w:cs="宋体"/>
                <w:color w:val="auto"/>
                <w:sz w:val="21"/>
                <w:szCs w:val="21"/>
                <w:highlight w:val="none"/>
                <w:lang w:bidi="ar"/>
              </w:rPr>
              <w:t>，否则不予计分。</w:t>
            </w:r>
          </w:p>
        </w:tc>
        <w:tc>
          <w:tcPr>
            <w:tcW w:w="817" w:type="dxa"/>
            <w:vAlign w:val="center"/>
          </w:tcPr>
          <w:p w14:paraId="1B997648">
            <w:pPr>
              <w:widowControl/>
              <w:spacing w:line="42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12分</w:t>
            </w:r>
          </w:p>
        </w:tc>
      </w:tr>
      <w:tr w14:paraId="7E56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7" w:type="dxa"/>
            <w:vMerge w:val="continue"/>
            <w:vAlign w:val="center"/>
          </w:tcPr>
          <w:p w14:paraId="71D13C45">
            <w:pPr>
              <w:widowControl/>
              <w:spacing w:line="420" w:lineRule="exact"/>
              <w:jc w:val="center"/>
              <w:rPr>
                <w:rFonts w:ascii="宋体" w:hAnsi="宋体" w:cs="宋体"/>
                <w:color w:val="auto"/>
                <w:kern w:val="0"/>
                <w:sz w:val="21"/>
                <w:szCs w:val="21"/>
                <w:highlight w:val="none"/>
              </w:rPr>
            </w:pPr>
          </w:p>
        </w:tc>
        <w:tc>
          <w:tcPr>
            <w:tcW w:w="1600" w:type="dxa"/>
            <w:vMerge w:val="continue"/>
            <w:vAlign w:val="center"/>
          </w:tcPr>
          <w:p w14:paraId="03021590">
            <w:pPr>
              <w:spacing w:line="360" w:lineRule="auto"/>
              <w:jc w:val="center"/>
              <w:rPr>
                <w:rFonts w:ascii="宋体" w:hAnsi="宋体" w:cs="宋体"/>
                <w:color w:val="auto"/>
                <w:sz w:val="21"/>
                <w:szCs w:val="21"/>
                <w:highlight w:val="none"/>
                <w:lang w:bidi="ar"/>
              </w:rPr>
            </w:pPr>
          </w:p>
        </w:tc>
        <w:tc>
          <w:tcPr>
            <w:tcW w:w="7124" w:type="dxa"/>
          </w:tcPr>
          <w:p w14:paraId="0201D769">
            <w:pPr>
              <w:widowControl/>
              <w:autoSpaceDE w:val="0"/>
              <w:spacing w:line="360" w:lineRule="auto"/>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lang w:bidi="ar"/>
              </w:rPr>
              <w:t>2.项目负责人（</w:t>
            </w:r>
            <w:r>
              <w:rPr>
                <w:rFonts w:ascii="宋体" w:hAnsi="宋体" w:cs="宋体"/>
                <w:color w:val="auto"/>
                <w:kern w:val="0"/>
                <w:sz w:val="21"/>
                <w:szCs w:val="21"/>
                <w:highlight w:val="none"/>
                <w:lang w:bidi="ar"/>
              </w:rPr>
              <w:t>2</w:t>
            </w:r>
            <w:r>
              <w:rPr>
                <w:rFonts w:hint="eastAsia" w:ascii="宋体" w:hAnsi="宋体" w:cs="宋体"/>
                <w:color w:val="auto"/>
                <w:kern w:val="0"/>
                <w:sz w:val="21"/>
                <w:szCs w:val="21"/>
                <w:highlight w:val="none"/>
                <w:lang w:bidi="ar"/>
              </w:rPr>
              <w:t>分）</w:t>
            </w:r>
          </w:p>
          <w:p w14:paraId="1BB17D10">
            <w:pPr>
              <w:widowControl/>
              <w:autoSpaceDE w:val="0"/>
              <w:spacing w:line="360" w:lineRule="auto"/>
              <w:jc w:val="left"/>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拟配备的项目负责人具有一级企业人力资源管理师证书的得2分；具有二级企业人力资源管理师证书的得1.5分，具有三级企业人力资源管理师证书的得1分，具有四级企业人力资源管理师证书的得0.5分，满分2分。</w:t>
            </w:r>
          </w:p>
          <w:p w14:paraId="031795D8">
            <w:pPr>
              <w:pStyle w:val="11"/>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注：</w:t>
            </w:r>
          </w:p>
          <w:p w14:paraId="3ADC32CC">
            <w:pPr>
              <w:pStyle w:val="11"/>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以上人员提供有效的相关证书及供应商在报价截止时间前六个月（不含报价截止日期当月）中任意一个月供应商为其缴纳社保的证明材料复印件或劳动合同，并加盖供应商电子签章，且拟投入人员现工作单位为投标人所在单位。</w:t>
            </w:r>
          </w:p>
        </w:tc>
        <w:tc>
          <w:tcPr>
            <w:tcW w:w="817" w:type="dxa"/>
            <w:vAlign w:val="center"/>
          </w:tcPr>
          <w:p w14:paraId="2C957FD9">
            <w:pPr>
              <w:widowControl/>
              <w:spacing w:line="42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2分</w:t>
            </w:r>
          </w:p>
        </w:tc>
      </w:tr>
      <w:tr w14:paraId="27158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547" w:type="dxa"/>
            <w:vMerge w:val="continue"/>
            <w:vAlign w:val="center"/>
          </w:tcPr>
          <w:p w14:paraId="56972238">
            <w:pPr>
              <w:widowControl/>
              <w:spacing w:line="420" w:lineRule="exact"/>
              <w:jc w:val="center"/>
              <w:rPr>
                <w:rFonts w:ascii="宋体" w:hAnsi="宋体" w:cs="宋体"/>
                <w:color w:val="auto"/>
                <w:kern w:val="0"/>
                <w:sz w:val="21"/>
                <w:szCs w:val="21"/>
                <w:highlight w:val="none"/>
              </w:rPr>
            </w:pPr>
          </w:p>
        </w:tc>
        <w:tc>
          <w:tcPr>
            <w:tcW w:w="1600" w:type="dxa"/>
            <w:vMerge w:val="continue"/>
            <w:vAlign w:val="center"/>
          </w:tcPr>
          <w:p w14:paraId="7F089209">
            <w:pPr>
              <w:spacing w:line="360" w:lineRule="auto"/>
              <w:jc w:val="center"/>
              <w:rPr>
                <w:rFonts w:ascii="宋体" w:hAnsi="宋体" w:cs="宋体"/>
                <w:color w:val="auto"/>
                <w:sz w:val="21"/>
                <w:szCs w:val="21"/>
                <w:highlight w:val="none"/>
                <w:lang w:bidi="ar"/>
              </w:rPr>
            </w:pPr>
          </w:p>
        </w:tc>
        <w:tc>
          <w:tcPr>
            <w:tcW w:w="7124" w:type="dxa"/>
          </w:tcPr>
          <w:p w14:paraId="06D75F5B">
            <w:pPr>
              <w:widowControl/>
              <w:autoSpaceDE w:val="0"/>
              <w:spacing w:line="360" w:lineRule="auto"/>
              <w:jc w:val="left"/>
              <w:rPr>
                <w:rFonts w:ascii="宋体" w:hAnsi="宋体" w:cs="宋体"/>
                <w:color w:val="auto"/>
                <w:sz w:val="21"/>
                <w:szCs w:val="21"/>
                <w:highlight w:val="none"/>
              </w:rPr>
            </w:pPr>
            <w:r>
              <w:rPr>
                <w:rFonts w:hint="eastAsia" w:ascii="宋体" w:hAnsi="宋体" w:cs="宋体"/>
                <w:color w:val="auto"/>
                <w:kern w:val="0"/>
                <w:sz w:val="21"/>
                <w:szCs w:val="21"/>
                <w:highlight w:val="none"/>
                <w:lang w:bidi="ar"/>
              </w:rPr>
              <w:t>3.拟投入人员（除项目负责人外）（6分）</w:t>
            </w:r>
          </w:p>
          <w:p w14:paraId="0F71D1BF">
            <w:pPr>
              <w:widowControl/>
              <w:autoSpaceDE w:val="0"/>
              <w:spacing w:line="360" w:lineRule="auto"/>
              <w:jc w:val="left"/>
              <w:rPr>
                <w:rFonts w:ascii="宋体" w:hAnsi="宋体" w:cs="宋体"/>
                <w:color w:val="auto"/>
                <w:kern w:val="0"/>
                <w:sz w:val="21"/>
                <w:szCs w:val="21"/>
                <w:highlight w:val="none"/>
                <w:lang w:bidi="ar"/>
              </w:rPr>
            </w:pPr>
            <w:r>
              <w:rPr>
                <w:rFonts w:hint="eastAsia" w:ascii="宋体" w:hAnsi="宋体" w:cs="宋体"/>
                <w:color w:val="auto"/>
                <w:sz w:val="21"/>
                <w:szCs w:val="21"/>
                <w:highlight w:val="none"/>
                <w:lang w:bidi="ar"/>
              </w:rPr>
              <w:t>（1）</w:t>
            </w:r>
            <w:r>
              <w:rPr>
                <w:rFonts w:hint="eastAsia" w:ascii="宋体" w:hAnsi="宋体" w:cs="宋体"/>
                <w:color w:val="auto"/>
                <w:kern w:val="0"/>
                <w:sz w:val="21"/>
                <w:szCs w:val="21"/>
                <w:highlight w:val="none"/>
                <w:lang w:bidi="ar"/>
              </w:rPr>
              <w:t>拟投入人员（除项目负责人外）中具有三级及以上（含三级）企业人力资源管理师证书的，每个人得1分；具有四级及以上（含四级）企业人力资源管理师证书的，每个人得0.5分；具有社会工作者资格证书的，每个人得0.5分，此项满分2分。拟投入人员同一人具有多个证书的仅按1个证书计分，不重复计分，无有效证书或材料不符合要求本项不得分。</w:t>
            </w:r>
          </w:p>
          <w:p w14:paraId="1C883BE5">
            <w:pPr>
              <w:widowControl/>
              <w:autoSpaceDE w:val="0"/>
              <w:spacing w:line="360" w:lineRule="auto"/>
              <w:jc w:val="left"/>
              <w:rPr>
                <w:rFonts w:ascii="宋体" w:hAnsi="宋体" w:cs="宋体"/>
                <w:color w:val="auto"/>
                <w:kern w:val="0"/>
                <w:sz w:val="21"/>
                <w:szCs w:val="21"/>
                <w:highlight w:val="none"/>
                <w:lang w:bidi="ar"/>
              </w:rPr>
            </w:pPr>
            <w:r>
              <w:rPr>
                <w:rFonts w:hint="eastAsia" w:ascii="宋体" w:hAnsi="宋体" w:cs="宋体"/>
                <w:color w:val="auto"/>
                <w:sz w:val="21"/>
                <w:szCs w:val="21"/>
                <w:highlight w:val="none"/>
                <w:lang w:bidi="ar"/>
              </w:rPr>
              <w:t>（2）</w:t>
            </w:r>
            <w:r>
              <w:rPr>
                <w:rFonts w:hint="eastAsia" w:ascii="宋体" w:hAnsi="宋体" w:cs="宋体"/>
                <w:color w:val="auto"/>
                <w:kern w:val="0"/>
                <w:sz w:val="21"/>
                <w:szCs w:val="21"/>
                <w:highlight w:val="none"/>
                <w:lang w:bidi="ar"/>
              </w:rPr>
              <w:t>拟投入人员（除项目负责人外），持有信息系统项目管理师（高级）每个人得0.5分，满分1分</w:t>
            </w:r>
            <w:r>
              <w:rPr>
                <w:rFonts w:hint="eastAsia" w:ascii="宋体" w:hAnsi="宋体" w:cs="宋体"/>
                <w:color w:val="auto"/>
                <w:kern w:val="0"/>
                <w:sz w:val="21"/>
                <w:szCs w:val="21"/>
                <w:highlight w:val="none"/>
                <w:lang w:eastAsia="zh-CN" w:bidi="ar"/>
              </w:rPr>
              <w:t>；</w:t>
            </w:r>
            <w:r>
              <w:rPr>
                <w:rFonts w:hint="eastAsia" w:ascii="宋体" w:hAnsi="宋体" w:cs="宋体"/>
                <w:color w:val="auto"/>
                <w:kern w:val="0"/>
                <w:sz w:val="21"/>
                <w:szCs w:val="21"/>
                <w:highlight w:val="none"/>
                <w:lang w:bidi="ar"/>
              </w:rPr>
              <w:t>持有职业指导师每个人得0.5分，满分1分；持有职业生涯规划师每个人得0.5分，满分1分；持有创业指导师每个人得0.5分，满分1分；此项满分 4 分，拟投入人员同一人具有多个证书的仅按1个证书计分，不重复计分，无有效证书或材料不符合要求本项不得分。</w:t>
            </w:r>
          </w:p>
          <w:p w14:paraId="316E79D0">
            <w:pPr>
              <w:widowControl/>
              <w:autoSpaceDE w:val="0"/>
              <w:spacing w:line="360" w:lineRule="auto"/>
              <w:jc w:val="left"/>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注：以上人员提供有效的相关证书及供应商在报价截止时间前六个月（不含报价截止日期当月）中任意一个月供应商为其缴纳社保的证明材料复印件或劳动合同，并加盖供应商电子签章，且拟投入人员现工作单位为投标人所在单位。</w:t>
            </w:r>
          </w:p>
        </w:tc>
        <w:tc>
          <w:tcPr>
            <w:tcW w:w="817" w:type="dxa"/>
            <w:vAlign w:val="center"/>
          </w:tcPr>
          <w:p w14:paraId="7643EE2F">
            <w:pPr>
              <w:widowControl/>
              <w:spacing w:line="42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6分</w:t>
            </w:r>
          </w:p>
        </w:tc>
      </w:tr>
      <w:tr w14:paraId="1DC3F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47" w:type="dxa"/>
            <w:vAlign w:val="center"/>
          </w:tcPr>
          <w:p w14:paraId="0015C6A5">
            <w:pPr>
              <w:spacing w:line="420" w:lineRule="exact"/>
              <w:ind w:left="-105" w:leftChars="-50" w:right="-105" w:rightChars="-50"/>
              <w:jc w:val="center"/>
              <w:rPr>
                <w:rFonts w:ascii="宋体" w:hAnsi="宋体" w:cs="宋体"/>
                <w:color w:val="auto"/>
                <w:kern w:val="0"/>
                <w:sz w:val="21"/>
                <w:szCs w:val="21"/>
                <w:highlight w:val="none"/>
              </w:rPr>
            </w:pPr>
            <w:r>
              <w:rPr>
                <w:rFonts w:ascii="宋体" w:hAnsi="宋体" w:cs="宋体"/>
                <w:bCs/>
                <w:color w:val="auto"/>
                <w:kern w:val="0"/>
                <w:sz w:val="21"/>
                <w:szCs w:val="21"/>
                <w:highlight w:val="none"/>
              </w:rPr>
              <w:t>3.</w:t>
            </w:r>
            <w:r>
              <w:rPr>
                <w:rFonts w:hint="eastAsia" w:ascii="宋体" w:hAnsi="宋体" w:cs="宋体"/>
                <w:bCs/>
                <w:color w:val="auto"/>
                <w:kern w:val="0"/>
                <w:sz w:val="21"/>
                <w:szCs w:val="21"/>
                <w:highlight w:val="none"/>
              </w:rPr>
              <w:t>3</w:t>
            </w:r>
          </w:p>
        </w:tc>
        <w:tc>
          <w:tcPr>
            <w:tcW w:w="1600" w:type="dxa"/>
            <w:vAlign w:val="center"/>
          </w:tcPr>
          <w:p w14:paraId="5E72666E">
            <w:pPr>
              <w:spacing w:line="360" w:lineRule="auto"/>
              <w:jc w:val="center"/>
              <w:rPr>
                <w:rFonts w:ascii="宋体" w:hAnsi="宋体" w:cs="宋体"/>
                <w:bCs/>
                <w:color w:val="auto"/>
                <w:sz w:val="21"/>
                <w:szCs w:val="21"/>
                <w:highlight w:val="none"/>
              </w:rPr>
            </w:pPr>
            <w:r>
              <w:rPr>
                <w:rFonts w:hint="eastAsia" w:ascii="宋体" w:hAnsi="宋体" w:cs="宋体"/>
                <w:bCs/>
                <w:color w:val="auto"/>
                <w:sz w:val="21"/>
                <w:szCs w:val="21"/>
                <w:highlight w:val="none"/>
              </w:rPr>
              <w:t>业绩分</w:t>
            </w:r>
          </w:p>
          <w:p w14:paraId="65D07688">
            <w:pPr>
              <w:spacing w:line="360" w:lineRule="auto"/>
              <w:jc w:val="center"/>
              <w:rPr>
                <w:rFonts w:ascii="宋体" w:hAnsi="宋体" w:cs="宋体"/>
                <w:bCs/>
                <w:color w:val="auto"/>
                <w:sz w:val="21"/>
                <w:szCs w:val="21"/>
                <w:highlight w:val="none"/>
              </w:rPr>
            </w:pPr>
            <w:r>
              <w:rPr>
                <w:rFonts w:ascii="宋体" w:hAnsi="宋体" w:cs="宋体"/>
                <w:bCs/>
                <w:color w:val="auto"/>
                <w:sz w:val="21"/>
                <w:szCs w:val="21"/>
                <w:highlight w:val="none"/>
              </w:rPr>
              <w:t>（满分</w:t>
            </w:r>
            <w:r>
              <w:rPr>
                <w:rFonts w:hint="eastAsia" w:ascii="宋体" w:hAnsi="宋体" w:cs="宋体"/>
                <w:bCs/>
                <w:color w:val="auto"/>
                <w:sz w:val="21"/>
                <w:szCs w:val="21"/>
                <w:highlight w:val="none"/>
              </w:rPr>
              <w:t>6</w:t>
            </w:r>
            <w:r>
              <w:rPr>
                <w:rFonts w:ascii="宋体" w:hAnsi="宋体" w:cs="宋体"/>
                <w:bCs/>
                <w:color w:val="auto"/>
                <w:sz w:val="21"/>
                <w:szCs w:val="21"/>
                <w:highlight w:val="none"/>
              </w:rPr>
              <w:t>分）</w:t>
            </w:r>
          </w:p>
        </w:tc>
        <w:tc>
          <w:tcPr>
            <w:tcW w:w="7124" w:type="dxa"/>
          </w:tcPr>
          <w:p w14:paraId="09602E74">
            <w:pPr>
              <w:spacing w:line="360" w:lineRule="auto"/>
              <w:rPr>
                <w:rFonts w:ascii="宋体" w:hAnsi="宋体"/>
                <w:bCs/>
                <w:color w:val="auto"/>
                <w:kern w:val="0"/>
                <w:sz w:val="21"/>
                <w:szCs w:val="21"/>
                <w:highlight w:val="none"/>
              </w:rPr>
            </w:pPr>
            <w:r>
              <w:rPr>
                <w:rFonts w:hint="eastAsia" w:ascii="宋体" w:hAnsi="宋体"/>
                <w:bCs/>
                <w:color w:val="auto"/>
                <w:kern w:val="0"/>
                <w:sz w:val="21"/>
                <w:szCs w:val="21"/>
                <w:highlight w:val="none"/>
              </w:rPr>
              <w:t>投标人202</w:t>
            </w:r>
            <w:r>
              <w:rPr>
                <w:rFonts w:ascii="宋体" w:hAnsi="宋体"/>
                <w:bCs/>
                <w:color w:val="auto"/>
                <w:kern w:val="0"/>
                <w:sz w:val="21"/>
                <w:szCs w:val="21"/>
                <w:highlight w:val="none"/>
              </w:rPr>
              <w:t>3</w:t>
            </w:r>
            <w:r>
              <w:rPr>
                <w:rFonts w:hint="eastAsia" w:ascii="宋体" w:hAnsi="宋体"/>
                <w:bCs/>
                <w:color w:val="auto"/>
                <w:kern w:val="0"/>
                <w:sz w:val="21"/>
                <w:szCs w:val="21"/>
                <w:highlight w:val="none"/>
              </w:rPr>
              <w:t>年1月1日以来承接过</w:t>
            </w:r>
            <w:r>
              <w:rPr>
                <w:rFonts w:hint="eastAsia" w:ascii="宋体" w:hAnsi="宋体" w:cs="宋体"/>
                <w:color w:val="auto"/>
                <w:sz w:val="21"/>
                <w:szCs w:val="21"/>
                <w:highlight w:val="none"/>
                <w:lang w:bidi="ar"/>
              </w:rPr>
              <w:t>运营服务类业绩</w:t>
            </w:r>
            <w:r>
              <w:rPr>
                <w:rFonts w:hint="eastAsia" w:ascii="宋体" w:hAnsi="宋体"/>
                <w:bCs/>
                <w:color w:val="auto"/>
                <w:kern w:val="0"/>
                <w:sz w:val="21"/>
                <w:szCs w:val="21"/>
                <w:highlight w:val="none"/>
              </w:rPr>
              <w:t>的，每个项目得1分，每提供1份合同复印件或中标（成交）通知书按相应分值计分，本项最高得6分。</w:t>
            </w:r>
          </w:p>
        </w:tc>
        <w:tc>
          <w:tcPr>
            <w:tcW w:w="817" w:type="dxa"/>
            <w:vAlign w:val="center"/>
          </w:tcPr>
          <w:p w14:paraId="49E2D2F6">
            <w:pPr>
              <w:widowControl/>
              <w:spacing w:line="42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6分</w:t>
            </w:r>
          </w:p>
        </w:tc>
      </w:tr>
      <w:tr w14:paraId="002C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47" w:type="dxa"/>
            <w:vAlign w:val="center"/>
          </w:tcPr>
          <w:p w14:paraId="01109B38">
            <w:pPr>
              <w:spacing w:line="420" w:lineRule="exact"/>
              <w:ind w:left="-105" w:leftChars="-50" w:right="-105" w:rightChars="-50"/>
              <w:jc w:val="center"/>
              <w:rPr>
                <w:rFonts w:ascii="宋体" w:hAnsi="宋体" w:cs="宋体"/>
                <w:color w:val="auto"/>
                <w:kern w:val="0"/>
                <w:sz w:val="21"/>
                <w:szCs w:val="21"/>
                <w:highlight w:val="none"/>
              </w:rPr>
            </w:pPr>
            <w:r>
              <w:rPr>
                <w:rFonts w:ascii="宋体" w:hAnsi="宋体" w:cs="宋体"/>
                <w:bCs/>
                <w:color w:val="auto"/>
                <w:kern w:val="0"/>
                <w:sz w:val="21"/>
                <w:szCs w:val="21"/>
                <w:highlight w:val="none"/>
              </w:rPr>
              <w:t>3.4</w:t>
            </w:r>
          </w:p>
        </w:tc>
        <w:tc>
          <w:tcPr>
            <w:tcW w:w="1600" w:type="dxa"/>
            <w:vAlign w:val="center"/>
          </w:tcPr>
          <w:p w14:paraId="751F598E">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信息化服务支撑服务</w:t>
            </w:r>
          </w:p>
          <w:p w14:paraId="4EBB8EDA">
            <w:pPr>
              <w:spacing w:line="360" w:lineRule="auto"/>
              <w:jc w:val="center"/>
              <w:rPr>
                <w:rFonts w:ascii="宋体" w:hAnsi="宋体" w:cs="宋体"/>
                <w:bCs/>
                <w:color w:val="auto"/>
                <w:sz w:val="21"/>
                <w:szCs w:val="21"/>
                <w:highlight w:val="none"/>
              </w:rPr>
            </w:pPr>
            <w:r>
              <w:rPr>
                <w:rFonts w:hint="eastAsia" w:ascii="宋体" w:hAnsi="宋体" w:cs="宋体"/>
                <w:color w:val="auto"/>
                <w:sz w:val="21"/>
                <w:szCs w:val="21"/>
                <w:highlight w:val="none"/>
              </w:rPr>
              <w:t>（满分9分）</w:t>
            </w:r>
          </w:p>
        </w:tc>
        <w:tc>
          <w:tcPr>
            <w:tcW w:w="7124" w:type="dxa"/>
            <w:vAlign w:val="center"/>
          </w:tcPr>
          <w:p w14:paraId="0C6426BA">
            <w:pPr>
              <w:spacing w:line="360" w:lineRule="auto"/>
              <w:rPr>
                <w:rFonts w:ascii="宋体" w:hAnsi="宋体"/>
                <w:bCs/>
                <w:color w:val="auto"/>
                <w:kern w:val="0"/>
                <w:sz w:val="21"/>
                <w:szCs w:val="21"/>
                <w:highlight w:val="none"/>
              </w:rPr>
            </w:pPr>
            <w:r>
              <w:rPr>
                <w:rFonts w:hint="eastAsia" w:ascii="宋体" w:hAnsi="宋体"/>
                <w:bCs/>
                <w:color w:val="auto"/>
                <w:kern w:val="0"/>
                <w:sz w:val="21"/>
                <w:szCs w:val="21"/>
                <w:highlight w:val="none"/>
              </w:rPr>
              <w:t>投标人提供的信息化平台能在线实现信息发布、居民求职、企业招聘、零工发布、零工招聘、创业服务、技能培训等服务的，每实现一项得1分，满分3分；能实现按个人条件和需求实现岗位、创业或培训的精准匹配和智能推送的，每实现一项得1分，满分3分；能实现在线零工抢单、零工结算功能的，每实现一项得1.5分，满分3分。本项最高得9分。</w:t>
            </w:r>
          </w:p>
          <w:p w14:paraId="792E65C3">
            <w:pPr>
              <w:spacing w:line="360" w:lineRule="auto"/>
              <w:rPr>
                <w:rFonts w:ascii="宋体" w:hAnsi="宋体"/>
                <w:bCs/>
                <w:color w:val="auto"/>
                <w:kern w:val="0"/>
                <w:sz w:val="21"/>
                <w:szCs w:val="21"/>
                <w:highlight w:val="none"/>
              </w:rPr>
            </w:pPr>
            <w:r>
              <w:rPr>
                <w:rFonts w:hint="eastAsia" w:ascii="宋体" w:hAnsi="宋体"/>
                <w:bCs/>
                <w:color w:val="auto"/>
                <w:kern w:val="0"/>
                <w:sz w:val="21"/>
                <w:szCs w:val="21"/>
                <w:highlight w:val="none"/>
              </w:rPr>
              <w:t>注：投标文件中需提供系统网址、APP或小程序功能截图或相关</w:t>
            </w:r>
            <w:r>
              <w:rPr>
                <w:rFonts w:ascii="宋体" w:hAnsi="宋体" w:cs="宋体"/>
                <w:color w:val="auto"/>
                <w:sz w:val="21"/>
                <w:szCs w:val="21"/>
                <w:highlight w:val="none"/>
                <w:lang w:bidi="ar"/>
              </w:rPr>
              <w:t>软件著作权证书</w:t>
            </w:r>
            <w:r>
              <w:rPr>
                <w:rFonts w:hint="eastAsia" w:ascii="宋体" w:hAnsi="宋体"/>
                <w:bCs/>
                <w:color w:val="auto"/>
                <w:kern w:val="0"/>
                <w:sz w:val="21"/>
                <w:szCs w:val="21"/>
                <w:highlight w:val="none"/>
              </w:rPr>
              <w:t>或承诺在站点投入运营前能提供上述服务作为证明材料，否则不得分。</w:t>
            </w:r>
          </w:p>
        </w:tc>
        <w:tc>
          <w:tcPr>
            <w:tcW w:w="817" w:type="dxa"/>
            <w:vAlign w:val="center"/>
          </w:tcPr>
          <w:p w14:paraId="0402F2E3">
            <w:pPr>
              <w:widowControl/>
              <w:spacing w:line="420" w:lineRule="exact"/>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9分</w:t>
            </w:r>
          </w:p>
        </w:tc>
      </w:tr>
      <w:tr w14:paraId="0F98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0088" w:type="dxa"/>
            <w:gridSpan w:val="4"/>
            <w:vAlign w:val="center"/>
          </w:tcPr>
          <w:p w14:paraId="4C951D7B">
            <w:pPr>
              <w:widowControl/>
              <w:spacing w:line="420" w:lineRule="exact"/>
              <w:jc w:val="left"/>
              <w:rPr>
                <w:rFonts w:ascii="宋体" w:hAnsi="宋体" w:cs="宋体"/>
                <w:color w:val="auto"/>
                <w:kern w:val="0"/>
                <w:sz w:val="21"/>
                <w:szCs w:val="21"/>
                <w:highlight w:val="none"/>
              </w:rPr>
            </w:pPr>
            <w:r>
              <w:rPr>
                <w:rFonts w:hint="eastAsia" w:ascii="宋体" w:hAnsi="宋体" w:cs="宋体"/>
                <w:bCs/>
                <w:color w:val="auto"/>
                <w:sz w:val="21"/>
                <w:szCs w:val="21"/>
                <w:highlight w:val="none"/>
              </w:rPr>
              <w:t>总得分＝1＋2＋3</w:t>
            </w:r>
          </w:p>
        </w:tc>
      </w:tr>
    </w:tbl>
    <w:p w14:paraId="732F72CE">
      <w:pPr>
        <w:pStyle w:val="3"/>
        <w:jc w:val="center"/>
        <w:rPr>
          <w:b w:val="0"/>
          <w:color w:val="auto"/>
          <w:sz w:val="30"/>
          <w:szCs w:val="30"/>
          <w:highlight w:val="none"/>
        </w:rPr>
      </w:pPr>
      <w:bookmarkStart w:id="26" w:name="_Toc2653"/>
      <w:r>
        <w:rPr>
          <w:rFonts w:hint="eastAsia"/>
          <w:b w:val="0"/>
          <w:color w:val="auto"/>
          <w:sz w:val="30"/>
          <w:szCs w:val="30"/>
          <w:highlight w:val="none"/>
        </w:rPr>
        <w:t>第四节</w:t>
      </w:r>
      <w:r>
        <w:rPr>
          <w:b w:val="0"/>
          <w:color w:val="auto"/>
          <w:sz w:val="30"/>
          <w:szCs w:val="30"/>
          <w:highlight w:val="none"/>
        </w:rPr>
        <w:t xml:space="preserve"> </w:t>
      </w:r>
      <w:r>
        <w:rPr>
          <w:rFonts w:hint="eastAsia"/>
          <w:b w:val="0"/>
          <w:color w:val="auto"/>
          <w:sz w:val="30"/>
          <w:szCs w:val="30"/>
          <w:highlight w:val="none"/>
        </w:rPr>
        <w:t>中标候选人推荐原则</w:t>
      </w:r>
      <w:bookmarkEnd w:id="26"/>
    </w:p>
    <w:p w14:paraId="7E544AAF">
      <w:pPr>
        <w:pStyle w:val="14"/>
        <w:numPr>
          <w:ilvl w:val="0"/>
          <w:numId w:val="3"/>
        </w:numPr>
        <w:spacing w:line="360" w:lineRule="auto"/>
        <w:contextualSpacing/>
        <w:rPr>
          <w:rFonts w:hAnsi="宋体"/>
          <w:b/>
          <w:bCs/>
          <w:color w:val="auto"/>
          <w:sz w:val="24"/>
          <w:szCs w:val="24"/>
          <w:highlight w:val="none"/>
        </w:rPr>
      </w:pPr>
      <w:r>
        <w:rPr>
          <w:rFonts w:hint="eastAsia" w:hAnsi="宋体"/>
          <w:b/>
          <w:bCs/>
          <w:color w:val="auto"/>
          <w:sz w:val="24"/>
          <w:szCs w:val="24"/>
          <w:highlight w:val="none"/>
        </w:rPr>
        <w:t>综合评分法</w:t>
      </w:r>
    </w:p>
    <w:p w14:paraId="02C2138A">
      <w:pPr>
        <w:pStyle w:val="14"/>
        <w:spacing w:line="360" w:lineRule="auto"/>
        <w:ind w:firstLine="420" w:firstLineChars="200"/>
        <w:rPr>
          <w:rFonts w:hAnsi="宋体"/>
          <w:color w:val="auto"/>
          <w:highlight w:val="none"/>
        </w:rPr>
      </w:pPr>
      <w:r>
        <w:rPr>
          <w:rFonts w:hint="eastAsia" w:hAnsi="宋体"/>
          <w:color w:val="auto"/>
          <w:highlight w:val="none"/>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6A744143">
      <w:pPr>
        <w:pStyle w:val="3"/>
        <w:spacing w:before="0" w:after="0" w:line="360" w:lineRule="auto"/>
        <w:ind w:firstLine="600" w:firstLineChars="200"/>
        <w:jc w:val="center"/>
        <w:rPr>
          <w:b w:val="0"/>
          <w:color w:val="auto"/>
          <w:sz w:val="30"/>
          <w:szCs w:val="30"/>
          <w:highlight w:val="none"/>
        </w:rPr>
      </w:pPr>
      <w:bookmarkStart w:id="27" w:name="_Toc7286"/>
      <w:r>
        <w:rPr>
          <w:rFonts w:hint="eastAsia"/>
          <w:b w:val="0"/>
          <w:color w:val="auto"/>
          <w:sz w:val="30"/>
          <w:szCs w:val="30"/>
          <w:highlight w:val="none"/>
        </w:rPr>
        <w:t>第五节</w:t>
      </w:r>
      <w:r>
        <w:rPr>
          <w:b w:val="0"/>
          <w:color w:val="auto"/>
          <w:sz w:val="30"/>
          <w:szCs w:val="30"/>
          <w:highlight w:val="none"/>
        </w:rPr>
        <w:t xml:space="preserve"> </w:t>
      </w:r>
      <w:r>
        <w:rPr>
          <w:rFonts w:hint="eastAsia"/>
          <w:b w:val="0"/>
          <w:color w:val="auto"/>
          <w:sz w:val="30"/>
          <w:szCs w:val="30"/>
          <w:highlight w:val="none"/>
        </w:rPr>
        <w:t>评标报告</w:t>
      </w:r>
      <w:bookmarkEnd w:id="27"/>
    </w:p>
    <w:p w14:paraId="08F8A706">
      <w:pPr>
        <w:pStyle w:val="64"/>
        <w:spacing w:before="0"/>
        <w:ind w:firstLine="482"/>
        <w:rPr>
          <w:rFonts w:ascii="宋体" w:hAnsi="宋体"/>
          <w:b/>
          <w:bCs/>
          <w:color w:val="auto"/>
          <w:szCs w:val="24"/>
          <w:highlight w:val="none"/>
        </w:rPr>
      </w:pPr>
      <w:r>
        <w:rPr>
          <w:rFonts w:hint="eastAsia" w:ascii="宋体" w:hAnsi="宋体"/>
          <w:b/>
          <w:bCs/>
          <w:color w:val="auto"/>
          <w:szCs w:val="24"/>
          <w:highlight w:val="none"/>
        </w:rPr>
        <w:t>（一）评标报告与推荐中标候选人</w:t>
      </w:r>
    </w:p>
    <w:p w14:paraId="462C4913">
      <w:pPr>
        <w:pStyle w:val="14"/>
        <w:tabs>
          <w:tab w:val="left" w:pos="2472"/>
        </w:tabs>
        <w:spacing w:line="360" w:lineRule="auto"/>
        <w:ind w:firstLine="420" w:firstLineChars="200"/>
        <w:rPr>
          <w:rFonts w:hAnsi="宋体"/>
          <w:color w:val="auto"/>
          <w:highlight w:val="none"/>
        </w:rPr>
      </w:pPr>
      <w:r>
        <w:rPr>
          <w:rFonts w:hint="eastAsia" w:hAnsi="宋体"/>
          <w:color w:val="auto"/>
          <w:highlight w:val="none"/>
        </w:rPr>
        <w:t>评标委员会根据原始评标记录和评标结果编写评标报告，并通过电子交易平台向采购人、采购代理机构提交。</w:t>
      </w:r>
    </w:p>
    <w:p w14:paraId="2BFC4B13">
      <w:pPr>
        <w:widowControl/>
        <w:spacing w:line="360" w:lineRule="auto"/>
        <w:ind w:firstLine="482" w:firstLineChars="200"/>
        <w:jc w:val="left"/>
        <w:rPr>
          <w:rFonts w:ascii="宋体" w:hAnsi="宋体"/>
          <w:b/>
          <w:bCs/>
          <w:color w:val="auto"/>
          <w:sz w:val="24"/>
          <w:highlight w:val="none"/>
        </w:rPr>
      </w:pPr>
      <w:r>
        <w:rPr>
          <w:rFonts w:hint="eastAsia" w:ascii="宋体" w:hAnsi="宋体"/>
          <w:b/>
          <w:bCs/>
          <w:color w:val="auto"/>
          <w:sz w:val="24"/>
          <w:highlight w:val="none"/>
        </w:rPr>
        <w:t>（二）评标争议事项处理</w:t>
      </w:r>
    </w:p>
    <w:p w14:paraId="08D8E455">
      <w:pPr>
        <w:pStyle w:val="14"/>
        <w:tabs>
          <w:tab w:val="left" w:pos="2472"/>
        </w:tabs>
        <w:spacing w:line="360" w:lineRule="auto"/>
        <w:ind w:firstLine="420" w:firstLineChars="200"/>
        <w:rPr>
          <w:rFonts w:hAnsi="宋体"/>
          <w:color w:val="auto"/>
          <w:highlight w:val="none"/>
        </w:rPr>
      </w:pPr>
      <w:r>
        <w:rPr>
          <w:rFonts w:hint="eastAsia" w:hAnsi="宋体"/>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03BC4ED9">
      <w:pPr>
        <w:widowControl/>
        <w:jc w:val="left"/>
        <w:rPr>
          <w:b/>
          <w:color w:val="auto"/>
          <w:sz w:val="36"/>
          <w:szCs w:val="20"/>
          <w:highlight w:val="none"/>
        </w:rPr>
        <w:sectPr>
          <w:pgSz w:w="11906" w:h="16838"/>
          <w:pgMar w:top="1134" w:right="1134" w:bottom="1134" w:left="1134" w:header="720" w:footer="720" w:gutter="0"/>
          <w:cols w:space="720" w:num="1"/>
          <w:docGrid w:type="lines" w:linePitch="331" w:charSpace="0"/>
        </w:sectPr>
      </w:pPr>
    </w:p>
    <w:p w14:paraId="6A29969F">
      <w:pPr>
        <w:pStyle w:val="14"/>
        <w:tabs>
          <w:tab w:val="left" w:pos="2472"/>
        </w:tabs>
        <w:spacing w:line="460" w:lineRule="exact"/>
        <w:jc w:val="center"/>
        <w:rPr>
          <w:rFonts w:ascii="Times New Roman" w:hAnsi="Times New Roman"/>
          <w:b/>
          <w:color w:val="auto"/>
          <w:sz w:val="36"/>
          <w:highlight w:val="none"/>
        </w:rPr>
      </w:pPr>
    </w:p>
    <w:p w14:paraId="58845004">
      <w:pPr>
        <w:pStyle w:val="14"/>
        <w:tabs>
          <w:tab w:val="left" w:pos="2472"/>
        </w:tabs>
        <w:spacing w:line="460" w:lineRule="exact"/>
        <w:jc w:val="center"/>
        <w:rPr>
          <w:rFonts w:ascii="Times New Roman" w:hAnsi="Times New Roman"/>
          <w:b/>
          <w:color w:val="auto"/>
          <w:sz w:val="36"/>
          <w:highlight w:val="none"/>
        </w:rPr>
      </w:pPr>
    </w:p>
    <w:p w14:paraId="66FE85C3">
      <w:pPr>
        <w:rPr>
          <w:color w:val="auto"/>
          <w:highlight w:val="none"/>
        </w:rPr>
      </w:pPr>
    </w:p>
    <w:p w14:paraId="4D5E81A6">
      <w:pPr>
        <w:pStyle w:val="14"/>
        <w:tabs>
          <w:tab w:val="left" w:pos="2472"/>
        </w:tabs>
        <w:spacing w:line="460" w:lineRule="exact"/>
        <w:jc w:val="center"/>
        <w:rPr>
          <w:rFonts w:ascii="Times New Roman" w:hAnsi="Times New Roman"/>
          <w:b/>
          <w:color w:val="auto"/>
          <w:sz w:val="36"/>
          <w:highlight w:val="none"/>
        </w:rPr>
      </w:pPr>
    </w:p>
    <w:p w14:paraId="3DA0A827">
      <w:pPr>
        <w:pStyle w:val="14"/>
        <w:tabs>
          <w:tab w:val="left" w:pos="2472"/>
        </w:tabs>
        <w:spacing w:line="460" w:lineRule="exact"/>
        <w:jc w:val="center"/>
        <w:rPr>
          <w:rFonts w:ascii="Times New Roman" w:hAnsi="Times New Roman"/>
          <w:b/>
          <w:color w:val="auto"/>
          <w:sz w:val="36"/>
          <w:highlight w:val="none"/>
        </w:rPr>
      </w:pPr>
    </w:p>
    <w:p w14:paraId="575FBAC1">
      <w:pPr>
        <w:pStyle w:val="14"/>
        <w:tabs>
          <w:tab w:val="left" w:pos="2472"/>
        </w:tabs>
        <w:spacing w:line="460" w:lineRule="exact"/>
        <w:jc w:val="center"/>
        <w:rPr>
          <w:rFonts w:ascii="Times New Roman" w:hAnsi="Times New Roman"/>
          <w:b/>
          <w:color w:val="auto"/>
          <w:sz w:val="36"/>
          <w:highlight w:val="none"/>
        </w:rPr>
      </w:pPr>
    </w:p>
    <w:p w14:paraId="0E8C6F1C">
      <w:pPr>
        <w:pStyle w:val="14"/>
        <w:tabs>
          <w:tab w:val="left" w:pos="2472"/>
        </w:tabs>
        <w:spacing w:line="460" w:lineRule="exact"/>
        <w:jc w:val="center"/>
        <w:rPr>
          <w:rFonts w:ascii="Times New Roman" w:hAnsi="Times New Roman"/>
          <w:b/>
          <w:color w:val="auto"/>
          <w:sz w:val="36"/>
          <w:highlight w:val="none"/>
        </w:rPr>
      </w:pPr>
    </w:p>
    <w:p w14:paraId="3C8F355A">
      <w:pPr>
        <w:pStyle w:val="14"/>
        <w:tabs>
          <w:tab w:val="left" w:pos="2472"/>
        </w:tabs>
        <w:spacing w:line="460" w:lineRule="exact"/>
        <w:jc w:val="center"/>
        <w:rPr>
          <w:rFonts w:ascii="Times New Roman" w:hAnsi="Times New Roman"/>
          <w:b/>
          <w:color w:val="auto"/>
          <w:sz w:val="36"/>
          <w:highlight w:val="none"/>
        </w:rPr>
      </w:pPr>
    </w:p>
    <w:p w14:paraId="5CFE8FAA">
      <w:pPr>
        <w:pStyle w:val="14"/>
        <w:tabs>
          <w:tab w:val="left" w:pos="2472"/>
        </w:tabs>
        <w:spacing w:line="460" w:lineRule="exact"/>
        <w:jc w:val="center"/>
        <w:rPr>
          <w:rFonts w:ascii="Times New Roman" w:hAnsi="Times New Roman"/>
          <w:b/>
          <w:color w:val="auto"/>
          <w:sz w:val="36"/>
          <w:highlight w:val="none"/>
        </w:rPr>
      </w:pPr>
    </w:p>
    <w:p w14:paraId="2CDA6206">
      <w:pPr>
        <w:pStyle w:val="14"/>
        <w:tabs>
          <w:tab w:val="left" w:pos="2472"/>
        </w:tabs>
        <w:spacing w:line="460" w:lineRule="exact"/>
        <w:jc w:val="center"/>
        <w:rPr>
          <w:rFonts w:ascii="Times New Roman" w:hAnsi="Times New Roman"/>
          <w:b/>
          <w:color w:val="auto"/>
          <w:sz w:val="36"/>
          <w:highlight w:val="none"/>
        </w:rPr>
      </w:pPr>
    </w:p>
    <w:p w14:paraId="50EF3DEB">
      <w:pPr>
        <w:pStyle w:val="14"/>
        <w:tabs>
          <w:tab w:val="left" w:pos="2472"/>
        </w:tabs>
        <w:spacing w:line="460" w:lineRule="exact"/>
        <w:jc w:val="center"/>
        <w:rPr>
          <w:rFonts w:ascii="Times New Roman" w:hAnsi="Times New Roman"/>
          <w:b/>
          <w:color w:val="auto"/>
          <w:sz w:val="36"/>
          <w:highlight w:val="none"/>
        </w:rPr>
      </w:pPr>
    </w:p>
    <w:p w14:paraId="052753FD">
      <w:pPr>
        <w:pStyle w:val="14"/>
        <w:tabs>
          <w:tab w:val="left" w:pos="2472"/>
        </w:tabs>
        <w:spacing w:line="460" w:lineRule="exact"/>
        <w:jc w:val="center"/>
        <w:outlineLvl w:val="0"/>
        <w:rPr>
          <w:rFonts w:ascii="Times New Roman" w:hAnsi="Times New Roman"/>
          <w:b/>
          <w:color w:val="auto"/>
          <w:sz w:val="36"/>
          <w:highlight w:val="none"/>
        </w:rPr>
      </w:pPr>
      <w:bookmarkStart w:id="28" w:name="_Toc31485"/>
      <w:r>
        <w:rPr>
          <w:rFonts w:hint="eastAsia" w:ascii="Times New Roman" w:hAnsi="Times New Roman"/>
          <w:b/>
          <w:color w:val="auto"/>
          <w:sz w:val="36"/>
          <w:highlight w:val="none"/>
        </w:rPr>
        <w:t>第五章</w:t>
      </w:r>
      <w:r>
        <w:rPr>
          <w:rFonts w:ascii="Times New Roman" w:hAnsi="Times New Roman"/>
          <w:b/>
          <w:color w:val="auto"/>
          <w:sz w:val="36"/>
          <w:highlight w:val="none"/>
        </w:rPr>
        <w:t xml:space="preserve"> </w:t>
      </w:r>
      <w:r>
        <w:rPr>
          <w:rFonts w:hint="eastAsia" w:ascii="Times New Roman" w:hAnsi="Times New Roman"/>
          <w:b/>
          <w:color w:val="auto"/>
          <w:sz w:val="36"/>
          <w:highlight w:val="none"/>
        </w:rPr>
        <w:t>拟签订的合同文本</w:t>
      </w:r>
      <w:bookmarkEnd w:id="28"/>
    </w:p>
    <w:p w14:paraId="50CDCECD">
      <w:pPr>
        <w:widowControl/>
        <w:jc w:val="left"/>
        <w:rPr>
          <w:rFonts w:ascii="宋体" w:hAnsi="Courier New"/>
          <w:bCs/>
          <w:color w:val="auto"/>
          <w:szCs w:val="20"/>
          <w:highlight w:val="none"/>
        </w:rPr>
        <w:sectPr>
          <w:pgSz w:w="11906" w:h="16838"/>
          <w:pgMar w:top="1134" w:right="1134" w:bottom="1134" w:left="1134" w:header="720" w:footer="720" w:gutter="0"/>
          <w:cols w:space="720" w:num="1"/>
          <w:docGrid w:type="lines" w:linePitch="331" w:charSpace="0"/>
        </w:sectPr>
      </w:pPr>
    </w:p>
    <w:p w14:paraId="028369AA">
      <w:pPr>
        <w:spacing w:line="360" w:lineRule="auto"/>
        <w:rPr>
          <w:rFonts w:ascii="仿宋_GB2312" w:hAnsi="楷体" w:eastAsia="仿宋_GB2312"/>
          <w:color w:val="auto"/>
          <w:sz w:val="24"/>
          <w:highlight w:val="none"/>
        </w:rPr>
      </w:pPr>
    </w:p>
    <w:p w14:paraId="06795469">
      <w:pPr>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广西政府采购云平台合同编号：</w:t>
      </w:r>
      <w:r>
        <w:rPr>
          <w:rFonts w:hint="eastAsia" w:ascii="仿宋" w:hAnsi="仿宋" w:eastAsia="仿宋" w:cs="仿宋"/>
          <w:color w:val="auto"/>
          <w:sz w:val="24"/>
          <w:highlight w:val="none"/>
          <w:u w:val="single"/>
        </w:rPr>
        <w:t xml:space="preserve">           </w:t>
      </w:r>
    </w:p>
    <w:p w14:paraId="77A7F5B8">
      <w:pPr>
        <w:spacing w:line="360" w:lineRule="auto"/>
        <w:jc w:val="center"/>
        <w:rPr>
          <w:rFonts w:ascii="宋体"/>
          <w:b/>
          <w:bCs/>
          <w:color w:val="auto"/>
          <w:sz w:val="52"/>
          <w:highlight w:val="none"/>
        </w:rPr>
      </w:pPr>
    </w:p>
    <w:p w14:paraId="018A7FCF">
      <w:pPr>
        <w:spacing w:line="360" w:lineRule="auto"/>
        <w:jc w:val="center"/>
        <w:rPr>
          <w:rFonts w:ascii="宋体"/>
          <w:b/>
          <w:bCs/>
          <w:color w:val="auto"/>
          <w:sz w:val="52"/>
          <w:highlight w:val="none"/>
        </w:rPr>
      </w:pPr>
    </w:p>
    <w:p w14:paraId="3955E903">
      <w:pPr>
        <w:spacing w:line="360" w:lineRule="auto"/>
        <w:jc w:val="center"/>
        <w:rPr>
          <w:rFonts w:ascii="宋体"/>
          <w:b/>
          <w:bCs/>
          <w:color w:val="auto"/>
          <w:sz w:val="52"/>
          <w:highlight w:val="none"/>
        </w:rPr>
      </w:pPr>
      <w:r>
        <w:rPr>
          <w:rFonts w:hint="eastAsia" w:ascii="宋体"/>
          <w:b/>
          <w:bCs/>
          <w:color w:val="auto"/>
          <w:sz w:val="52"/>
          <w:highlight w:val="none"/>
        </w:rPr>
        <w:t>南 宁 市 政 府 采 购</w:t>
      </w:r>
    </w:p>
    <w:p w14:paraId="2FD8F681">
      <w:pPr>
        <w:spacing w:line="360" w:lineRule="auto"/>
        <w:ind w:firstLine="420" w:firstLineChars="200"/>
        <w:rPr>
          <w:rFonts w:ascii="宋体"/>
          <w:color w:val="auto"/>
          <w:highlight w:val="none"/>
        </w:rPr>
      </w:pPr>
    </w:p>
    <w:p w14:paraId="31756CB6">
      <w:pPr>
        <w:spacing w:line="360" w:lineRule="auto"/>
        <w:ind w:firstLine="420" w:firstLineChars="200"/>
        <w:rPr>
          <w:rFonts w:ascii="宋体"/>
          <w:color w:val="auto"/>
          <w:highlight w:val="none"/>
        </w:rPr>
      </w:pPr>
      <w:r>
        <w:rPr>
          <w:rFonts w:hint="eastAsia" w:ascii="宋体"/>
          <w:color w:val="auto"/>
          <w:highlight w:val="none"/>
        </w:rPr>
        <w:t xml:space="preserve">                                                 </w:t>
      </w:r>
    </w:p>
    <w:p w14:paraId="00D83E4A">
      <w:pPr>
        <w:spacing w:line="360" w:lineRule="auto"/>
        <w:jc w:val="center"/>
        <w:rPr>
          <w:rFonts w:ascii="宋体"/>
          <w:b/>
          <w:bCs/>
          <w:color w:val="auto"/>
          <w:sz w:val="44"/>
          <w:highlight w:val="none"/>
        </w:rPr>
      </w:pPr>
      <w:r>
        <w:rPr>
          <w:rFonts w:hint="eastAsia" w:ascii="宋体"/>
          <w:b/>
          <w:bCs/>
          <w:color w:val="auto"/>
          <w:sz w:val="44"/>
          <w:highlight w:val="none"/>
          <w:u w:val="single"/>
        </w:rPr>
        <w:t>宾阳县县域公共就业服务能力提升项目</w:t>
      </w:r>
      <w:r>
        <w:rPr>
          <w:rFonts w:hint="eastAsia" w:ascii="宋体"/>
          <w:b/>
          <w:bCs/>
          <w:color w:val="auto"/>
          <w:sz w:val="44"/>
          <w:highlight w:val="none"/>
        </w:rPr>
        <w:t>合同</w:t>
      </w:r>
    </w:p>
    <w:p w14:paraId="02DA4AE5">
      <w:pPr>
        <w:spacing w:line="360" w:lineRule="auto"/>
        <w:jc w:val="center"/>
        <w:rPr>
          <w:rFonts w:ascii="宋体"/>
          <w:b/>
          <w:bCs/>
          <w:color w:val="auto"/>
          <w:sz w:val="44"/>
          <w:highlight w:val="none"/>
        </w:rPr>
      </w:pPr>
    </w:p>
    <w:p w14:paraId="0B77D48A">
      <w:pPr>
        <w:spacing w:line="360" w:lineRule="auto"/>
        <w:jc w:val="center"/>
        <w:rPr>
          <w:rFonts w:ascii="宋体"/>
          <w:b/>
          <w:bCs/>
          <w:color w:val="auto"/>
          <w:sz w:val="44"/>
          <w:highlight w:val="none"/>
        </w:rPr>
      </w:pPr>
    </w:p>
    <w:p w14:paraId="0F216A98">
      <w:pPr>
        <w:spacing w:line="360" w:lineRule="auto"/>
        <w:ind w:firstLine="3507" w:firstLineChars="794"/>
        <w:rPr>
          <w:rFonts w:ascii="宋体"/>
          <w:b/>
          <w:bCs/>
          <w:color w:val="auto"/>
          <w:sz w:val="44"/>
          <w:highlight w:val="none"/>
        </w:rPr>
      </w:pPr>
    </w:p>
    <w:p w14:paraId="1002F3C1">
      <w:pPr>
        <w:ind w:firstLine="1995" w:firstLineChars="552"/>
        <w:rPr>
          <w:rFonts w:ascii="宋体" w:hAnsi="宋体"/>
          <w:b/>
          <w:color w:val="auto"/>
          <w:sz w:val="36"/>
          <w:szCs w:val="36"/>
          <w:highlight w:val="none"/>
          <w:u w:val="single"/>
        </w:rPr>
      </w:pPr>
      <w:r>
        <w:rPr>
          <w:rFonts w:hint="eastAsia" w:ascii="宋体" w:hAnsi="宋体"/>
          <w:b/>
          <w:color w:val="auto"/>
          <w:sz w:val="36"/>
          <w:szCs w:val="36"/>
          <w:highlight w:val="none"/>
        </w:rPr>
        <w:t>项目编号：</w:t>
      </w:r>
      <w:r>
        <w:rPr>
          <w:color w:val="auto"/>
          <w:highlight w:val="none"/>
        </w:rPr>
        <w:fldChar w:fldCharType="begin"/>
      </w:r>
      <w:r>
        <w:rPr>
          <w:color w:val="auto"/>
          <w:highlight w:val="none"/>
        </w:rPr>
        <w:instrText xml:space="preserve"> HYPERLINK "https://www.gcy.zfcg.gxzf.gov.cn/gaea/api/project/flow/redirect?projectId=7228427269057806418&amp;newUrl=https://www.gcy.zfcg.gxzf.gov.cn/micro-app-back-index/blank?_flow_type_=agency&amp;_flow_projectId_=7228427269057806418&amp;_jump_page_type_=project_procurement_management_flow&amp;_app_=zcy.procurement&amp;oldUrl=https://www.gcy.zfcg.gxzf.gov.cn/project-center/_procurement_/project-result-detail/7228427269057806418&amp;utm=web-project-center-front.42c12ca3.0.0.90a2dec0b62a11f084b5c3fd09c47019" \t "https://www.gcy.zfcg.gxzf.gov.cn/project-center/_procurement_/self-project/_blank" </w:instrText>
      </w:r>
      <w:r>
        <w:rPr>
          <w:color w:val="auto"/>
          <w:highlight w:val="none"/>
        </w:rPr>
        <w:fldChar w:fldCharType="separate"/>
      </w:r>
      <w:r>
        <w:rPr>
          <w:rFonts w:hint="eastAsia" w:ascii="宋体" w:hAnsi="宋体"/>
          <w:b/>
          <w:color w:val="auto"/>
          <w:sz w:val="36"/>
          <w:szCs w:val="36"/>
          <w:highlight w:val="none"/>
          <w:u w:val="single"/>
        </w:rPr>
        <w:t>NNZC2026-G3-260135-JDZB</w:t>
      </w:r>
      <w:r>
        <w:rPr>
          <w:rFonts w:hint="eastAsia" w:ascii="宋体" w:hAnsi="宋体"/>
          <w:b/>
          <w:color w:val="auto"/>
          <w:sz w:val="36"/>
          <w:szCs w:val="36"/>
          <w:highlight w:val="none"/>
          <w:u w:val="single"/>
        </w:rPr>
        <w:fldChar w:fldCharType="end"/>
      </w:r>
    </w:p>
    <w:p w14:paraId="5C4DE5C3">
      <w:pPr>
        <w:ind w:firstLine="1970" w:firstLineChars="545"/>
        <w:rPr>
          <w:rFonts w:ascii="宋体" w:hAnsi="宋体"/>
          <w:b/>
          <w:color w:val="auto"/>
          <w:sz w:val="36"/>
          <w:szCs w:val="36"/>
          <w:highlight w:val="none"/>
        </w:rPr>
      </w:pPr>
      <w:r>
        <w:rPr>
          <w:rFonts w:hint="eastAsia" w:ascii="宋体" w:hAnsi="宋体"/>
          <w:b/>
          <w:color w:val="auto"/>
          <w:sz w:val="36"/>
          <w:szCs w:val="36"/>
          <w:highlight w:val="none"/>
        </w:rPr>
        <w:t>计划编号：</w:t>
      </w:r>
      <w:r>
        <w:rPr>
          <w:rFonts w:hint="eastAsia" w:ascii="宋体" w:hAnsi="宋体"/>
          <w:b/>
          <w:color w:val="auto"/>
          <w:sz w:val="36"/>
          <w:szCs w:val="36"/>
          <w:highlight w:val="none"/>
          <w:u w:val="single"/>
        </w:rPr>
        <w:t xml:space="preserve"> </w:t>
      </w:r>
    </w:p>
    <w:p w14:paraId="337461F3">
      <w:pPr>
        <w:ind w:firstLine="1970" w:firstLineChars="545"/>
        <w:rPr>
          <w:rFonts w:ascii="宋体" w:hAnsi="宋体"/>
          <w:b/>
          <w:color w:val="auto"/>
          <w:sz w:val="36"/>
          <w:szCs w:val="36"/>
          <w:highlight w:val="none"/>
          <w:u w:val="single"/>
        </w:rPr>
      </w:pPr>
    </w:p>
    <w:p w14:paraId="12DE87A3">
      <w:pPr>
        <w:tabs>
          <w:tab w:val="left" w:pos="7200"/>
        </w:tabs>
        <w:spacing w:line="360" w:lineRule="auto"/>
        <w:ind w:firstLine="1995" w:firstLineChars="552"/>
        <w:rPr>
          <w:rFonts w:ascii="宋体" w:hAnsi="宋体"/>
          <w:b/>
          <w:color w:val="auto"/>
          <w:sz w:val="36"/>
          <w:szCs w:val="36"/>
          <w:highlight w:val="none"/>
          <w:u w:val="single"/>
        </w:rPr>
      </w:pPr>
      <w:r>
        <w:rPr>
          <w:rFonts w:hint="eastAsia" w:ascii="宋体" w:hAnsi="宋体"/>
          <w:b/>
          <w:color w:val="auto"/>
          <w:sz w:val="36"/>
          <w:szCs w:val="36"/>
          <w:highlight w:val="none"/>
        </w:rPr>
        <w:t>采购人：</w:t>
      </w:r>
      <w:r>
        <w:rPr>
          <w:rFonts w:hint="eastAsia" w:ascii="宋体" w:hAnsi="宋体"/>
          <w:b/>
          <w:color w:val="auto"/>
          <w:sz w:val="36"/>
          <w:szCs w:val="36"/>
          <w:highlight w:val="none"/>
          <w:u w:val="single"/>
        </w:rPr>
        <w:t>宾阳县就业服务中心</w:t>
      </w:r>
    </w:p>
    <w:p w14:paraId="7E064251">
      <w:pPr>
        <w:tabs>
          <w:tab w:val="left" w:pos="7380"/>
        </w:tabs>
        <w:spacing w:line="360" w:lineRule="auto"/>
        <w:ind w:firstLine="1995" w:firstLineChars="552"/>
        <w:rPr>
          <w:rFonts w:ascii="宋体"/>
          <w:b/>
          <w:bCs/>
          <w:color w:val="auto"/>
          <w:sz w:val="44"/>
          <w:highlight w:val="none"/>
        </w:rPr>
      </w:pPr>
      <w:r>
        <w:rPr>
          <w:rFonts w:hint="eastAsia" w:ascii="宋体" w:hAnsi="宋体"/>
          <w:b/>
          <w:color w:val="auto"/>
          <w:sz w:val="36"/>
          <w:szCs w:val="36"/>
          <w:highlight w:val="none"/>
        </w:rPr>
        <w:t>中标供应商：</w:t>
      </w:r>
      <w:r>
        <w:rPr>
          <w:rFonts w:hint="eastAsia" w:ascii="宋体" w:hAnsi="宋体"/>
          <w:b/>
          <w:color w:val="auto"/>
          <w:sz w:val="36"/>
          <w:szCs w:val="36"/>
          <w:highlight w:val="none"/>
          <w:u w:val="single"/>
        </w:rPr>
        <w:t xml:space="preserve">                   </w:t>
      </w:r>
    </w:p>
    <w:p w14:paraId="512B0FEA">
      <w:pPr>
        <w:spacing w:before="120" w:line="360" w:lineRule="auto"/>
        <w:ind w:firstLine="960" w:firstLineChars="400"/>
        <w:rPr>
          <w:rFonts w:ascii="仿宋_GB2312" w:hAnsi="楷体" w:eastAsia="仿宋_GB2312"/>
          <w:color w:val="auto"/>
          <w:sz w:val="24"/>
          <w:highlight w:val="none"/>
        </w:rPr>
      </w:pPr>
    </w:p>
    <w:p w14:paraId="7C0E72D3">
      <w:pPr>
        <w:spacing w:before="120" w:line="360" w:lineRule="auto"/>
        <w:ind w:firstLine="2280" w:firstLineChars="950"/>
        <w:rPr>
          <w:rFonts w:ascii="仿宋" w:hAnsi="仿宋" w:eastAsia="仿宋" w:cs="仿宋"/>
          <w:b/>
          <w:bCs/>
          <w:color w:val="auto"/>
          <w:sz w:val="44"/>
          <w:highlight w:val="none"/>
        </w:rPr>
      </w:pPr>
      <w:r>
        <w:rPr>
          <w:rFonts w:hint="eastAsia" w:ascii="仿宋" w:hAnsi="仿宋" w:eastAsia="仿宋" w:cs="仿宋"/>
          <w:color w:val="auto"/>
          <w:sz w:val="24"/>
          <w:highlight w:val="none"/>
        </w:rPr>
        <w:t>签订日期：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5157FB4B">
      <w:pPr>
        <w:pStyle w:val="103"/>
        <w:ind w:left="0" w:leftChars="0" w:firstLine="0" w:firstLineChars="0"/>
        <w:jc w:val="center"/>
        <w:rPr>
          <w:rFonts w:ascii="仿宋_GB2312" w:hAnsi="楷体" w:eastAsia="仿宋_GB2312"/>
          <w:b/>
          <w:color w:val="auto"/>
          <w:szCs w:val="24"/>
          <w:highlight w:val="none"/>
        </w:rPr>
      </w:pPr>
      <w:r>
        <w:rPr>
          <w:rFonts w:hint="eastAsia" w:ascii="仿宋" w:hAnsi="仿宋" w:eastAsia="仿宋" w:cs="仿宋"/>
          <w:b/>
          <w:bCs/>
          <w:color w:val="auto"/>
          <w:sz w:val="44"/>
          <w:highlight w:val="none"/>
        </w:rPr>
        <w:br w:type="page"/>
      </w:r>
      <w:r>
        <w:rPr>
          <w:rFonts w:hint="eastAsia" w:ascii="仿宋_GB2312" w:hAnsi="楷体" w:eastAsia="仿宋_GB2312"/>
          <w:b/>
          <w:color w:val="auto"/>
          <w:szCs w:val="24"/>
          <w:highlight w:val="none"/>
        </w:rPr>
        <w:t>第一部分 合同书</w:t>
      </w:r>
    </w:p>
    <w:p w14:paraId="375042CA">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年</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月</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日</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rPr>
        <w:t xml:space="preserve">   公开招标方式  </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rPr>
        <w:t>宾阳县县域公共就业服务能力提升项目</w:t>
      </w:r>
      <w:r>
        <w:rPr>
          <w:rFonts w:hint="eastAsia" w:ascii="仿宋" w:hAnsi="仿宋" w:eastAsia="仿宋" w:cs="仿宋"/>
          <w:color w:val="auto"/>
          <w:sz w:val="24"/>
          <w:highlight w:val="none"/>
        </w:rPr>
        <w:t>进行了采购。经</w:t>
      </w:r>
      <w:r>
        <w:rPr>
          <w:rFonts w:hint="eastAsia" w:ascii="仿宋" w:hAnsi="仿宋" w:eastAsia="仿宋" w:cs="仿宋"/>
          <w:color w:val="auto"/>
          <w:sz w:val="24"/>
          <w:highlight w:val="none"/>
          <w:u w:val="single"/>
        </w:rPr>
        <w:t xml:space="preserve">   （相关评定主体名称）   </w:t>
      </w:r>
      <w:r>
        <w:rPr>
          <w:rFonts w:hint="eastAsia" w:ascii="仿宋" w:hAnsi="仿宋" w:eastAsia="仿宋" w:cs="仿宋"/>
          <w:color w:val="auto"/>
          <w:sz w:val="24"/>
          <w:highlight w:val="none"/>
        </w:rPr>
        <w:t>评定，</w:t>
      </w:r>
      <w:r>
        <w:rPr>
          <w:rFonts w:hint="eastAsia" w:ascii="仿宋" w:hAnsi="仿宋" w:eastAsia="仿宋" w:cs="仿宋"/>
          <w:color w:val="auto"/>
          <w:sz w:val="24"/>
          <w:highlight w:val="none"/>
          <w:u w:val="single"/>
        </w:rPr>
        <w:t xml:space="preserve">   （中标供应商名称）</w:t>
      </w:r>
      <w:r>
        <w:rPr>
          <w:rFonts w:hint="eastAsia" w:ascii="仿宋" w:hAnsi="仿宋" w:eastAsia="仿宋" w:cs="仿宋"/>
          <w:color w:val="auto"/>
          <w:sz w:val="24"/>
          <w:highlight w:val="none"/>
        </w:rPr>
        <w:t>为该项目中标供应商。现于中标通知书发出之日起</w:t>
      </w:r>
      <w:r>
        <w:rPr>
          <w:rFonts w:hint="eastAsia" w:ascii="仿宋" w:hAnsi="仿宋" w:eastAsia="仿宋" w:cs="仿宋"/>
          <w:color w:val="auto"/>
          <w:sz w:val="24"/>
          <w:highlight w:val="none"/>
          <w:u w:val="single"/>
        </w:rPr>
        <w:t xml:space="preserve">  25 </w:t>
      </w:r>
      <w:r>
        <w:rPr>
          <w:rFonts w:hint="eastAsia" w:ascii="仿宋" w:hAnsi="仿宋" w:eastAsia="仿宋" w:cs="仿宋"/>
          <w:color w:val="auto"/>
          <w:sz w:val="24"/>
          <w:highlight w:val="none"/>
        </w:rPr>
        <w:t>日内，按照采购文件确定的事项签订本合同。</w:t>
      </w:r>
    </w:p>
    <w:p w14:paraId="1D1F115B">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val="zh-CN"/>
        </w:rPr>
        <w:t>根据《中华人民共和国民法典》、《中华人民共和国政府采购法》等相关法律法规之规定，按照平等、自愿、公平和诚实信用的原则，经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lang w:val="zh-CN"/>
        </w:rPr>
        <w:t>（以下简称：甲方）和</w:t>
      </w:r>
      <w:r>
        <w:rPr>
          <w:rFonts w:hint="eastAsia" w:ascii="仿宋" w:hAnsi="仿宋" w:eastAsia="仿宋" w:cs="仿宋"/>
          <w:color w:val="auto"/>
          <w:sz w:val="24"/>
          <w:highlight w:val="none"/>
          <w:u w:val="single"/>
        </w:rPr>
        <w:t xml:space="preserve">   （中标供应商名称）   </w:t>
      </w:r>
      <w:r>
        <w:rPr>
          <w:rFonts w:hint="eastAsia" w:ascii="仿宋" w:hAnsi="仿宋" w:eastAsia="仿宋" w:cs="仿宋"/>
          <w:color w:val="auto"/>
          <w:sz w:val="24"/>
          <w:highlight w:val="none"/>
          <w:lang w:val="zh-CN"/>
        </w:rPr>
        <w:t>（以下简称：乙方）协商一致，约定以下合同</w:t>
      </w:r>
      <w:r>
        <w:rPr>
          <w:rFonts w:hint="eastAsia" w:ascii="仿宋" w:hAnsi="仿宋" w:eastAsia="仿宋" w:cs="仿宋"/>
          <w:color w:val="auto"/>
          <w:sz w:val="24"/>
          <w:highlight w:val="none"/>
        </w:rPr>
        <w:t>条款，以兹共同遵守、全面履行。</w:t>
      </w:r>
    </w:p>
    <w:p w14:paraId="4BE99EF5">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1.1 合同组成部分</w:t>
      </w:r>
    </w:p>
    <w:p w14:paraId="5C84011B">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4F2B5C6C">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1.1.1 本合同及其补充合同、变更协议；</w:t>
      </w:r>
    </w:p>
    <w:p w14:paraId="4D857F7D">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1.1.2 中标通知书；</w:t>
      </w:r>
    </w:p>
    <w:p w14:paraId="1578B99A">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1.1.3 投标文件及“投标报价”（含澄清或者说明文件）；</w:t>
      </w:r>
    </w:p>
    <w:p w14:paraId="5374FE98">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1.1.4 招标文件（含澄清或者修改文件）；</w:t>
      </w:r>
    </w:p>
    <w:p w14:paraId="4A57E928">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1.1.5 其他相关采购文件。</w:t>
      </w:r>
    </w:p>
    <w:p w14:paraId="29987880">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1.2 标的物</w:t>
      </w:r>
    </w:p>
    <w:p w14:paraId="59539F97">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1.2.1 标的物1信息</w:t>
      </w:r>
    </w:p>
    <w:p w14:paraId="781E3C91">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1.2.1.1名称：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B068947">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1.2.1.2数量：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04CD335A">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1.2.1.3质量：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4F37ACE8">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w:t>
      </w:r>
    </w:p>
    <w:p w14:paraId="25F11660">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1.3 价款</w:t>
      </w:r>
    </w:p>
    <w:p w14:paraId="2CF42F67">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本合同总价为：人民币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元人民币，含税），其中增值税税款为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元。如国家税收政策变化，导致增值税税率调整的，则按照调整后的税率开具增值税发票。</w:t>
      </w:r>
    </w:p>
    <w:p w14:paraId="2ECB43AF">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1.4 付款方式和发票开具方式</w:t>
      </w:r>
    </w:p>
    <w:p w14:paraId="46F04C11">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1.4.1 付款方式：</w:t>
      </w:r>
    </w:p>
    <w:p w14:paraId="0BA30A8F">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u w:val="single"/>
        </w:rPr>
        <w:t>1</w:t>
      </w: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u w:val="single"/>
        </w:rPr>
        <w:t xml:space="preserve">                                       </w:t>
      </w:r>
    </w:p>
    <w:p w14:paraId="08D8D663">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u w:val="single"/>
        </w:rPr>
        <w:t>2</w:t>
      </w: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u w:val="single"/>
        </w:rPr>
        <w:t xml:space="preserve">                                       </w:t>
      </w:r>
    </w:p>
    <w:p w14:paraId="01A53D8E">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1.4.2 发票开具方式：</w:t>
      </w:r>
      <w:r>
        <w:rPr>
          <w:rFonts w:hint="eastAsia" w:ascii="仿宋" w:hAnsi="仿宋" w:eastAsia="仿宋" w:cs="仿宋"/>
          <w:color w:val="auto"/>
          <w:sz w:val="24"/>
          <w:highlight w:val="none"/>
          <w:u w:val="single"/>
        </w:rPr>
        <w:t>甲方收到乙方等额合法有效的增值税发票后通过银行转账方式向乙方支付合同款</w:t>
      </w:r>
      <w:r>
        <w:rPr>
          <w:rFonts w:hint="eastAsia" w:ascii="仿宋" w:hAnsi="仿宋" w:eastAsia="仿宋" w:cs="仿宋"/>
          <w:color w:val="auto"/>
          <w:sz w:val="24"/>
          <w:highlight w:val="none"/>
        </w:rPr>
        <w:t>。</w:t>
      </w:r>
    </w:p>
    <w:p w14:paraId="3B371CCB">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1.4.3如因财政原因导致付款延迟的，甲方不承担违约责任，且合同履约时间不顺延，乙方需按合同期限履行合同。</w:t>
      </w:r>
    </w:p>
    <w:p w14:paraId="4C587808">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1.5 标的物交付期限、地点、方式和服务期限</w:t>
      </w:r>
    </w:p>
    <w:p w14:paraId="79019981">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1.5.1 交付期限：</w:t>
      </w:r>
      <w:r>
        <w:rPr>
          <w:rFonts w:hint="eastAsia" w:ascii="仿宋" w:hAnsi="仿宋" w:eastAsia="仿宋" w:cs="仿宋"/>
          <w:color w:val="auto"/>
          <w:sz w:val="24"/>
          <w:highlight w:val="none"/>
          <w:u w:val="single"/>
        </w:rPr>
        <w:t xml:space="preserve">                                                 ；</w:t>
      </w:r>
    </w:p>
    <w:p w14:paraId="4D6AD875">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1.5.2 交付地点：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16FEDE3E">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1.5.3 交付方式：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4AA0ACEA">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1.5.4 服务及质保期限：</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11167649">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1.6 违约责任</w:t>
      </w:r>
    </w:p>
    <w:p w14:paraId="25C489DD">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1.6.1若因乙方原因而未能履行合同，或未按招标文件规定及投标文件承诺履行合同及义务的，甲方有权书面敦促乙方履行合同及承诺，乙方应在收到甲方书面通知之日起7日内给予书面答复并进行整改；如乙方在上述时间未予答复，或无故拖延履行合同超过7日，或经2次整改后仍未达到甲方要求，甲方有权书面通知乙方解除本项目服务合同，且无需支付合同解除后的合同后续费用。同时，乙方必须退还甲方已付出的所有服务费用，并赔偿由此给甲方造成的全部损失。</w:t>
      </w:r>
    </w:p>
    <w:p w14:paraId="7FE9B7BA">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1.6.2乙方未得到甲方同意，擅自更换项目负责人及服务团队成员时，每更换一人应当向甲方支付合同金额的5‰作为违约金，未经同意更换人数达到5人的，甲方有权书面通知乙方解除服务合同，且无需支付合同解除后的合同后续费用。同时，乙方必须退还甲方已付出的所有服务费用，并赔偿由此给甲方造成的全部损失。</w:t>
      </w:r>
    </w:p>
    <w:p w14:paraId="443A4F9C">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 xml:space="preserve">1.6.3乙方未按期限完成项目工作或者没在甲方通知的期限内整改完毕的，按违约处理，每逾期一天，乙方需按照合同金额的1%支付违约金，超过10天，甲方有权解除合同，且无需支付合同解除后的合同后续费用。同时，乙方必须退还甲方已付出的所有服务费用，并赔偿由此给甲方造成的全部损失。 </w:t>
      </w:r>
    </w:p>
    <w:p w14:paraId="0C0CE306">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1.6.4本项目合同签订及履行过程中，未经甲方书面同意，乙方不得将本合同的权利义务以任何方式转让给第三方，否则甲方有权选择单方解除本合同，乙方必须退还甲方已付出的所有服务费用，向甲方支付合同总金额30%的违约金，造成甲方损失的，应全部予以赔偿。</w:t>
      </w:r>
    </w:p>
    <w:p w14:paraId="656E1E5E">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1.6.5中标供应商应当支付给采购人的违约金、赔偿金，采购人有权从已支付的合同款中追回或从未支付的合同款中扣除，违约金不足以赔偿给采购人造成损失的，采购人仍有权向中标供应商进行追偿。</w:t>
      </w:r>
    </w:p>
    <w:p w14:paraId="4C8FD709">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1.6.6按本项目合同约定甲方选择解除合同的，自甲方解除合同的书面通知送达乙方之日起合同解除，乙方应赔偿由此给甲方造成的全部损失。乙方应当在合同解除后5日内退还甲方支付的所有费用（如有），自费运回所交付的产品（如有），付清违约金、赔偿金。</w:t>
      </w:r>
    </w:p>
    <w:p w14:paraId="45395AC5">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1.6.7乙方违反本合同约定或法律规定的，应当赔偿给甲方造成的全部损失，包括但不限于直接损失、预期利益损失、甲方向第三方支付的违约金、赔偿金及甲方为索赔或应对第三方索赔而支出的诉讼费、律师费、公证费、保全费、担保费、鉴定费、评估费等全部费用。</w:t>
      </w:r>
    </w:p>
    <w:p w14:paraId="445C23FD">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1.6.8 除不可抗力外，如果甲方没有按照本合同约定的付款方式付款，乙方可要求甲方支付违约金，违约金按每迟延付款一日的应付而未付款的</w:t>
      </w:r>
      <w:r>
        <w:rPr>
          <w:rFonts w:hint="eastAsia" w:ascii="仿宋" w:hAnsi="仿宋" w:eastAsia="仿宋" w:cs="仿宋"/>
          <w:color w:val="auto"/>
          <w:sz w:val="24"/>
          <w:highlight w:val="none"/>
          <w:u w:val="single"/>
        </w:rPr>
        <w:t xml:space="preserve"> 万分之五 </w:t>
      </w:r>
      <w:r>
        <w:rPr>
          <w:rFonts w:hint="eastAsia" w:ascii="仿宋" w:hAnsi="仿宋" w:eastAsia="仿宋" w:cs="仿宋"/>
          <w:color w:val="auto"/>
          <w:sz w:val="24"/>
          <w:highlight w:val="none"/>
        </w:rPr>
        <w:t>计算，最高限额为欠付金额的</w:t>
      </w:r>
      <w:r>
        <w:rPr>
          <w:rFonts w:hint="eastAsia" w:ascii="仿宋" w:hAnsi="仿宋" w:eastAsia="仿宋" w:cs="仿宋"/>
          <w:color w:val="auto"/>
          <w:sz w:val="24"/>
          <w:highlight w:val="none"/>
          <w:u w:val="single"/>
        </w:rPr>
        <w:t xml:space="preserve"> 20 </w:t>
      </w:r>
      <w:r>
        <w:rPr>
          <w:rFonts w:hint="eastAsia" w:ascii="仿宋" w:hAnsi="仿宋" w:eastAsia="仿宋" w:cs="仿宋"/>
          <w:color w:val="auto"/>
          <w:sz w:val="24"/>
          <w:highlight w:val="none"/>
        </w:rPr>
        <w:t>%；迟延付款的违约金计算数额达到前述最高限额之日起，乙方有权在要求甲方支付违约金的同时，书面通知甲方解除本合同；因财政原因导致付款延迟的，不视为甲方违约，付款期限顺延。</w:t>
      </w:r>
    </w:p>
    <w:p w14:paraId="1DDD7462">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1.6.9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3C6946A">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1.6.10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43884EC">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1.6.11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750001E">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1.6.12 如果出现政府采购监督管理部门在处理投诉事项期间，书面通知甲方暂停采购活动的情形，或者询问或质疑事项可能影响中标结果的，导致甲方中止履行合同的情形，均不视为甲方违约。</w:t>
      </w:r>
    </w:p>
    <w:p w14:paraId="23214316">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1.7 合同争议的解决</w:t>
      </w:r>
    </w:p>
    <w:p w14:paraId="4E1761B5">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本合同履行过程中发生的任何争议，双方当事人均应通过友好协商的方式和解或者调解解决；不愿和解、调解或者和解、调解不成的，可以选择下列第</w:t>
      </w:r>
      <w:r>
        <w:rPr>
          <w:rFonts w:hint="eastAsia" w:ascii="仿宋" w:hAnsi="仿宋" w:eastAsia="仿宋" w:cs="仿宋"/>
          <w:color w:val="auto"/>
          <w:sz w:val="24"/>
          <w:highlight w:val="none"/>
          <w:u w:val="single"/>
        </w:rPr>
        <w:t xml:space="preserve"> 1.7.2 </w:t>
      </w:r>
      <w:r>
        <w:rPr>
          <w:rFonts w:hint="eastAsia" w:ascii="仿宋" w:hAnsi="仿宋" w:eastAsia="仿宋" w:cs="仿宋"/>
          <w:color w:val="auto"/>
          <w:sz w:val="24"/>
          <w:highlight w:val="none"/>
        </w:rPr>
        <w:t>种方式解决：</w:t>
      </w:r>
    </w:p>
    <w:p w14:paraId="720C37DD">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1.7.1 将争议提交</w:t>
      </w:r>
      <w:r>
        <w:rPr>
          <w:rFonts w:hint="eastAsia" w:ascii="仿宋" w:hAnsi="仿宋" w:eastAsia="仿宋" w:cs="仿宋"/>
          <w:color w:val="auto"/>
          <w:sz w:val="24"/>
          <w:highlight w:val="none"/>
          <w:u w:val="single"/>
        </w:rPr>
        <w:t>南宁市</w:t>
      </w:r>
      <w:r>
        <w:rPr>
          <w:rFonts w:hint="eastAsia" w:ascii="仿宋" w:hAnsi="仿宋" w:eastAsia="仿宋" w:cs="仿宋"/>
          <w:color w:val="auto"/>
          <w:sz w:val="24"/>
          <w:highlight w:val="none"/>
        </w:rPr>
        <w:t>仲裁委员会依申请仲裁时其现行有效的仲裁规则裁决；</w:t>
      </w:r>
    </w:p>
    <w:p w14:paraId="59C814B1">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1.7.2 向</w:t>
      </w:r>
      <w:r>
        <w:rPr>
          <w:rFonts w:hint="eastAsia" w:ascii="仿宋" w:hAnsi="仿宋" w:eastAsia="仿宋" w:cs="仿宋"/>
          <w:color w:val="auto"/>
          <w:sz w:val="24"/>
          <w:highlight w:val="none"/>
          <w:u w:val="single"/>
        </w:rPr>
        <w:t xml:space="preserve"> 甲方所在地 有管辖权的</w:t>
      </w:r>
      <w:r>
        <w:rPr>
          <w:rFonts w:hint="eastAsia" w:ascii="仿宋" w:hAnsi="仿宋" w:eastAsia="仿宋" w:cs="仿宋"/>
          <w:color w:val="auto"/>
          <w:sz w:val="24"/>
          <w:highlight w:val="none"/>
        </w:rPr>
        <w:t>人民法院起诉。</w:t>
      </w:r>
    </w:p>
    <w:p w14:paraId="6BCEAA6E">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1.8 合同生效</w:t>
      </w:r>
    </w:p>
    <w:p w14:paraId="726D3FE2">
      <w:pPr>
        <w:spacing w:line="360" w:lineRule="auto"/>
        <w:ind w:firstLine="480" w:firstLineChars="200"/>
        <w:rPr>
          <w:rFonts w:ascii="仿宋" w:hAnsi="仿宋" w:eastAsia="仿宋" w:cs="仿宋"/>
          <w:b/>
          <w:color w:val="auto"/>
          <w:sz w:val="24"/>
          <w:highlight w:val="none"/>
        </w:rPr>
      </w:pPr>
      <w:r>
        <w:rPr>
          <w:rFonts w:hint="eastAsia" w:ascii="仿宋" w:hAnsi="仿宋" w:eastAsia="仿宋" w:cs="仿宋"/>
          <w:color w:val="auto"/>
          <w:sz w:val="24"/>
          <w:highlight w:val="none"/>
        </w:rPr>
        <w:t>本合同自双方当事人加盖有效公章时生效。</w:t>
      </w:r>
    </w:p>
    <w:p w14:paraId="6438C01A">
      <w:pPr>
        <w:spacing w:line="360" w:lineRule="auto"/>
        <w:ind w:firstLine="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甲方：                                  乙方：</w:t>
      </w:r>
    </w:p>
    <w:p w14:paraId="702EA126">
      <w:pPr>
        <w:spacing w:line="360" w:lineRule="auto"/>
        <w:ind w:firstLine="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统一社会信用代码：                      统一社会信用代码或身份证号码：</w:t>
      </w:r>
    </w:p>
    <w:p w14:paraId="47E92ABC">
      <w:pPr>
        <w:spacing w:line="360" w:lineRule="auto"/>
        <w:ind w:firstLine="200"/>
        <w:rPr>
          <w:rFonts w:ascii="仿宋" w:hAnsi="仿宋" w:eastAsia="仿宋" w:cs="仿宋"/>
          <w:color w:val="auto"/>
          <w:sz w:val="24"/>
          <w:highlight w:val="none"/>
          <w:lang w:val="zh-CN"/>
        </w:rPr>
      </w:pPr>
    </w:p>
    <w:p w14:paraId="571958EB">
      <w:pPr>
        <w:spacing w:line="360" w:lineRule="auto"/>
        <w:ind w:firstLine="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住所：                                   住所：</w:t>
      </w:r>
    </w:p>
    <w:p w14:paraId="02751B6C">
      <w:pPr>
        <w:spacing w:line="360" w:lineRule="auto"/>
        <w:ind w:firstLine="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法定代表人或                             法定代表人</w:t>
      </w:r>
    </w:p>
    <w:p w14:paraId="61A9AEDC">
      <w:pPr>
        <w:spacing w:line="360" w:lineRule="auto"/>
        <w:ind w:firstLine="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授权代表（签字）：                       或授权代表（签字）： </w:t>
      </w:r>
    </w:p>
    <w:p w14:paraId="45A629B5">
      <w:pPr>
        <w:spacing w:line="360" w:lineRule="auto"/>
        <w:ind w:firstLine="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                                 联系人：</w:t>
      </w:r>
    </w:p>
    <w:p w14:paraId="129AD1EF">
      <w:pPr>
        <w:spacing w:line="360" w:lineRule="auto"/>
        <w:ind w:firstLine="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约定送达地址：                           约定送达地址：</w:t>
      </w:r>
    </w:p>
    <w:p w14:paraId="587474BF">
      <w:pPr>
        <w:spacing w:line="360" w:lineRule="auto"/>
        <w:ind w:firstLine="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邮政编码：                               邮政编码：</w:t>
      </w:r>
    </w:p>
    <w:p w14:paraId="06AFA2B3">
      <w:pPr>
        <w:spacing w:line="360" w:lineRule="auto"/>
        <w:ind w:firstLine="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电话：                                    电话： </w:t>
      </w:r>
    </w:p>
    <w:p w14:paraId="1B01624E">
      <w:pPr>
        <w:spacing w:line="360" w:lineRule="auto"/>
        <w:ind w:firstLine="200"/>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传真：                                    传真：</w:t>
      </w:r>
    </w:p>
    <w:p w14:paraId="1F25036F">
      <w:pPr>
        <w:spacing w:line="360" w:lineRule="auto"/>
        <w:ind w:firstLine="200"/>
        <w:rPr>
          <w:rFonts w:ascii="仿宋" w:hAnsi="仿宋" w:eastAsia="仿宋" w:cs="仿宋"/>
          <w:color w:val="auto"/>
          <w:sz w:val="24"/>
          <w:highlight w:val="none"/>
        </w:rPr>
      </w:pPr>
      <w:r>
        <w:rPr>
          <w:rFonts w:hint="eastAsia" w:ascii="仿宋" w:hAnsi="仿宋" w:eastAsia="仿宋" w:cs="仿宋"/>
          <w:color w:val="auto"/>
          <w:sz w:val="24"/>
          <w:highlight w:val="none"/>
          <w:lang w:val="zh-CN"/>
        </w:rPr>
        <w:t>电子邮箱：                               电子邮箱：</w:t>
      </w:r>
    </w:p>
    <w:p w14:paraId="6A017C88">
      <w:pPr>
        <w:spacing w:line="360" w:lineRule="auto"/>
        <w:ind w:firstLine="200"/>
        <w:rPr>
          <w:rFonts w:ascii="仿宋" w:hAnsi="仿宋" w:eastAsia="仿宋" w:cs="仿宋"/>
          <w:color w:val="auto"/>
          <w:sz w:val="24"/>
          <w:highlight w:val="none"/>
        </w:rPr>
      </w:pPr>
      <w:r>
        <w:rPr>
          <w:rFonts w:hint="eastAsia" w:ascii="仿宋" w:hAnsi="仿宋" w:eastAsia="仿宋" w:cs="仿宋"/>
          <w:color w:val="auto"/>
          <w:sz w:val="24"/>
          <w:highlight w:val="none"/>
        </w:rPr>
        <w:t xml:space="preserve">开户银行：                               开户银行： </w:t>
      </w:r>
    </w:p>
    <w:p w14:paraId="56136AFC">
      <w:pPr>
        <w:spacing w:line="360" w:lineRule="auto"/>
        <w:ind w:firstLine="200"/>
        <w:rPr>
          <w:rFonts w:ascii="仿宋" w:hAnsi="仿宋" w:eastAsia="仿宋" w:cs="仿宋"/>
          <w:color w:val="auto"/>
          <w:sz w:val="24"/>
          <w:highlight w:val="none"/>
        </w:rPr>
      </w:pPr>
      <w:r>
        <w:rPr>
          <w:rFonts w:hint="eastAsia" w:ascii="仿宋" w:hAnsi="仿宋" w:eastAsia="仿宋" w:cs="仿宋"/>
          <w:color w:val="auto"/>
          <w:sz w:val="24"/>
          <w:highlight w:val="none"/>
        </w:rPr>
        <w:t xml:space="preserve">开户名称：                               开户名称： </w:t>
      </w:r>
    </w:p>
    <w:p w14:paraId="41FC2FDF">
      <w:pPr>
        <w:spacing w:line="360" w:lineRule="auto"/>
        <w:ind w:firstLine="200"/>
        <w:rPr>
          <w:rFonts w:ascii="仿宋" w:hAnsi="仿宋" w:eastAsia="仿宋" w:cs="仿宋"/>
          <w:color w:val="auto"/>
          <w:sz w:val="24"/>
          <w:highlight w:val="none"/>
        </w:rPr>
      </w:pPr>
      <w:r>
        <w:rPr>
          <w:rFonts w:hint="eastAsia" w:ascii="仿宋" w:hAnsi="仿宋" w:eastAsia="仿宋" w:cs="仿宋"/>
          <w:color w:val="auto"/>
          <w:sz w:val="24"/>
          <w:highlight w:val="none"/>
        </w:rPr>
        <w:t>开户账号：</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rPr>
        <w:t>开户账号：</w:t>
      </w:r>
    </w:p>
    <w:p w14:paraId="02C54E30">
      <w:pPr>
        <w:spacing w:line="360" w:lineRule="auto"/>
        <w:ind w:firstLine="200"/>
        <w:jc w:val="center"/>
        <w:rPr>
          <w:rFonts w:ascii="仿宋" w:hAnsi="仿宋" w:eastAsia="仿宋" w:cs="仿宋"/>
          <w:b/>
          <w:color w:val="auto"/>
          <w:sz w:val="24"/>
          <w:highlight w:val="none"/>
        </w:rPr>
      </w:pPr>
      <w:r>
        <w:rPr>
          <w:rFonts w:hint="eastAsia" w:ascii="仿宋" w:hAnsi="仿宋" w:eastAsia="仿宋" w:cs="仿宋"/>
          <w:b/>
          <w:color w:val="auto"/>
          <w:sz w:val="24"/>
          <w:highlight w:val="none"/>
        </w:rPr>
        <w:br w:type="page"/>
      </w:r>
      <w:r>
        <w:rPr>
          <w:rFonts w:hint="eastAsia" w:ascii="仿宋" w:hAnsi="仿宋" w:eastAsia="仿宋" w:cs="仿宋"/>
          <w:b/>
          <w:color w:val="auto"/>
          <w:sz w:val="24"/>
          <w:highlight w:val="none"/>
        </w:rPr>
        <w:t>第二部分 合同一般条款</w:t>
      </w:r>
    </w:p>
    <w:p w14:paraId="6655488C">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2.1 定义</w:t>
      </w:r>
    </w:p>
    <w:p w14:paraId="70CD1D24">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本合同中的下列词语应按以下内容进行解释：</w:t>
      </w:r>
    </w:p>
    <w:p w14:paraId="07E3EFB5">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 “合同”系指采购人和中标人签订的载明双方当事人所达成的协议，并包括所有的附件、附录和构成合同的其他文件。</w:t>
      </w:r>
    </w:p>
    <w:p w14:paraId="4E6FAF85">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2.1.2 “合同价”系指根据合同约定，中标人在完全履行合同义务后，采购人应支付给中标人的价格。</w:t>
      </w:r>
    </w:p>
    <w:p w14:paraId="2DAD6712">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7057EAA3">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2.1.4 “甲方”系指与中标人签署合同的采购人；采购人委托采购机构代表其与乙方签订合同的，采购人的授权委托书作为合同附件。</w:t>
      </w:r>
    </w:p>
    <w:p w14:paraId="77D16BE4">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 “乙方”系指根据合同约定交付标的物的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3825139F">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2.1.6 “现场”系指合同约定标的物将要运至或者实施或者安装的地点。</w:t>
      </w:r>
    </w:p>
    <w:p w14:paraId="016E961A">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2.2 技术规范</w:t>
      </w:r>
    </w:p>
    <w:p w14:paraId="0A812709">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17C3319B">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2.3 知识产权</w:t>
      </w:r>
    </w:p>
    <w:p w14:paraId="3652C22A">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1FEFA5F4">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2.3.2具有知识产权的计算机软件等标的物的知识产权归属，详见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7BE57F5">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2.4 包装和装运</w:t>
      </w:r>
    </w:p>
    <w:p w14:paraId="6C41356E">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2.4.1除</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另有约定外</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乙方交付的全部标的物</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1CABBE97">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2.4.2 装运标的物的要求和通知，详见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03BB63A0">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2.5 履约检查和问题反馈</w:t>
      </w:r>
    </w:p>
    <w:p w14:paraId="46E9B084">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0E25850F">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2.5.2 合同履行期间，甲方有权将履行过程中出现的问题反馈给乙方，双方当事人应以书面形式约定需要完善和改进的内容。</w:t>
      </w:r>
    </w:p>
    <w:p w14:paraId="506E4067">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2.6 结算方式和付款条件</w:t>
      </w:r>
    </w:p>
    <w:p w14:paraId="30A992D9">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74736A18">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2.7 技术资料和保密义务</w:t>
      </w:r>
    </w:p>
    <w:p w14:paraId="0AB9FDB4">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2.7.1 乙方有权依据合同约定和项目需要，向甲方了解有关情况，调阅有关资料等，甲方应予积极配合；</w:t>
      </w:r>
    </w:p>
    <w:p w14:paraId="1C4693EC">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2.7.2 乙方有义务妥善保管和保护由甲方提供的前款信息和资料等；</w:t>
      </w:r>
    </w:p>
    <w:p w14:paraId="5AA57AAE">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19605D06">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2.8 质量保证</w:t>
      </w:r>
    </w:p>
    <w:p w14:paraId="20DD73AB">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2.8.1 乙方应建立和完善履行合同的内部质量保证体系，并提供相关内部规章制度给甲方，以便甲方进行监督检查；</w:t>
      </w:r>
    </w:p>
    <w:p w14:paraId="6AAB1B58">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2.8.2 乙方应保证履行合同的人员数量和素质、软件和硬件设备的配置、场地、环境和设施等满足全面履行合同的要求，并应接受甲方的监督检查。</w:t>
      </w:r>
    </w:p>
    <w:p w14:paraId="4144EFF6">
      <w:pPr>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sz w:val="24"/>
          <w:highlight w:val="none"/>
        </w:rPr>
        <w:t>2.8.3乙方应确保项目技术人员的数量和水平与投标文件一致。未经甲方书面同意，乙方不得擅自更换投标文件中注明的项目经理和技术负责人。否则</w:t>
      </w:r>
      <w:r>
        <w:rPr>
          <w:rFonts w:hint="eastAsia" w:ascii="仿宋" w:hAnsi="仿宋" w:eastAsia="仿宋" w:cs="仿宋"/>
          <w:color w:val="auto"/>
          <w:kern w:val="0"/>
          <w:sz w:val="24"/>
          <w:highlight w:val="none"/>
        </w:rPr>
        <w:t>甲方有权放弃或终止合同，并没收履约保证金。</w:t>
      </w:r>
    </w:p>
    <w:p w14:paraId="0CB686EA">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仿宋" w:hAnsi="仿宋" w:eastAsia="仿宋" w:cs="仿宋"/>
          <w:color w:val="auto"/>
          <w:sz w:val="24"/>
          <w:highlight w:val="none"/>
          <w:u w:val="single"/>
        </w:rPr>
        <w:t xml:space="preserve"> 30% ，</w:t>
      </w:r>
      <w:r>
        <w:rPr>
          <w:rFonts w:hint="eastAsia" w:ascii="仿宋" w:hAnsi="仿宋" w:eastAsia="仿宋" w:cs="仿宋"/>
          <w:color w:val="auto"/>
          <w:sz w:val="24"/>
          <w:highlight w:val="none"/>
        </w:rPr>
        <w:t>甲方可从未支付的合同款中扣减赔偿金额。</w:t>
      </w:r>
    </w:p>
    <w:p w14:paraId="51626A9E">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2.9 标的物的风险负担</w:t>
      </w:r>
    </w:p>
    <w:p w14:paraId="47A0FE4C">
      <w:pPr>
        <w:spacing w:line="360" w:lineRule="auto"/>
        <w:ind w:firstLine="480" w:firstLineChars="200"/>
        <w:rPr>
          <w:rFonts w:ascii="仿宋" w:hAnsi="仿宋" w:eastAsia="仿宋" w:cs="仿宋"/>
          <w:b/>
          <w:color w:val="auto"/>
          <w:sz w:val="24"/>
          <w:highlight w:val="none"/>
        </w:rPr>
      </w:pPr>
      <w:r>
        <w:rPr>
          <w:rFonts w:hint="eastAsia" w:ascii="仿宋" w:hAnsi="仿宋" w:eastAsia="仿宋" w:cs="仿宋"/>
          <w:color w:val="auto"/>
          <w:sz w:val="24"/>
          <w:highlight w:val="none"/>
        </w:rPr>
        <w:t>标的物或者在途标的物或者交付给第一承运人后的标的物毁损、灭失的风险负担详见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06488DB8">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2.10 延迟交货/交付</w:t>
      </w:r>
    </w:p>
    <w:p w14:paraId="287172BC">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除不可抗力导致延迟交付，</w:t>
      </w:r>
      <w:r>
        <w:rPr>
          <w:rFonts w:hint="eastAsia" w:ascii="仿宋" w:hAnsi="仿宋" w:eastAsia="仿宋" w:cs="仿宋"/>
          <w:color w:val="auto"/>
          <w:sz w:val="24"/>
          <w:highlight w:val="none"/>
          <w:lang w:eastAsia="zh-CN"/>
        </w:rPr>
        <w:t>其他</w:t>
      </w:r>
      <w:r>
        <w:rPr>
          <w:rFonts w:hint="eastAsia" w:ascii="仿宋" w:hAnsi="仿宋" w:eastAsia="仿宋" w:cs="仿宋"/>
          <w:color w:val="auto"/>
          <w:sz w:val="24"/>
          <w:highlight w:val="none"/>
        </w:rPr>
        <w:t>原因导致延迟交付的，乙方均应承担违约责任。</w:t>
      </w:r>
    </w:p>
    <w:p w14:paraId="234B5431">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2.11 合同变更</w:t>
      </w:r>
    </w:p>
    <w:p w14:paraId="1BE990A1">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6A5E2622">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2.11.2 合同继续履行将损害国家利益和社会公共利益的，双方当事人应当以书面形式变更或解除合同。有过错的一方应当承担赔偿责任，双方当事人都有过错的，各自承担相应的责任。</w:t>
      </w:r>
    </w:p>
    <w:p w14:paraId="38E9E8A7">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2.12 合同转让和分包</w:t>
      </w:r>
    </w:p>
    <w:p w14:paraId="008F23A4">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0E56FD4F">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2.13 不可抗力</w:t>
      </w:r>
    </w:p>
    <w:p w14:paraId="3A40720E">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2.13.1如果任何一方遭遇法律规定的不可抗力，致使合同履行受阻时，履行合同的期限应予延长，延长的期限应相当于不可抗力所影响的时间；</w:t>
      </w:r>
    </w:p>
    <w:p w14:paraId="55644476">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2.13.2受不可抗力影响的一方在不可抗力发生后，应在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约定时间内以书面形式通知对方当事人，并在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约定时间内，将有关部门出具的证明文件送达对方当事人。</w:t>
      </w:r>
    </w:p>
    <w:p w14:paraId="02A33C09">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2.13.3 因不可抗力致使不能实现合同目的的，当事人可以解除合同；</w:t>
      </w:r>
    </w:p>
    <w:p w14:paraId="4B42DE97">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2.13.4 因不可抗力致使合同有变更必要的，双方当事人应在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约定时间内以书面形式变更合同；</w:t>
      </w:r>
    </w:p>
    <w:p w14:paraId="5F621EF9">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2.14 税费</w:t>
      </w:r>
    </w:p>
    <w:p w14:paraId="524B1850">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与合同有关的一切税费，均按照中华人民共和国法律的相关规定执行。</w:t>
      </w:r>
    </w:p>
    <w:p w14:paraId="25F09772">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2.15 乙方破产</w:t>
      </w:r>
    </w:p>
    <w:p w14:paraId="19EEB6D9">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5E972C7">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2.16 合同中止、终止</w:t>
      </w:r>
    </w:p>
    <w:p w14:paraId="17E5353B">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2.16.1 双方当事人不得擅自中止或者终止合同；</w:t>
      </w:r>
    </w:p>
    <w:p w14:paraId="4F37D281">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2B936FF0">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2.17 检验和验收</w:t>
      </w:r>
    </w:p>
    <w:p w14:paraId="523A1231">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2.17.1标的物交付前，乙方应对标的物的质量、数量等方面进行详细、全面的检验，并向甲方出具证明标的物符合合同约定的文件；标的物交付时，乙方在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约定时间内组织甲方验收，并可依法邀请相关方参加，验收应出具验收书。</w:t>
      </w:r>
    </w:p>
    <w:p w14:paraId="18D8D0FF">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50D68F64">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2.17.3 检验和验收标准、程序等具体内容以及前述验收书的效力详见</w:t>
      </w:r>
      <w:r>
        <w:rPr>
          <w:rFonts w:hint="eastAsia" w:ascii="仿宋" w:hAnsi="仿宋" w:eastAsia="仿宋" w:cs="仿宋"/>
          <w:b/>
          <w:i/>
          <w:color w:val="auto"/>
          <w:sz w:val="24"/>
          <w:highlight w:val="none"/>
          <w:u w:val="single"/>
        </w:rPr>
        <w:t>合同专用条款</w:t>
      </w:r>
      <w:r>
        <w:rPr>
          <w:rFonts w:hint="eastAsia" w:ascii="仿宋" w:hAnsi="仿宋" w:eastAsia="仿宋" w:cs="仿宋"/>
          <w:i/>
          <w:color w:val="auto"/>
          <w:sz w:val="24"/>
          <w:highlight w:val="none"/>
        </w:rPr>
        <w:t>。</w:t>
      </w:r>
    </w:p>
    <w:p w14:paraId="5247D77A">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2.18 通知和送达</w:t>
      </w:r>
    </w:p>
    <w:p w14:paraId="29224F98">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2.18.1 任何一方因履行合同而以合同第一部分尾部所列明的</w:t>
      </w:r>
      <w:r>
        <w:rPr>
          <w:rFonts w:hint="eastAsia" w:ascii="仿宋" w:hAnsi="仿宋" w:eastAsia="仿宋" w:cs="仿宋"/>
          <w:color w:val="auto"/>
          <w:sz w:val="24"/>
          <w:highlight w:val="none"/>
          <w:u w:val="single"/>
        </w:rPr>
        <w:t>“约定送达地址”</w:t>
      </w:r>
      <w:r>
        <w:rPr>
          <w:rFonts w:hint="eastAsia" w:ascii="仿宋" w:hAnsi="仿宋" w:eastAsia="仿宋" w:cs="仿宋"/>
          <w:color w:val="auto"/>
          <w:sz w:val="24"/>
          <w:highlight w:val="none"/>
        </w:rPr>
        <w:t>为收件地址的所有通知、文件、材料，均视为已向对方当事人送达；任何一方变更上述送达方式或者地址的，应于</w:t>
      </w:r>
      <w:r>
        <w:rPr>
          <w:rFonts w:hint="eastAsia" w:ascii="仿宋" w:hAnsi="仿宋" w:eastAsia="仿宋" w:cs="仿宋"/>
          <w:color w:val="auto"/>
          <w:sz w:val="24"/>
          <w:highlight w:val="none"/>
          <w:u w:val="single"/>
        </w:rPr>
        <w:t xml:space="preserve"> 5 </w:t>
      </w:r>
      <w:r>
        <w:rPr>
          <w:rFonts w:hint="eastAsia" w:ascii="仿宋" w:hAnsi="仿宋" w:eastAsia="仿宋" w:cs="仿宋"/>
          <w:color w:val="auto"/>
          <w:sz w:val="24"/>
          <w:highlight w:val="none"/>
        </w:rPr>
        <w:t>个工作日内书面通知对方当事人，在对方当事人收到有关变更通知之前，变更前的约定送达方式或者地址仍视为有效。</w:t>
      </w:r>
    </w:p>
    <w:p w14:paraId="24543FC1">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4F1E982B">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2.19 计量单位</w:t>
      </w:r>
    </w:p>
    <w:p w14:paraId="63C08748">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除技术规范中另有规定外</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合同的计量单位均使用国家法定计量单位。</w:t>
      </w:r>
    </w:p>
    <w:p w14:paraId="6C12B0F1">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2.20 合同使用的文字和适用的法律</w:t>
      </w:r>
    </w:p>
    <w:p w14:paraId="241AFAF3">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2.20.1 合同使用汉语书就、变更和解释；</w:t>
      </w:r>
    </w:p>
    <w:p w14:paraId="3A19F73F">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2.20.2 合同适用中华人民共和国法律。</w:t>
      </w:r>
    </w:p>
    <w:p w14:paraId="112F03DB">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2.21 履约保证金</w:t>
      </w:r>
    </w:p>
    <w:p w14:paraId="53B3A579">
      <w:pPr>
        <w:spacing w:line="360" w:lineRule="auto"/>
        <w:ind w:firstLine="480" w:firstLineChars="200"/>
        <w:rPr>
          <w:rFonts w:ascii="仿宋" w:hAnsi="仿宋" w:eastAsia="仿宋" w:cs="仿宋"/>
          <w:snapToGrid w:val="0"/>
          <w:color w:val="auto"/>
          <w:kern w:val="0"/>
          <w:sz w:val="24"/>
          <w:highlight w:val="none"/>
        </w:rPr>
      </w:pPr>
      <w:r>
        <w:rPr>
          <w:rFonts w:hint="eastAsia" w:ascii="仿宋" w:hAnsi="仿宋" w:eastAsia="仿宋" w:cs="仿宋"/>
          <w:color w:val="auto"/>
          <w:sz w:val="24"/>
          <w:highlight w:val="none"/>
        </w:rPr>
        <w:t>本项目不收取履约保证金</w:t>
      </w:r>
    </w:p>
    <w:p w14:paraId="2DE006A6">
      <w:pPr>
        <w:spacing w:line="360" w:lineRule="auto"/>
        <w:ind w:firstLine="482" w:firstLineChars="200"/>
        <w:rPr>
          <w:rFonts w:ascii="仿宋" w:hAnsi="仿宋" w:eastAsia="仿宋" w:cs="仿宋"/>
          <w:color w:val="auto"/>
          <w:kern w:val="0"/>
          <w:sz w:val="24"/>
          <w:highlight w:val="none"/>
          <w:lang w:val="zh-CN"/>
        </w:rPr>
      </w:pPr>
      <w:r>
        <w:rPr>
          <w:rFonts w:hint="eastAsia" w:ascii="仿宋" w:hAnsi="仿宋" w:eastAsia="仿宋" w:cs="仿宋"/>
          <w:b/>
          <w:color w:val="auto"/>
          <w:sz w:val="24"/>
          <w:highlight w:val="none"/>
        </w:rPr>
        <w:t>2.22 中小企业政策</w:t>
      </w:r>
    </w:p>
    <w:p w14:paraId="066BD32B">
      <w:pPr>
        <w:spacing w:line="360" w:lineRule="auto"/>
        <w:ind w:firstLine="480" w:firstLineChars="2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2.22.1本合同（□是  </w:t>
      </w:r>
      <w:r>
        <w:rPr>
          <w:rFonts w:hint="eastAsia" w:ascii="仿宋" w:hAnsi="仿宋" w:eastAsia="仿宋" w:cs="仿宋"/>
          <w:color w:val="auto"/>
          <w:sz w:val="24"/>
          <w:highlight w:val="none"/>
        </w:rPr>
        <w:sym w:font="Wingdings 2" w:char="F052"/>
      </w:r>
      <w:r>
        <w:rPr>
          <w:rFonts w:hint="eastAsia" w:ascii="仿宋" w:hAnsi="仿宋" w:eastAsia="仿宋" w:cs="仿宋"/>
          <w:color w:val="auto"/>
          <w:kern w:val="0"/>
          <w:sz w:val="24"/>
          <w:highlight w:val="none"/>
          <w:lang w:val="zh-CN"/>
        </w:rPr>
        <w:t>否）为中小企业“政采贷”可融资合同，关于中小企业信用融资事项见采购文件“投标人须知正文”。</w:t>
      </w:r>
    </w:p>
    <w:p w14:paraId="7190C952">
      <w:pPr>
        <w:spacing w:line="360" w:lineRule="auto"/>
        <w:ind w:firstLine="480" w:firstLineChars="2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2.22.2本合同（□是  </w:t>
      </w:r>
      <w:r>
        <w:rPr>
          <w:rFonts w:hint="eastAsia" w:ascii="仿宋" w:hAnsi="仿宋" w:eastAsia="仿宋" w:cs="仿宋"/>
          <w:color w:val="auto"/>
          <w:sz w:val="24"/>
          <w:highlight w:val="none"/>
        </w:rPr>
        <w:sym w:font="Wingdings 2" w:char="F052"/>
      </w:r>
      <w:r>
        <w:rPr>
          <w:rFonts w:hint="eastAsia" w:ascii="仿宋" w:hAnsi="仿宋" w:eastAsia="仿宋" w:cs="仿宋"/>
          <w:color w:val="auto"/>
          <w:kern w:val="0"/>
          <w:sz w:val="24"/>
          <w:highlight w:val="none"/>
          <w:lang w:val="zh-CN"/>
        </w:rPr>
        <w:t>否）为中小企业预留合同。</w:t>
      </w:r>
    </w:p>
    <w:p w14:paraId="5A88518A">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2.23 合同份数</w:t>
      </w:r>
    </w:p>
    <w:p w14:paraId="3AACF3A0">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本合同壹式</w:t>
      </w:r>
      <w:r>
        <w:rPr>
          <w:rFonts w:hint="eastAsia" w:ascii="仿宋" w:hAnsi="仿宋" w:eastAsia="仿宋" w:cs="仿宋"/>
          <w:color w:val="auto"/>
          <w:sz w:val="24"/>
          <w:highlight w:val="none"/>
          <w:u w:val="single"/>
        </w:rPr>
        <w:t xml:space="preserve"> 陆 </w:t>
      </w:r>
      <w:r>
        <w:rPr>
          <w:rFonts w:hint="eastAsia" w:ascii="仿宋" w:hAnsi="仿宋" w:eastAsia="仿宋" w:cs="仿宋"/>
          <w:color w:val="auto"/>
          <w:sz w:val="24"/>
          <w:highlight w:val="none"/>
        </w:rPr>
        <w:t>份，甲方执</w:t>
      </w:r>
      <w:r>
        <w:rPr>
          <w:rFonts w:hint="eastAsia" w:ascii="仿宋" w:hAnsi="仿宋" w:eastAsia="仿宋" w:cs="仿宋"/>
          <w:color w:val="auto"/>
          <w:sz w:val="24"/>
          <w:highlight w:val="none"/>
          <w:u w:val="single"/>
        </w:rPr>
        <w:t xml:space="preserve"> 叁 </w:t>
      </w:r>
      <w:r>
        <w:rPr>
          <w:rFonts w:hint="eastAsia" w:ascii="仿宋" w:hAnsi="仿宋" w:eastAsia="仿宋" w:cs="仿宋"/>
          <w:color w:val="auto"/>
          <w:sz w:val="24"/>
          <w:highlight w:val="none"/>
        </w:rPr>
        <w:t>份，乙方执</w:t>
      </w:r>
      <w:r>
        <w:rPr>
          <w:rFonts w:hint="eastAsia" w:ascii="仿宋" w:hAnsi="仿宋" w:eastAsia="仿宋" w:cs="仿宋"/>
          <w:color w:val="auto"/>
          <w:sz w:val="24"/>
          <w:highlight w:val="none"/>
          <w:u w:val="single"/>
        </w:rPr>
        <w:t xml:space="preserve"> 贰 </w:t>
      </w:r>
      <w:r>
        <w:rPr>
          <w:rFonts w:hint="eastAsia" w:ascii="仿宋" w:hAnsi="仿宋" w:eastAsia="仿宋" w:cs="仿宋"/>
          <w:color w:val="auto"/>
          <w:sz w:val="24"/>
          <w:highlight w:val="none"/>
        </w:rPr>
        <w:t>份，代理机构执</w:t>
      </w:r>
      <w:r>
        <w:rPr>
          <w:rFonts w:hint="eastAsia" w:ascii="仿宋" w:hAnsi="仿宋" w:eastAsia="仿宋" w:cs="仿宋"/>
          <w:color w:val="auto"/>
          <w:sz w:val="24"/>
          <w:highlight w:val="none"/>
          <w:u w:val="single"/>
        </w:rPr>
        <w:t xml:space="preserve"> 壹 </w:t>
      </w:r>
      <w:r>
        <w:rPr>
          <w:rFonts w:hint="eastAsia" w:ascii="仿宋" w:hAnsi="仿宋" w:eastAsia="仿宋" w:cs="仿宋"/>
          <w:color w:val="auto"/>
          <w:sz w:val="24"/>
          <w:highlight w:val="none"/>
        </w:rPr>
        <w:t>份。每份均具有同等法律效力。</w:t>
      </w:r>
    </w:p>
    <w:p w14:paraId="180B0876">
      <w:pPr>
        <w:spacing w:line="360" w:lineRule="auto"/>
        <w:jc w:val="center"/>
        <w:rPr>
          <w:rFonts w:ascii="仿宋" w:hAnsi="仿宋" w:eastAsia="仿宋" w:cs="仿宋"/>
          <w:b/>
          <w:color w:val="auto"/>
          <w:sz w:val="24"/>
          <w:highlight w:val="none"/>
        </w:rPr>
      </w:pPr>
      <w:r>
        <w:rPr>
          <w:rFonts w:hint="eastAsia" w:ascii="仿宋" w:hAnsi="仿宋" w:eastAsia="仿宋" w:cs="仿宋"/>
          <w:color w:val="auto"/>
          <w:sz w:val="24"/>
          <w:highlight w:val="none"/>
        </w:rPr>
        <w:br w:type="page"/>
      </w:r>
      <w:r>
        <w:rPr>
          <w:rFonts w:hint="eastAsia" w:ascii="仿宋" w:hAnsi="仿宋" w:eastAsia="仿宋" w:cs="仿宋"/>
          <w:b/>
          <w:color w:val="auto"/>
          <w:sz w:val="24"/>
          <w:highlight w:val="none"/>
        </w:rPr>
        <w:t>第三部分  合同专用条款</w:t>
      </w:r>
    </w:p>
    <w:p w14:paraId="7A504758">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74CDE8D0">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3.1具有知识产权的标的物知识产权归属：</w:t>
      </w:r>
    </w:p>
    <w:p w14:paraId="1A69587E">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u w:val="single"/>
        </w:rPr>
        <w:t xml:space="preserve">                                                                           </w:t>
      </w:r>
    </w:p>
    <w:p w14:paraId="5674A706">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3.2包装和装运专用条款（如果有）：</w:t>
      </w:r>
    </w:p>
    <w:p w14:paraId="5438756F">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u w:val="single"/>
        </w:rPr>
        <w:t xml:space="preserve">                                                                           </w:t>
      </w:r>
    </w:p>
    <w:p w14:paraId="14FDFE84">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3.3装运标的物的要求和通知：</w:t>
      </w:r>
    </w:p>
    <w:p w14:paraId="6F19C399">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u w:val="single"/>
        </w:rPr>
        <w:t xml:space="preserve">                                                                           </w:t>
      </w:r>
    </w:p>
    <w:p w14:paraId="4A71C6E2">
      <w:pPr>
        <w:spacing w:line="360" w:lineRule="auto"/>
        <w:ind w:firstLine="480" w:firstLineChars="200"/>
        <w:rPr>
          <w:rFonts w:ascii="仿宋" w:hAnsi="仿宋" w:eastAsia="仿宋" w:cs="仿宋"/>
          <w:b/>
          <w:color w:val="auto"/>
          <w:sz w:val="24"/>
          <w:highlight w:val="none"/>
        </w:rPr>
      </w:pPr>
      <w:r>
        <w:rPr>
          <w:rFonts w:hint="eastAsia" w:ascii="仿宋" w:hAnsi="仿宋" w:eastAsia="仿宋" w:cs="仿宋"/>
          <w:color w:val="auto"/>
          <w:sz w:val="24"/>
          <w:highlight w:val="none"/>
        </w:rPr>
        <w:t>3.4</w:t>
      </w:r>
      <w:r>
        <w:rPr>
          <w:rFonts w:hint="eastAsia" w:ascii="仿宋" w:hAnsi="仿宋" w:eastAsia="仿宋" w:cs="仿宋"/>
          <w:b/>
          <w:color w:val="auto"/>
          <w:sz w:val="24"/>
          <w:highlight w:val="none"/>
        </w:rPr>
        <w:t>结算方式和付款条件</w:t>
      </w:r>
    </w:p>
    <w:p w14:paraId="09E7A126">
      <w:pPr>
        <w:spacing w:line="360" w:lineRule="auto"/>
        <w:ind w:firstLine="480" w:firstLineChars="2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本次项目合同总价为大写人民币</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kern w:val="0"/>
          <w:sz w:val="24"/>
          <w:highlight w:val="none"/>
          <w:lang w:val="zh-CN"/>
        </w:rPr>
        <w:t>元）。本项目采用以下勾选结算方式进行支付：</w:t>
      </w:r>
    </w:p>
    <w:p w14:paraId="161DE881">
      <w:pPr>
        <w:spacing w:line="360" w:lineRule="auto"/>
        <w:ind w:firstLine="480" w:firstLineChars="200"/>
        <w:rPr>
          <w:rFonts w:ascii="仿宋" w:hAnsi="仿宋" w:eastAsia="仿宋" w:cs="仿宋"/>
          <w:color w:val="auto"/>
          <w:kern w:val="0"/>
          <w:sz w:val="24"/>
          <w:highlight w:val="none"/>
          <w:u w:val="single"/>
        </w:rPr>
      </w:pPr>
      <w:r>
        <w:rPr>
          <w:rFonts w:hint="eastAsia" w:ascii="仿宋" w:hAnsi="仿宋" w:eastAsia="仿宋" w:cs="仿宋"/>
          <w:color w:val="auto"/>
          <w:kern w:val="0"/>
          <w:sz w:val="24"/>
          <w:highlight w:val="none"/>
          <w:lang w:val="zh-CN"/>
        </w:rPr>
        <w:t>□采用一次性支付方式，付款条件为：</w:t>
      </w:r>
      <w:r>
        <w:rPr>
          <w:rFonts w:hint="eastAsia" w:ascii="仿宋" w:hAnsi="仿宋" w:eastAsia="仿宋" w:cs="仿宋"/>
          <w:color w:val="auto"/>
          <w:kern w:val="0"/>
          <w:sz w:val="24"/>
          <w:highlight w:val="none"/>
          <w:u w:val="single"/>
        </w:rPr>
        <w:t xml:space="preserve">           </w:t>
      </w:r>
    </w:p>
    <w:p w14:paraId="146D4B19">
      <w:pPr>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sz w:val="24"/>
          <w:highlight w:val="none"/>
        </w:rPr>
        <w:sym w:font="Wingdings 2" w:char="F052"/>
      </w:r>
      <w:r>
        <w:rPr>
          <w:rFonts w:hint="eastAsia" w:ascii="仿宋" w:hAnsi="仿宋" w:eastAsia="仿宋" w:cs="仿宋"/>
          <w:color w:val="auto"/>
          <w:kern w:val="0"/>
          <w:sz w:val="24"/>
          <w:highlight w:val="none"/>
          <w:lang w:val="zh-CN"/>
        </w:rPr>
        <w:t>采用分期付款方式，付款条件为</w:t>
      </w:r>
      <w:r>
        <w:rPr>
          <w:rFonts w:hint="eastAsia" w:ascii="仿宋" w:hAnsi="仿宋" w:eastAsia="仿宋" w:cs="仿宋"/>
          <w:color w:val="auto"/>
          <w:kern w:val="0"/>
          <w:sz w:val="24"/>
          <w:highlight w:val="none"/>
        </w:rPr>
        <w:t>：</w:t>
      </w:r>
    </w:p>
    <w:p w14:paraId="3FE6B455">
      <w:pPr>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甲方收到乙方等额合法有效的增值税发票后通过银行转账方式向乙方支付合同款：</w:t>
      </w:r>
    </w:p>
    <w:p w14:paraId="10A0E7D7">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u w:val="single"/>
        </w:rPr>
        <w:t xml:space="preserve">                                                                      </w:t>
      </w:r>
    </w:p>
    <w:p w14:paraId="07EAD71C">
      <w:pPr>
        <w:spacing w:line="360" w:lineRule="auto"/>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甲方无故逾期支付服务费用的，按照每逾期一日支付欠付服务费额度的</w:t>
      </w:r>
      <w:r>
        <w:rPr>
          <w:rFonts w:hint="eastAsia" w:ascii="仿宋" w:hAnsi="仿宋" w:eastAsia="仿宋" w:cs="仿宋"/>
          <w:color w:val="auto"/>
          <w:sz w:val="24"/>
          <w:highlight w:val="none"/>
          <w:u w:val="single"/>
        </w:rPr>
        <w:t xml:space="preserve"> 万分之五 </w:t>
      </w:r>
      <w:r>
        <w:rPr>
          <w:rFonts w:hint="eastAsia" w:ascii="仿宋" w:hAnsi="仿宋" w:eastAsia="仿宋" w:cs="仿宋"/>
          <w:color w:val="auto"/>
          <w:sz w:val="24"/>
          <w:highlight w:val="none"/>
        </w:rPr>
        <w:t>承担违约责任，违约金上限按照《合同书》约定执行。</w:t>
      </w:r>
    </w:p>
    <w:p w14:paraId="574B02E5">
      <w:pPr>
        <w:spacing w:line="360" w:lineRule="auto"/>
        <w:ind w:firstLine="480" w:firstLineChars="200"/>
        <w:rPr>
          <w:rFonts w:ascii="仿宋" w:hAnsi="仿宋" w:eastAsia="仿宋" w:cs="仿宋"/>
          <w:b/>
          <w:color w:val="auto"/>
          <w:sz w:val="24"/>
          <w:highlight w:val="none"/>
        </w:rPr>
      </w:pPr>
      <w:r>
        <w:rPr>
          <w:rFonts w:hint="eastAsia" w:ascii="仿宋" w:hAnsi="仿宋" w:eastAsia="仿宋" w:cs="仿宋"/>
          <w:color w:val="auto"/>
          <w:sz w:val="24"/>
          <w:highlight w:val="none"/>
        </w:rPr>
        <w:t>3.5</w:t>
      </w:r>
      <w:r>
        <w:rPr>
          <w:rFonts w:hint="eastAsia" w:ascii="仿宋" w:hAnsi="仿宋" w:eastAsia="仿宋" w:cs="仿宋"/>
          <w:b/>
          <w:color w:val="auto"/>
          <w:sz w:val="24"/>
          <w:highlight w:val="none"/>
        </w:rPr>
        <w:t>标的物的风险负担</w:t>
      </w:r>
    </w:p>
    <w:p w14:paraId="73BAEE18">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标的物或者在途标的物或者交付给第一承运人后的标的物毁损、灭失的风险负担：</w:t>
      </w:r>
    </w:p>
    <w:p w14:paraId="654D05ED">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u w:val="single"/>
        </w:rPr>
        <w:t xml:space="preserve">乙方                                                                       </w:t>
      </w:r>
    </w:p>
    <w:p w14:paraId="56E95500">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3.5.1受不可抗力影响的一方在不可抗力发生后，应在</w:t>
      </w:r>
      <w:r>
        <w:rPr>
          <w:rFonts w:hint="eastAsia" w:ascii="仿宋" w:hAnsi="仿宋" w:eastAsia="仿宋" w:cs="仿宋"/>
          <w:color w:val="auto"/>
          <w:sz w:val="24"/>
          <w:highlight w:val="none"/>
          <w:u w:val="single"/>
        </w:rPr>
        <w:t xml:space="preserve"> 5个</w:t>
      </w:r>
      <w:r>
        <w:rPr>
          <w:rFonts w:hint="eastAsia" w:ascii="仿宋" w:hAnsi="仿宋" w:eastAsia="仿宋" w:cs="仿宋"/>
          <w:color w:val="auto"/>
          <w:sz w:val="24"/>
          <w:highlight w:val="none"/>
          <w:u w:val="single"/>
          <w:lang w:eastAsia="zh-CN"/>
        </w:rPr>
        <w:t>工作日</w:t>
      </w:r>
      <w:r>
        <w:rPr>
          <w:rFonts w:hint="eastAsia" w:ascii="仿宋" w:hAnsi="仿宋" w:eastAsia="仿宋" w:cs="仿宋"/>
          <w:color w:val="auto"/>
          <w:sz w:val="24"/>
          <w:highlight w:val="none"/>
        </w:rPr>
        <w:t>内以书面形式通知对方当事人，并将有关部门出具的证明文件送达对方当事人。</w:t>
      </w:r>
    </w:p>
    <w:p w14:paraId="506EBD29">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3.5.2因不可抗力致使合同有变更必要的，双方当事人应在</w:t>
      </w:r>
      <w:r>
        <w:rPr>
          <w:rFonts w:hint="eastAsia" w:ascii="仿宋" w:hAnsi="仿宋" w:eastAsia="仿宋" w:cs="仿宋"/>
          <w:color w:val="auto"/>
          <w:sz w:val="24"/>
          <w:highlight w:val="none"/>
          <w:u w:val="single"/>
        </w:rPr>
        <w:t xml:space="preserve"> 5个</w:t>
      </w:r>
      <w:r>
        <w:rPr>
          <w:rFonts w:hint="eastAsia" w:ascii="仿宋" w:hAnsi="仿宋" w:eastAsia="仿宋" w:cs="仿宋"/>
          <w:color w:val="auto"/>
          <w:sz w:val="24"/>
          <w:highlight w:val="none"/>
          <w:u w:val="single"/>
          <w:lang w:eastAsia="zh-CN"/>
        </w:rPr>
        <w:t>工作日</w:t>
      </w:r>
      <w:r>
        <w:rPr>
          <w:rFonts w:hint="eastAsia" w:ascii="仿宋" w:hAnsi="仿宋" w:eastAsia="仿宋" w:cs="仿宋"/>
          <w:color w:val="auto"/>
          <w:sz w:val="24"/>
          <w:highlight w:val="none"/>
        </w:rPr>
        <w:t>内以书面形式变更合同；</w:t>
      </w:r>
    </w:p>
    <w:p w14:paraId="435BB7C5">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3.5.3标的物交付前，乙方应对标的物的质量、数量等方面进行详细、全面的检验，并向甲方出具证明标的物符合合同约定的文件；标的物交付时，甲方在</w:t>
      </w:r>
      <w:r>
        <w:rPr>
          <w:rFonts w:hint="eastAsia" w:ascii="仿宋" w:hAnsi="仿宋" w:eastAsia="仿宋" w:cs="仿宋"/>
          <w:color w:val="auto"/>
          <w:sz w:val="24"/>
          <w:highlight w:val="none"/>
          <w:u w:val="single"/>
        </w:rPr>
        <w:t xml:space="preserve"> 5个</w:t>
      </w:r>
      <w:r>
        <w:rPr>
          <w:rFonts w:hint="eastAsia" w:ascii="仿宋" w:hAnsi="仿宋" w:eastAsia="仿宋" w:cs="仿宋"/>
          <w:color w:val="auto"/>
          <w:sz w:val="24"/>
          <w:highlight w:val="none"/>
          <w:u w:val="single"/>
          <w:lang w:eastAsia="zh-CN"/>
        </w:rPr>
        <w:t>工作日</w:t>
      </w:r>
      <w:r>
        <w:rPr>
          <w:rFonts w:hint="eastAsia" w:ascii="仿宋" w:hAnsi="仿宋" w:eastAsia="仿宋" w:cs="仿宋"/>
          <w:color w:val="auto"/>
          <w:sz w:val="24"/>
          <w:highlight w:val="none"/>
        </w:rPr>
        <w:t>内发起验收，并可依法邀请相关方参加，验收应出具验收书。</w:t>
      </w:r>
    </w:p>
    <w:p w14:paraId="30A5CD4B">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3.5.4 检验和验收标准、程序等具体内容以及前述验收书的效力：</w:t>
      </w:r>
    </w:p>
    <w:p w14:paraId="63C19015">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u w:val="single"/>
        </w:rPr>
        <w:t xml:space="preserve">                                                                           </w:t>
      </w:r>
    </w:p>
    <w:p w14:paraId="13C16DAB">
      <w:pPr>
        <w:spacing w:line="360" w:lineRule="auto"/>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3.5.5 其他：</w:t>
      </w:r>
      <w:r>
        <w:rPr>
          <w:rFonts w:hint="eastAsia" w:ascii="仿宋" w:hAnsi="仿宋" w:eastAsia="仿宋" w:cs="仿宋"/>
          <w:color w:val="auto"/>
          <w:sz w:val="24"/>
          <w:highlight w:val="none"/>
          <w:u w:val="single"/>
        </w:rPr>
        <w:t xml:space="preserve">                                                               </w:t>
      </w:r>
    </w:p>
    <w:p w14:paraId="7E98EC25">
      <w:pPr>
        <w:spacing w:line="360" w:lineRule="auto"/>
        <w:ind w:firstLine="480" w:firstLineChars="200"/>
        <w:rPr>
          <w:rFonts w:ascii="仿宋" w:hAnsi="仿宋" w:eastAsia="仿宋" w:cs="仿宋"/>
          <w:b/>
          <w:color w:val="auto"/>
          <w:sz w:val="24"/>
          <w:highlight w:val="none"/>
        </w:rPr>
      </w:pPr>
      <w:r>
        <w:rPr>
          <w:rFonts w:hint="eastAsia" w:ascii="仿宋" w:hAnsi="仿宋" w:eastAsia="仿宋" w:cs="仿宋"/>
          <w:color w:val="auto"/>
          <w:sz w:val="24"/>
          <w:highlight w:val="none"/>
        </w:rPr>
        <w:t>3.6</w:t>
      </w:r>
      <w:r>
        <w:rPr>
          <w:rFonts w:hint="eastAsia" w:ascii="仿宋" w:hAnsi="仿宋" w:eastAsia="仿宋" w:cs="仿宋"/>
          <w:b/>
          <w:color w:val="auto"/>
          <w:sz w:val="24"/>
          <w:highlight w:val="none"/>
        </w:rPr>
        <w:t>项目验收：</w:t>
      </w:r>
    </w:p>
    <w:p w14:paraId="4BA83C08">
      <w:pPr>
        <w:tabs>
          <w:tab w:val="left" w:pos="904"/>
        </w:tabs>
        <w:snapToGrid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3.6.1甲方参照《南宁市政府采购供应商履约验收评价管理办法》（南财采</w:t>
      </w:r>
      <w:r>
        <w:rPr>
          <w:rFonts w:hint="eastAsia" w:ascii="仿宋" w:hAnsi="仿宋" w:eastAsia="仿宋" w:cs="仿宋"/>
          <w:color w:val="auto"/>
          <w:kern w:val="0"/>
          <w:sz w:val="24"/>
          <w:highlight w:val="none"/>
          <w:lang w:eastAsia="zh-CN"/>
        </w:rPr>
        <w:t>〔2019〕217号</w:t>
      </w:r>
      <w:r>
        <w:rPr>
          <w:rFonts w:hint="eastAsia" w:ascii="仿宋" w:hAnsi="仿宋" w:eastAsia="仿宋" w:cs="仿宋"/>
          <w:color w:val="auto"/>
          <w:kern w:val="0"/>
          <w:sz w:val="24"/>
          <w:highlight w:val="none"/>
        </w:rPr>
        <w:t>）规定组织对乙方履约的验收。验收方成员应当在验收书上签字，并承担相应的法律责任。如果发现与合同中要求不符，乙方须承担由此发生的一切损失和费用，并接受相应的处理。</w:t>
      </w:r>
    </w:p>
    <w:p w14:paraId="1013CAA9">
      <w:pPr>
        <w:tabs>
          <w:tab w:val="left" w:pos="904"/>
        </w:tabs>
        <w:snapToGrid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6252815F">
      <w:pPr>
        <w:tabs>
          <w:tab w:val="left" w:pos="904"/>
        </w:tabs>
        <w:snapToGrid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1239FA66">
      <w:pPr>
        <w:tabs>
          <w:tab w:val="left" w:pos="904"/>
        </w:tabs>
        <w:snapToGrid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3.6.4验收产生的费用由乙方承担。</w:t>
      </w:r>
    </w:p>
    <w:p w14:paraId="5547C936">
      <w:pPr>
        <w:tabs>
          <w:tab w:val="left" w:pos="904"/>
        </w:tabs>
        <w:snapToGrid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3.6.5验收内容及资料要求：</w:t>
      </w:r>
    </w:p>
    <w:p w14:paraId="3DFEF243">
      <w:pPr>
        <w:tabs>
          <w:tab w:val="left" w:pos="904"/>
        </w:tabs>
        <w:snapToGrid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根据采购文件确定的技术指标或者服务要求确定验收指标和标准。未进行相应约定的，应当符合国家强制性规定、政策要求、安全标准、行业或企业有关标准等。</w:t>
      </w:r>
    </w:p>
    <w:p w14:paraId="78A0BF6A">
      <w:pPr>
        <w:tabs>
          <w:tab w:val="left" w:pos="904"/>
        </w:tabs>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kern w:val="0"/>
          <w:sz w:val="24"/>
          <w:highlight w:val="none"/>
        </w:rPr>
        <w:t>3.6.6</w:t>
      </w:r>
      <w:r>
        <w:rPr>
          <w:rFonts w:hint="eastAsia" w:ascii="仿宋" w:hAnsi="仿宋" w:eastAsia="仿宋" w:cs="仿宋"/>
          <w:color w:val="auto"/>
          <w:sz w:val="24"/>
          <w:highlight w:val="none"/>
        </w:rPr>
        <w:t>验收内容</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2"/>
        <w:gridCol w:w="2550"/>
        <w:gridCol w:w="6202"/>
      </w:tblGrid>
      <w:tr w14:paraId="4FD1D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9" w:type="pct"/>
            <w:tcBorders>
              <w:top w:val="single" w:color="auto" w:sz="4" w:space="0"/>
              <w:left w:val="single" w:color="auto" w:sz="4" w:space="0"/>
              <w:bottom w:val="single" w:color="auto" w:sz="4" w:space="0"/>
              <w:right w:val="single" w:color="auto" w:sz="4" w:space="0"/>
            </w:tcBorders>
            <w:vAlign w:val="center"/>
          </w:tcPr>
          <w:p w14:paraId="49DC45DC">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序号</w:t>
            </w:r>
          </w:p>
        </w:tc>
        <w:tc>
          <w:tcPr>
            <w:tcW w:w="1294" w:type="pct"/>
            <w:tcBorders>
              <w:top w:val="single" w:color="auto" w:sz="4" w:space="0"/>
              <w:left w:val="single" w:color="auto" w:sz="4" w:space="0"/>
              <w:bottom w:val="single" w:color="auto" w:sz="4" w:space="0"/>
              <w:right w:val="single" w:color="auto" w:sz="4" w:space="0"/>
            </w:tcBorders>
            <w:vAlign w:val="center"/>
          </w:tcPr>
          <w:p w14:paraId="2270E89C">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验收内容</w:t>
            </w:r>
          </w:p>
        </w:tc>
        <w:tc>
          <w:tcPr>
            <w:tcW w:w="3147" w:type="pct"/>
            <w:tcBorders>
              <w:top w:val="single" w:color="auto" w:sz="4" w:space="0"/>
              <w:left w:val="single" w:color="auto" w:sz="4" w:space="0"/>
              <w:bottom w:val="single" w:color="auto" w:sz="4" w:space="0"/>
              <w:right w:val="single" w:color="auto" w:sz="4" w:space="0"/>
            </w:tcBorders>
            <w:vAlign w:val="center"/>
          </w:tcPr>
          <w:p w14:paraId="60985A6C">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验收标准</w:t>
            </w:r>
          </w:p>
        </w:tc>
      </w:tr>
      <w:tr w14:paraId="74B9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9" w:type="pct"/>
            <w:tcBorders>
              <w:top w:val="single" w:color="auto" w:sz="4" w:space="0"/>
              <w:left w:val="single" w:color="auto" w:sz="4" w:space="0"/>
              <w:bottom w:val="single" w:color="auto" w:sz="4" w:space="0"/>
              <w:right w:val="single" w:color="auto" w:sz="4" w:space="0"/>
            </w:tcBorders>
            <w:vAlign w:val="center"/>
          </w:tcPr>
          <w:p w14:paraId="3F83713A">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1</w:t>
            </w:r>
          </w:p>
        </w:tc>
        <w:tc>
          <w:tcPr>
            <w:tcW w:w="1294" w:type="pct"/>
            <w:tcBorders>
              <w:top w:val="single" w:color="auto" w:sz="4" w:space="0"/>
              <w:left w:val="single" w:color="auto" w:sz="4" w:space="0"/>
              <w:bottom w:val="single" w:color="auto" w:sz="4" w:space="0"/>
              <w:right w:val="single" w:color="auto" w:sz="4" w:space="0"/>
            </w:tcBorders>
            <w:vAlign w:val="center"/>
          </w:tcPr>
          <w:p w14:paraId="309B83AE">
            <w:pPr>
              <w:widowControl/>
              <w:spacing w:line="360" w:lineRule="auto"/>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交付标的物数量</w:t>
            </w:r>
          </w:p>
        </w:tc>
        <w:tc>
          <w:tcPr>
            <w:tcW w:w="3147" w:type="pct"/>
            <w:tcBorders>
              <w:top w:val="single" w:color="auto" w:sz="4" w:space="0"/>
              <w:left w:val="single" w:color="auto" w:sz="4" w:space="0"/>
              <w:bottom w:val="single" w:color="auto" w:sz="4" w:space="0"/>
              <w:right w:val="single" w:color="auto" w:sz="4" w:space="0"/>
            </w:tcBorders>
            <w:vAlign w:val="center"/>
          </w:tcPr>
          <w:p w14:paraId="59177A3C">
            <w:pPr>
              <w:widowControl/>
              <w:spacing w:line="360"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按项目采购文件要求和投标（响应）文件执行。</w:t>
            </w:r>
          </w:p>
        </w:tc>
      </w:tr>
      <w:tr w14:paraId="7B2C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9" w:type="pct"/>
            <w:tcBorders>
              <w:top w:val="single" w:color="auto" w:sz="4" w:space="0"/>
              <w:left w:val="single" w:color="auto" w:sz="4" w:space="0"/>
              <w:bottom w:val="single" w:color="auto" w:sz="4" w:space="0"/>
              <w:right w:val="single" w:color="auto" w:sz="4" w:space="0"/>
            </w:tcBorders>
            <w:vAlign w:val="center"/>
          </w:tcPr>
          <w:p w14:paraId="7E73A467">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2</w:t>
            </w:r>
          </w:p>
        </w:tc>
        <w:tc>
          <w:tcPr>
            <w:tcW w:w="1294" w:type="pct"/>
            <w:tcBorders>
              <w:top w:val="single" w:color="auto" w:sz="4" w:space="0"/>
              <w:left w:val="single" w:color="auto" w:sz="4" w:space="0"/>
              <w:bottom w:val="single" w:color="auto" w:sz="4" w:space="0"/>
              <w:right w:val="single" w:color="auto" w:sz="4" w:space="0"/>
            </w:tcBorders>
            <w:vAlign w:val="center"/>
          </w:tcPr>
          <w:p w14:paraId="3576ED71">
            <w:pPr>
              <w:widowControl/>
              <w:spacing w:line="360" w:lineRule="auto"/>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交付标的物质量</w:t>
            </w:r>
          </w:p>
        </w:tc>
        <w:tc>
          <w:tcPr>
            <w:tcW w:w="3147" w:type="pct"/>
            <w:tcBorders>
              <w:top w:val="single" w:color="auto" w:sz="4" w:space="0"/>
              <w:left w:val="single" w:color="auto" w:sz="4" w:space="0"/>
              <w:bottom w:val="single" w:color="auto" w:sz="4" w:space="0"/>
              <w:right w:val="single" w:color="auto" w:sz="4" w:space="0"/>
            </w:tcBorders>
            <w:vAlign w:val="center"/>
          </w:tcPr>
          <w:p w14:paraId="2E7FE2CA">
            <w:pPr>
              <w:widowControl/>
              <w:spacing w:line="360"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按项目采购文件要求和投标（响应）文件执行。</w:t>
            </w:r>
          </w:p>
        </w:tc>
      </w:tr>
      <w:tr w14:paraId="13AD1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9" w:type="pct"/>
            <w:tcBorders>
              <w:top w:val="single" w:color="auto" w:sz="4" w:space="0"/>
              <w:left w:val="single" w:color="auto" w:sz="4" w:space="0"/>
              <w:bottom w:val="single" w:color="auto" w:sz="4" w:space="0"/>
              <w:right w:val="single" w:color="auto" w:sz="4" w:space="0"/>
            </w:tcBorders>
            <w:vAlign w:val="center"/>
          </w:tcPr>
          <w:p w14:paraId="6A6B3393">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3</w:t>
            </w:r>
          </w:p>
        </w:tc>
        <w:tc>
          <w:tcPr>
            <w:tcW w:w="1294" w:type="pct"/>
            <w:tcBorders>
              <w:top w:val="single" w:color="auto" w:sz="4" w:space="0"/>
              <w:left w:val="single" w:color="auto" w:sz="4" w:space="0"/>
              <w:bottom w:val="single" w:color="auto" w:sz="4" w:space="0"/>
              <w:right w:val="single" w:color="auto" w:sz="4" w:space="0"/>
            </w:tcBorders>
            <w:vAlign w:val="center"/>
          </w:tcPr>
          <w:p w14:paraId="2DA68790">
            <w:pPr>
              <w:spacing w:line="360" w:lineRule="auto"/>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 xml:space="preserve">交付标的物技术、性能指标 </w:t>
            </w:r>
          </w:p>
        </w:tc>
        <w:tc>
          <w:tcPr>
            <w:tcW w:w="3147" w:type="pct"/>
            <w:tcBorders>
              <w:top w:val="single" w:color="auto" w:sz="4" w:space="0"/>
              <w:left w:val="single" w:color="auto" w:sz="4" w:space="0"/>
              <w:bottom w:val="single" w:color="auto" w:sz="4" w:space="0"/>
              <w:right w:val="single" w:color="auto" w:sz="4" w:space="0"/>
            </w:tcBorders>
            <w:vAlign w:val="center"/>
          </w:tcPr>
          <w:p w14:paraId="68AB6E23">
            <w:pPr>
              <w:pStyle w:val="13"/>
              <w:spacing w:after="0" w:line="360" w:lineRule="auto"/>
              <w:jc w:val="left"/>
              <w:rPr>
                <w:rFonts w:ascii="仿宋" w:hAnsi="仿宋" w:eastAsia="仿宋" w:cs="仿宋"/>
                <w:color w:val="auto"/>
                <w:sz w:val="24"/>
                <w:highlight w:val="none"/>
              </w:rPr>
            </w:pPr>
            <w:r>
              <w:rPr>
                <w:rFonts w:hint="eastAsia" w:ascii="仿宋" w:hAnsi="仿宋" w:eastAsia="仿宋" w:cs="仿宋"/>
                <w:color w:val="auto"/>
                <w:kern w:val="0"/>
                <w:sz w:val="24"/>
                <w:highlight w:val="none"/>
              </w:rPr>
              <w:t>按项目采购文件要求和投标（响应）文件执行。</w:t>
            </w:r>
          </w:p>
        </w:tc>
      </w:tr>
      <w:tr w14:paraId="5DE0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9" w:type="pct"/>
            <w:tcBorders>
              <w:top w:val="single" w:color="auto" w:sz="4" w:space="0"/>
              <w:left w:val="single" w:color="auto" w:sz="4" w:space="0"/>
              <w:bottom w:val="single" w:color="auto" w:sz="4" w:space="0"/>
              <w:right w:val="single" w:color="auto" w:sz="4" w:space="0"/>
            </w:tcBorders>
            <w:vAlign w:val="center"/>
          </w:tcPr>
          <w:p w14:paraId="7192A991">
            <w:pPr>
              <w:widowControl/>
              <w:spacing w:line="360" w:lineRule="auto"/>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w:t>
            </w:r>
          </w:p>
        </w:tc>
        <w:tc>
          <w:tcPr>
            <w:tcW w:w="1294" w:type="pct"/>
            <w:tcBorders>
              <w:top w:val="single" w:color="auto" w:sz="4" w:space="0"/>
              <w:left w:val="single" w:color="auto" w:sz="4" w:space="0"/>
              <w:bottom w:val="single" w:color="auto" w:sz="4" w:space="0"/>
              <w:right w:val="single" w:color="auto" w:sz="4" w:space="0"/>
            </w:tcBorders>
            <w:vAlign w:val="center"/>
          </w:tcPr>
          <w:p w14:paraId="2280038F">
            <w:pPr>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售后服务承诺</w:t>
            </w:r>
          </w:p>
        </w:tc>
        <w:tc>
          <w:tcPr>
            <w:tcW w:w="3147" w:type="pct"/>
            <w:tcBorders>
              <w:top w:val="single" w:color="auto" w:sz="4" w:space="0"/>
              <w:left w:val="single" w:color="auto" w:sz="4" w:space="0"/>
              <w:bottom w:val="single" w:color="auto" w:sz="4" w:space="0"/>
              <w:right w:val="single" w:color="auto" w:sz="4" w:space="0"/>
            </w:tcBorders>
            <w:vAlign w:val="center"/>
          </w:tcPr>
          <w:p w14:paraId="24153D5F">
            <w:pPr>
              <w:widowControl/>
              <w:spacing w:line="360"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按项目采购文件要求和投标（响应）文件执行。</w:t>
            </w:r>
          </w:p>
        </w:tc>
      </w:tr>
      <w:tr w14:paraId="0BEA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9" w:type="pct"/>
            <w:tcBorders>
              <w:top w:val="single" w:color="auto" w:sz="4" w:space="0"/>
              <w:left w:val="single" w:color="auto" w:sz="4" w:space="0"/>
              <w:bottom w:val="single" w:color="auto" w:sz="4" w:space="0"/>
              <w:right w:val="single" w:color="auto" w:sz="4" w:space="0"/>
            </w:tcBorders>
            <w:vAlign w:val="center"/>
          </w:tcPr>
          <w:p w14:paraId="7DA0A03C">
            <w:pPr>
              <w:widowControl/>
              <w:spacing w:line="360" w:lineRule="auto"/>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5</w:t>
            </w:r>
          </w:p>
        </w:tc>
        <w:tc>
          <w:tcPr>
            <w:tcW w:w="1294" w:type="pct"/>
            <w:tcBorders>
              <w:top w:val="single" w:color="auto" w:sz="4" w:space="0"/>
              <w:left w:val="single" w:color="auto" w:sz="4" w:space="0"/>
              <w:bottom w:val="single" w:color="auto" w:sz="4" w:space="0"/>
              <w:right w:val="single" w:color="auto" w:sz="4" w:space="0"/>
            </w:tcBorders>
            <w:vAlign w:val="center"/>
          </w:tcPr>
          <w:p w14:paraId="16302B1D">
            <w:pPr>
              <w:widowControl/>
              <w:spacing w:line="360" w:lineRule="auto"/>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其他工作</w:t>
            </w:r>
          </w:p>
        </w:tc>
        <w:tc>
          <w:tcPr>
            <w:tcW w:w="3147" w:type="pct"/>
            <w:tcBorders>
              <w:top w:val="single" w:color="auto" w:sz="4" w:space="0"/>
              <w:left w:val="single" w:color="auto" w:sz="4" w:space="0"/>
              <w:bottom w:val="single" w:color="auto" w:sz="4" w:space="0"/>
              <w:right w:val="single" w:color="auto" w:sz="4" w:space="0"/>
            </w:tcBorders>
            <w:vAlign w:val="center"/>
          </w:tcPr>
          <w:p w14:paraId="50F2C130">
            <w:pPr>
              <w:widowControl/>
              <w:spacing w:line="360"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按项目采购文件要求和投标（响应）文件执行。</w:t>
            </w:r>
          </w:p>
        </w:tc>
      </w:tr>
    </w:tbl>
    <w:p w14:paraId="344578DE">
      <w:pPr>
        <w:tabs>
          <w:tab w:val="left" w:pos="904"/>
        </w:tabs>
        <w:snapToGrid w:val="0"/>
        <w:spacing w:line="360" w:lineRule="auto"/>
        <w:ind w:firstLine="480" w:firstLineChars="200"/>
        <w:jc w:val="left"/>
        <w:rPr>
          <w:rFonts w:ascii="仿宋" w:hAnsi="仿宋" w:eastAsia="仿宋" w:cs="仿宋"/>
          <w:color w:val="auto"/>
          <w:sz w:val="24"/>
          <w:highlight w:val="none"/>
        </w:rPr>
      </w:pPr>
    </w:p>
    <w:p w14:paraId="683AA6AD">
      <w:pPr>
        <w:tabs>
          <w:tab w:val="left" w:pos="904"/>
        </w:tabs>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3.6.7验收资料要求</w:t>
      </w:r>
    </w:p>
    <w:p w14:paraId="2D19265F">
      <w:pPr>
        <w:tabs>
          <w:tab w:val="left" w:pos="904"/>
        </w:tabs>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验收资料要求包括（不限于）以下内容：</w:t>
      </w:r>
    </w:p>
    <w:p w14:paraId="38E1D717">
      <w:pPr>
        <w:tabs>
          <w:tab w:val="left" w:pos="904"/>
        </w:tabs>
        <w:adjustRightInd w:val="0"/>
        <w:snapToGrid w:val="0"/>
        <w:spacing w:line="360" w:lineRule="auto"/>
        <w:ind w:firstLine="240" w:firstLineChars="100"/>
        <w:jc w:val="left"/>
        <w:rPr>
          <w:rFonts w:ascii="仿宋" w:hAnsi="仿宋" w:eastAsia="仿宋" w:cs="仿宋"/>
          <w:color w:val="auto"/>
          <w:sz w:val="24"/>
          <w:highlight w:val="none"/>
        </w:rPr>
      </w:pPr>
      <w:r>
        <w:rPr>
          <w:rFonts w:hint="eastAsia" w:ascii="仿宋" w:hAnsi="仿宋" w:eastAsia="仿宋" w:cs="仿宋"/>
          <w:color w:val="auto"/>
          <w:sz w:val="24"/>
          <w:highlight w:val="none"/>
        </w:rPr>
        <w:t>（1）采购文件；</w:t>
      </w:r>
    </w:p>
    <w:p w14:paraId="4B055942">
      <w:pPr>
        <w:tabs>
          <w:tab w:val="left" w:pos="904"/>
        </w:tabs>
        <w:adjustRightInd w:val="0"/>
        <w:snapToGrid w:val="0"/>
        <w:spacing w:line="360" w:lineRule="auto"/>
        <w:ind w:firstLine="240" w:firstLineChars="100"/>
        <w:jc w:val="left"/>
        <w:rPr>
          <w:rFonts w:ascii="仿宋" w:hAnsi="仿宋" w:eastAsia="仿宋" w:cs="仿宋"/>
          <w:color w:val="auto"/>
          <w:sz w:val="24"/>
          <w:highlight w:val="none"/>
        </w:rPr>
      </w:pPr>
      <w:r>
        <w:rPr>
          <w:rFonts w:hint="eastAsia" w:ascii="仿宋" w:hAnsi="仿宋" w:eastAsia="仿宋" w:cs="仿宋"/>
          <w:color w:val="auto"/>
          <w:sz w:val="24"/>
          <w:highlight w:val="none"/>
        </w:rPr>
        <w:t>（2）投标文件；</w:t>
      </w:r>
    </w:p>
    <w:p w14:paraId="273E12E4">
      <w:pPr>
        <w:tabs>
          <w:tab w:val="left" w:pos="904"/>
        </w:tabs>
        <w:adjustRightInd w:val="0"/>
        <w:snapToGrid w:val="0"/>
        <w:spacing w:line="360" w:lineRule="auto"/>
        <w:ind w:firstLine="240" w:firstLineChars="100"/>
        <w:jc w:val="left"/>
        <w:rPr>
          <w:rFonts w:ascii="仿宋" w:hAnsi="仿宋" w:eastAsia="仿宋" w:cs="仿宋"/>
          <w:color w:val="auto"/>
          <w:sz w:val="24"/>
          <w:highlight w:val="none"/>
        </w:rPr>
      </w:pPr>
      <w:r>
        <w:rPr>
          <w:rFonts w:hint="eastAsia" w:ascii="仿宋" w:hAnsi="仿宋" w:eastAsia="仿宋" w:cs="仿宋"/>
          <w:color w:val="auto"/>
          <w:sz w:val="24"/>
          <w:highlight w:val="none"/>
        </w:rPr>
        <w:t>（3）采购合同；</w:t>
      </w:r>
    </w:p>
    <w:p w14:paraId="13678D79">
      <w:pPr>
        <w:tabs>
          <w:tab w:val="left" w:pos="904"/>
        </w:tabs>
        <w:adjustRightInd w:val="0"/>
        <w:snapToGrid w:val="0"/>
        <w:spacing w:line="360" w:lineRule="auto"/>
        <w:ind w:firstLine="240" w:firstLineChars="100"/>
        <w:jc w:val="left"/>
        <w:rPr>
          <w:rFonts w:ascii="仿宋" w:hAnsi="仿宋" w:eastAsia="仿宋" w:cs="仿宋"/>
          <w:b/>
          <w:color w:val="auto"/>
          <w:sz w:val="24"/>
          <w:highlight w:val="none"/>
        </w:rPr>
      </w:pPr>
      <w:r>
        <w:rPr>
          <w:rFonts w:hint="eastAsia" w:ascii="仿宋" w:hAnsi="仿宋" w:eastAsia="仿宋" w:cs="仿宋"/>
          <w:color w:val="auto"/>
          <w:sz w:val="24"/>
          <w:highlight w:val="none"/>
        </w:rPr>
        <w:t>（4）其他需提供的相关材料。</w:t>
      </w:r>
    </w:p>
    <w:p w14:paraId="06AB09DE">
      <w:pPr>
        <w:pStyle w:val="14"/>
        <w:spacing w:line="360" w:lineRule="auto"/>
        <w:ind w:left="178" w:leftChars="85"/>
        <w:rPr>
          <w:rFonts w:hAnsi="宋体"/>
          <w:color w:val="auto"/>
          <w:highlight w:val="none"/>
        </w:rPr>
      </w:pPr>
      <w:r>
        <w:rPr>
          <w:rFonts w:hint="eastAsia" w:ascii="仿宋" w:hAnsi="仿宋" w:eastAsia="仿宋" w:cs="仿宋"/>
          <w:b/>
          <w:color w:val="auto"/>
          <w:sz w:val="36"/>
          <w:highlight w:val="none"/>
        </w:rPr>
        <w:br w:type="page"/>
      </w:r>
    </w:p>
    <w:p w14:paraId="6AA631E2">
      <w:pPr>
        <w:pStyle w:val="14"/>
        <w:tabs>
          <w:tab w:val="left" w:pos="2472"/>
        </w:tabs>
        <w:spacing w:line="460" w:lineRule="exact"/>
        <w:jc w:val="center"/>
        <w:rPr>
          <w:rFonts w:ascii="Times New Roman" w:hAnsi="Times New Roman"/>
          <w:b/>
          <w:color w:val="auto"/>
          <w:sz w:val="36"/>
          <w:highlight w:val="none"/>
        </w:rPr>
      </w:pPr>
    </w:p>
    <w:p w14:paraId="04D499B3">
      <w:pPr>
        <w:pStyle w:val="14"/>
        <w:tabs>
          <w:tab w:val="left" w:pos="2472"/>
        </w:tabs>
        <w:spacing w:line="460" w:lineRule="exact"/>
        <w:jc w:val="center"/>
        <w:rPr>
          <w:rFonts w:ascii="Times New Roman" w:hAnsi="Times New Roman"/>
          <w:b/>
          <w:color w:val="auto"/>
          <w:sz w:val="36"/>
          <w:highlight w:val="none"/>
        </w:rPr>
      </w:pPr>
    </w:p>
    <w:p w14:paraId="6B191F66">
      <w:pPr>
        <w:pStyle w:val="14"/>
        <w:tabs>
          <w:tab w:val="left" w:pos="2472"/>
        </w:tabs>
        <w:spacing w:line="460" w:lineRule="exact"/>
        <w:jc w:val="center"/>
        <w:rPr>
          <w:rFonts w:ascii="Times New Roman" w:hAnsi="Times New Roman"/>
          <w:b/>
          <w:color w:val="auto"/>
          <w:sz w:val="36"/>
          <w:highlight w:val="none"/>
        </w:rPr>
      </w:pPr>
    </w:p>
    <w:p w14:paraId="3DD66ED0">
      <w:pPr>
        <w:pStyle w:val="14"/>
        <w:tabs>
          <w:tab w:val="left" w:pos="2472"/>
        </w:tabs>
        <w:spacing w:line="460" w:lineRule="exact"/>
        <w:jc w:val="center"/>
        <w:rPr>
          <w:rFonts w:ascii="Times New Roman" w:hAnsi="Times New Roman"/>
          <w:b/>
          <w:color w:val="auto"/>
          <w:sz w:val="36"/>
          <w:highlight w:val="none"/>
        </w:rPr>
      </w:pPr>
    </w:p>
    <w:p w14:paraId="6665E49F">
      <w:pPr>
        <w:pStyle w:val="14"/>
        <w:tabs>
          <w:tab w:val="left" w:pos="2472"/>
        </w:tabs>
        <w:spacing w:line="460" w:lineRule="exact"/>
        <w:jc w:val="center"/>
        <w:rPr>
          <w:rFonts w:ascii="Times New Roman" w:hAnsi="Times New Roman"/>
          <w:b/>
          <w:color w:val="auto"/>
          <w:sz w:val="36"/>
          <w:highlight w:val="none"/>
        </w:rPr>
      </w:pPr>
    </w:p>
    <w:p w14:paraId="6E009767">
      <w:pPr>
        <w:pStyle w:val="14"/>
        <w:tabs>
          <w:tab w:val="left" w:pos="2472"/>
        </w:tabs>
        <w:spacing w:line="460" w:lineRule="exact"/>
        <w:jc w:val="center"/>
        <w:rPr>
          <w:rFonts w:ascii="Times New Roman" w:hAnsi="Times New Roman"/>
          <w:b/>
          <w:color w:val="auto"/>
          <w:sz w:val="36"/>
          <w:highlight w:val="none"/>
        </w:rPr>
      </w:pPr>
    </w:p>
    <w:p w14:paraId="27BD3CFC">
      <w:pPr>
        <w:pStyle w:val="14"/>
        <w:tabs>
          <w:tab w:val="left" w:pos="2472"/>
        </w:tabs>
        <w:spacing w:line="460" w:lineRule="exact"/>
        <w:jc w:val="center"/>
        <w:rPr>
          <w:rFonts w:ascii="Times New Roman" w:hAnsi="Times New Roman"/>
          <w:b/>
          <w:color w:val="auto"/>
          <w:sz w:val="36"/>
          <w:highlight w:val="none"/>
        </w:rPr>
      </w:pPr>
    </w:p>
    <w:p w14:paraId="21D95F0C">
      <w:pPr>
        <w:pStyle w:val="24"/>
        <w:rPr>
          <w:rFonts w:ascii="Times New Roman" w:hAnsi="Times New Roman"/>
          <w:color w:val="auto"/>
          <w:sz w:val="36"/>
          <w:highlight w:val="none"/>
        </w:rPr>
      </w:pPr>
    </w:p>
    <w:p w14:paraId="2B201E7C">
      <w:pPr>
        <w:pStyle w:val="22"/>
        <w:rPr>
          <w:color w:val="auto"/>
          <w:highlight w:val="none"/>
        </w:rPr>
      </w:pPr>
    </w:p>
    <w:p w14:paraId="0A3E4DB2">
      <w:pPr>
        <w:pStyle w:val="14"/>
        <w:tabs>
          <w:tab w:val="left" w:pos="2472"/>
        </w:tabs>
        <w:spacing w:line="460" w:lineRule="exact"/>
        <w:jc w:val="center"/>
        <w:rPr>
          <w:rFonts w:ascii="Times New Roman" w:hAnsi="Times New Roman"/>
          <w:b/>
          <w:color w:val="auto"/>
          <w:sz w:val="36"/>
          <w:highlight w:val="none"/>
        </w:rPr>
      </w:pPr>
    </w:p>
    <w:p w14:paraId="1337668E">
      <w:pPr>
        <w:pStyle w:val="14"/>
        <w:tabs>
          <w:tab w:val="left" w:pos="2472"/>
        </w:tabs>
        <w:spacing w:line="460" w:lineRule="exact"/>
        <w:jc w:val="center"/>
        <w:rPr>
          <w:rFonts w:ascii="Times New Roman" w:hAnsi="Times New Roman"/>
          <w:b/>
          <w:color w:val="auto"/>
          <w:sz w:val="36"/>
          <w:highlight w:val="none"/>
        </w:rPr>
      </w:pPr>
    </w:p>
    <w:p w14:paraId="4F66149A">
      <w:pPr>
        <w:pStyle w:val="14"/>
        <w:tabs>
          <w:tab w:val="left" w:pos="2472"/>
        </w:tabs>
        <w:spacing w:line="460" w:lineRule="exact"/>
        <w:jc w:val="center"/>
        <w:outlineLvl w:val="0"/>
        <w:rPr>
          <w:rFonts w:ascii="Times New Roman" w:hAnsi="Times New Roman"/>
          <w:b/>
          <w:color w:val="auto"/>
          <w:sz w:val="36"/>
          <w:highlight w:val="none"/>
        </w:rPr>
      </w:pPr>
      <w:bookmarkStart w:id="29" w:name="_Toc31525"/>
      <w:r>
        <w:rPr>
          <w:rFonts w:hint="eastAsia" w:ascii="Times New Roman" w:hAnsi="Times New Roman"/>
          <w:b/>
          <w:color w:val="auto"/>
          <w:sz w:val="36"/>
          <w:highlight w:val="none"/>
        </w:rPr>
        <w:t>第六章</w:t>
      </w:r>
      <w:r>
        <w:rPr>
          <w:rFonts w:ascii="Times New Roman" w:hAnsi="Times New Roman"/>
          <w:b/>
          <w:color w:val="auto"/>
          <w:sz w:val="36"/>
          <w:highlight w:val="none"/>
        </w:rPr>
        <w:t xml:space="preserve"> </w:t>
      </w:r>
      <w:r>
        <w:rPr>
          <w:rFonts w:hint="eastAsia" w:ascii="Times New Roman" w:hAnsi="Times New Roman"/>
          <w:b/>
          <w:color w:val="auto"/>
          <w:sz w:val="36"/>
          <w:highlight w:val="none"/>
        </w:rPr>
        <w:t>投标文件格式</w:t>
      </w:r>
      <w:bookmarkEnd w:id="29"/>
    </w:p>
    <w:p w14:paraId="1A312892">
      <w:pPr>
        <w:widowControl/>
        <w:spacing w:beforeAutospacing="1" w:line="360" w:lineRule="auto"/>
        <w:jc w:val="left"/>
        <w:rPr>
          <w:rFonts w:ascii="宋体" w:hAnsi="宋体"/>
          <w:color w:val="auto"/>
          <w:szCs w:val="20"/>
          <w:highlight w:val="none"/>
        </w:rPr>
        <w:sectPr>
          <w:pgSz w:w="11906" w:h="16838"/>
          <w:pgMar w:top="1134" w:right="1134" w:bottom="1134" w:left="1134" w:header="720" w:footer="720" w:gutter="0"/>
          <w:cols w:space="720" w:num="1"/>
          <w:docGrid w:type="lines" w:linePitch="331" w:charSpace="0"/>
        </w:sectPr>
      </w:pPr>
    </w:p>
    <w:p w14:paraId="6AEE2D99">
      <w:pPr>
        <w:pStyle w:val="14"/>
        <w:ind w:firstLine="551" w:firstLineChars="196"/>
        <w:jc w:val="center"/>
        <w:outlineLvl w:val="1"/>
        <w:rPr>
          <w:rFonts w:hAnsi="宋体"/>
          <w:b/>
          <w:bCs/>
          <w:color w:val="auto"/>
          <w:sz w:val="28"/>
          <w:szCs w:val="28"/>
          <w:highlight w:val="none"/>
        </w:rPr>
      </w:pPr>
      <w:bookmarkStart w:id="30" w:name="_Toc22756"/>
      <w:r>
        <w:rPr>
          <w:rFonts w:hint="eastAsia" w:hAnsi="宋体"/>
          <w:b/>
          <w:bCs/>
          <w:color w:val="auto"/>
          <w:sz w:val="28"/>
          <w:szCs w:val="28"/>
          <w:highlight w:val="none"/>
        </w:rPr>
        <w:t>第一节 投标文件外层包装封面</w:t>
      </w:r>
      <w:bookmarkEnd w:id="30"/>
    </w:p>
    <w:p w14:paraId="4E582823">
      <w:pPr>
        <w:spacing w:before="120" w:beforeLines="50" w:after="120" w:afterLines="50"/>
        <w:jc w:val="center"/>
        <w:rPr>
          <w:rFonts w:ascii="宋体" w:hAnsi="宋体" w:cs="宋体"/>
          <w:color w:val="auto"/>
          <w:spacing w:val="20"/>
          <w:sz w:val="44"/>
          <w:szCs w:val="44"/>
          <w:highlight w:val="none"/>
        </w:rPr>
      </w:pPr>
    </w:p>
    <w:p w14:paraId="2708B3BD">
      <w:pPr>
        <w:spacing w:before="120" w:beforeLines="50" w:after="120" w:afterLines="50"/>
        <w:jc w:val="center"/>
        <w:rPr>
          <w:rFonts w:ascii="宋体" w:hAnsi="宋体" w:cs="宋体"/>
          <w:color w:val="auto"/>
          <w:spacing w:val="20"/>
          <w:sz w:val="44"/>
          <w:szCs w:val="44"/>
          <w:highlight w:val="none"/>
        </w:rPr>
      </w:pPr>
    </w:p>
    <w:p w14:paraId="13E41827">
      <w:pPr>
        <w:spacing w:before="120" w:beforeLines="50" w:after="120" w:afterLines="50"/>
        <w:jc w:val="center"/>
        <w:rPr>
          <w:rFonts w:ascii="宋体" w:hAnsi="宋体" w:cs="宋体"/>
          <w:color w:val="auto"/>
          <w:spacing w:val="20"/>
          <w:sz w:val="44"/>
          <w:szCs w:val="44"/>
          <w:highlight w:val="none"/>
        </w:rPr>
      </w:pPr>
    </w:p>
    <w:p w14:paraId="307F5661">
      <w:pPr>
        <w:spacing w:before="120" w:beforeLines="50" w:after="120" w:afterLines="50"/>
        <w:jc w:val="center"/>
        <w:rPr>
          <w:rFonts w:ascii="宋体" w:hAnsi="宋体" w:cs="宋体"/>
          <w:color w:val="auto"/>
          <w:spacing w:val="20"/>
          <w:sz w:val="44"/>
          <w:szCs w:val="44"/>
          <w:highlight w:val="none"/>
        </w:rPr>
      </w:pPr>
    </w:p>
    <w:p w14:paraId="20218249">
      <w:pPr>
        <w:spacing w:before="120" w:beforeLines="50" w:after="120" w:afterLines="50"/>
        <w:jc w:val="center"/>
        <w:rPr>
          <w:rFonts w:ascii="宋体" w:hAnsi="宋体" w:cs="宋体"/>
          <w:color w:val="auto"/>
          <w:spacing w:val="40"/>
          <w:w w:val="110"/>
          <w:sz w:val="44"/>
          <w:szCs w:val="44"/>
          <w:highlight w:val="none"/>
        </w:rPr>
      </w:pPr>
      <w:r>
        <w:rPr>
          <w:rFonts w:hint="eastAsia" w:ascii="宋体" w:hAnsi="宋体" w:cs="宋体"/>
          <w:color w:val="auto"/>
          <w:spacing w:val="40"/>
          <w:w w:val="110"/>
          <w:sz w:val="44"/>
          <w:szCs w:val="44"/>
          <w:highlight w:val="none"/>
        </w:rPr>
        <w:t>宾阳县县域公共就业服务能力提升项目</w:t>
      </w:r>
    </w:p>
    <w:p w14:paraId="408FE317">
      <w:pPr>
        <w:spacing w:before="120" w:beforeLines="50" w:after="120" w:afterLines="50"/>
        <w:jc w:val="center"/>
        <w:rPr>
          <w:rFonts w:ascii="宋体" w:hAnsi="宋体" w:cs="宋体"/>
          <w:color w:val="auto"/>
          <w:spacing w:val="40"/>
          <w:w w:val="110"/>
          <w:sz w:val="44"/>
          <w:szCs w:val="44"/>
          <w:highlight w:val="none"/>
        </w:rPr>
      </w:pPr>
    </w:p>
    <w:p w14:paraId="6B07C883">
      <w:pPr>
        <w:spacing w:before="120" w:beforeLines="50" w:after="120" w:afterLines="50"/>
        <w:jc w:val="center"/>
        <w:rPr>
          <w:rFonts w:ascii="宋体" w:hAnsi="宋体" w:cs="宋体"/>
          <w:color w:val="auto"/>
          <w:spacing w:val="40"/>
          <w:w w:val="110"/>
          <w:sz w:val="44"/>
          <w:szCs w:val="44"/>
          <w:highlight w:val="none"/>
        </w:rPr>
      </w:pPr>
      <w:r>
        <w:rPr>
          <w:rFonts w:hint="eastAsia" w:ascii="宋体" w:hAnsi="宋体" w:cs="宋体"/>
          <w:color w:val="auto"/>
          <w:spacing w:val="40"/>
          <w:w w:val="110"/>
          <w:sz w:val="44"/>
          <w:szCs w:val="44"/>
          <w:highlight w:val="none"/>
        </w:rPr>
        <w:t>投标文件</w:t>
      </w:r>
    </w:p>
    <w:p w14:paraId="24A43DA8">
      <w:pPr>
        <w:pStyle w:val="22"/>
        <w:rPr>
          <w:color w:val="auto"/>
          <w:highlight w:val="none"/>
        </w:rPr>
      </w:pPr>
    </w:p>
    <w:p w14:paraId="4BDE1771">
      <w:pPr>
        <w:jc w:val="center"/>
        <w:rPr>
          <w:rFonts w:ascii="宋体" w:hAnsi="宋体" w:cs="宋体"/>
          <w:color w:val="auto"/>
          <w:sz w:val="24"/>
          <w:highlight w:val="none"/>
        </w:rPr>
      </w:pPr>
    </w:p>
    <w:p w14:paraId="223639D9">
      <w:pPr>
        <w:jc w:val="center"/>
        <w:rPr>
          <w:rFonts w:ascii="宋体" w:hAnsi="宋体" w:cs="宋体"/>
          <w:color w:val="auto"/>
          <w:sz w:val="24"/>
          <w:highlight w:val="none"/>
        </w:rPr>
      </w:pPr>
      <w:r>
        <w:rPr>
          <w:rFonts w:hint="eastAsia" w:ascii="宋体" w:hAnsi="宋体" w:cs="宋体"/>
          <w:color w:val="auto"/>
          <w:sz w:val="24"/>
          <w:highlight w:val="none"/>
        </w:rPr>
        <w:t>（电子投标文件）</w:t>
      </w:r>
    </w:p>
    <w:tbl>
      <w:tblPr>
        <w:tblStyle w:val="35"/>
        <w:tblW w:w="0" w:type="auto"/>
        <w:jc w:val="center"/>
        <w:tblLayout w:type="fixed"/>
        <w:tblCellMar>
          <w:top w:w="0" w:type="dxa"/>
          <w:left w:w="108" w:type="dxa"/>
          <w:bottom w:w="0" w:type="dxa"/>
          <w:right w:w="108" w:type="dxa"/>
        </w:tblCellMar>
      </w:tblPr>
      <w:tblGrid>
        <w:gridCol w:w="1601"/>
        <w:gridCol w:w="6172"/>
      </w:tblGrid>
      <w:tr w14:paraId="5889DA76">
        <w:tblPrEx>
          <w:tblCellMar>
            <w:top w:w="0" w:type="dxa"/>
            <w:left w:w="108" w:type="dxa"/>
            <w:bottom w:w="0" w:type="dxa"/>
            <w:right w:w="108" w:type="dxa"/>
          </w:tblCellMar>
        </w:tblPrEx>
        <w:trPr>
          <w:jc w:val="center"/>
        </w:trPr>
        <w:tc>
          <w:tcPr>
            <w:tcW w:w="1601" w:type="dxa"/>
            <w:vAlign w:val="bottom"/>
          </w:tcPr>
          <w:p w14:paraId="1555ED9C">
            <w:pPr>
              <w:jc w:val="distribute"/>
              <w:rPr>
                <w:rFonts w:ascii="宋体" w:hAnsi="宋体" w:cs="宋体"/>
                <w:color w:val="auto"/>
                <w:sz w:val="24"/>
                <w:highlight w:val="none"/>
              </w:rPr>
            </w:pPr>
            <w:r>
              <w:rPr>
                <w:rFonts w:hint="eastAsia" w:ascii="宋体" w:hAnsi="宋体" w:cs="宋体"/>
                <w:color w:val="auto"/>
                <w:sz w:val="24"/>
                <w:highlight w:val="none"/>
              </w:rPr>
              <w:t>项目名称：</w:t>
            </w:r>
          </w:p>
        </w:tc>
        <w:tc>
          <w:tcPr>
            <w:tcW w:w="6172" w:type="dxa"/>
            <w:tcBorders>
              <w:top w:val="nil"/>
              <w:left w:val="nil"/>
              <w:bottom w:val="single" w:color="000000" w:sz="4" w:space="0"/>
              <w:right w:val="nil"/>
            </w:tcBorders>
            <w:vAlign w:val="bottom"/>
          </w:tcPr>
          <w:p w14:paraId="1C8940DB">
            <w:pPr>
              <w:jc w:val="left"/>
              <w:rPr>
                <w:rFonts w:ascii="宋体" w:hAnsi="宋体" w:cs="宋体"/>
                <w:color w:val="auto"/>
                <w:sz w:val="24"/>
                <w:highlight w:val="none"/>
              </w:rPr>
            </w:pPr>
            <w:r>
              <w:rPr>
                <w:rFonts w:hint="eastAsia" w:ascii="宋体" w:hAnsi="宋体" w:cs="宋体"/>
                <w:color w:val="auto"/>
                <w:sz w:val="24"/>
                <w:highlight w:val="none"/>
              </w:rPr>
              <w:t>宾阳县县域公共就业服务能力提升项目</w:t>
            </w:r>
          </w:p>
        </w:tc>
      </w:tr>
      <w:tr w14:paraId="3479B6C5">
        <w:tblPrEx>
          <w:tblCellMar>
            <w:top w:w="0" w:type="dxa"/>
            <w:left w:w="108" w:type="dxa"/>
            <w:bottom w:w="0" w:type="dxa"/>
            <w:right w:w="108" w:type="dxa"/>
          </w:tblCellMar>
        </w:tblPrEx>
        <w:trPr>
          <w:jc w:val="center"/>
        </w:trPr>
        <w:tc>
          <w:tcPr>
            <w:tcW w:w="1601" w:type="dxa"/>
            <w:vAlign w:val="bottom"/>
          </w:tcPr>
          <w:p w14:paraId="3B8ED6F4">
            <w:pPr>
              <w:jc w:val="distribute"/>
              <w:rPr>
                <w:rFonts w:ascii="宋体" w:hAnsi="宋体" w:cs="宋体"/>
                <w:color w:val="auto"/>
                <w:sz w:val="24"/>
                <w:highlight w:val="none"/>
              </w:rPr>
            </w:pPr>
            <w:r>
              <w:rPr>
                <w:rFonts w:hint="eastAsia" w:ascii="宋体" w:hAnsi="宋体" w:cs="宋体"/>
                <w:color w:val="auto"/>
                <w:sz w:val="24"/>
                <w:highlight w:val="none"/>
              </w:rPr>
              <w:t>采购方式：</w:t>
            </w:r>
          </w:p>
        </w:tc>
        <w:tc>
          <w:tcPr>
            <w:tcW w:w="6172" w:type="dxa"/>
            <w:tcBorders>
              <w:top w:val="single" w:color="000000" w:sz="4" w:space="0"/>
              <w:left w:val="nil"/>
              <w:bottom w:val="single" w:color="000000" w:sz="4" w:space="0"/>
              <w:right w:val="nil"/>
            </w:tcBorders>
            <w:vAlign w:val="bottom"/>
          </w:tcPr>
          <w:p w14:paraId="71D932AB">
            <w:pPr>
              <w:jc w:val="left"/>
              <w:rPr>
                <w:rFonts w:ascii="宋体" w:hAnsi="宋体" w:cs="宋体"/>
                <w:color w:val="auto"/>
                <w:sz w:val="24"/>
                <w:highlight w:val="none"/>
              </w:rPr>
            </w:pPr>
            <w:r>
              <w:rPr>
                <w:rFonts w:hint="eastAsia" w:ascii="宋体" w:hAnsi="宋体" w:cs="宋体"/>
                <w:color w:val="auto"/>
                <w:sz w:val="24"/>
                <w:highlight w:val="none"/>
              </w:rPr>
              <w:t>公开招标</w:t>
            </w:r>
          </w:p>
        </w:tc>
      </w:tr>
      <w:tr w14:paraId="28C71615">
        <w:tblPrEx>
          <w:tblCellMar>
            <w:top w:w="0" w:type="dxa"/>
            <w:left w:w="108" w:type="dxa"/>
            <w:bottom w:w="0" w:type="dxa"/>
            <w:right w:w="108" w:type="dxa"/>
          </w:tblCellMar>
        </w:tblPrEx>
        <w:trPr>
          <w:jc w:val="center"/>
        </w:trPr>
        <w:tc>
          <w:tcPr>
            <w:tcW w:w="1601" w:type="dxa"/>
            <w:vAlign w:val="bottom"/>
          </w:tcPr>
          <w:p w14:paraId="3C6565BB">
            <w:pPr>
              <w:jc w:val="distribute"/>
              <w:rPr>
                <w:rFonts w:ascii="宋体" w:hAnsi="宋体" w:cs="宋体"/>
                <w:color w:val="auto"/>
                <w:sz w:val="24"/>
                <w:highlight w:val="none"/>
              </w:rPr>
            </w:pPr>
            <w:r>
              <w:rPr>
                <w:rFonts w:hint="eastAsia" w:ascii="宋体" w:hAnsi="宋体" w:cs="宋体"/>
                <w:color w:val="auto"/>
                <w:sz w:val="24"/>
                <w:highlight w:val="none"/>
              </w:rPr>
              <w:t>项目编号：</w:t>
            </w:r>
          </w:p>
        </w:tc>
        <w:tc>
          <w:tcPr>
            <w:tcW w:w="6172" w:type="dxa"/>
            <w:tcBorders>
              <w:top w:val="single" w:color="000000" w:sz="4" w:space="0"/>
              <w:left w:val="nil"/>
              <w:bottom w:val="single" w:color="000000" w:sz="4" w:space="0"/>
              <w:right w:val="nil"/>
            </w:tcBorders>
            <w:vAlign w:val="bottom"/>
          </w:tcPr>
          <w:p w14:paraId="18FC7953">
            <w:pPr>
              <w:jc w:val="left"/>
              <w:rPr>
                <w:rFonts w:ascii="宋体" w:hAnsi="宋体" w:cs="宋体"/>
                <w:color w:val="auto"/>
                <w:sz w:val="24"/>
                <w:highlight w:val="none"/>
              </w:rPr>
            </w:pPr>
            <w:r>
              <w:rPr>
                <w:color w:val="auto"/>
                <w:highlight w:val="none"/>
              </w:rPr>
              <w:fldChar w:fldCharType="begin"/>
            </w:r>
            <w:r>
              <w:rPr>
                <w:color w:val="auto"/>
                <w:highlight w:val="none"/>
              </w:rPr>
              <w:instrText xml:space="preserve"> HYPERLINK "https://www.gcy.zfcg.gxzf.gov.cn/gaea/api/project/flow/redirect?projectId=7228427269057806418&amp;newUrl=https://www.gcy.zfcg.gxzf.gov.cn/micro-app-back-index/blank?_flow_type_=agency&amp;_flow_projectId_=7228427269057806418&amp;_jump_page_type_=project_procurement_management_flow&amp;_app_=zcy.procurement&amp;oldUrl=https://www.gcy.zfcg.gxzf.gov.cn/project-center/_procurement_/project-result-detail/7228427269057806418&amp;utm=web-project-center-front.42c12ca3.0.0.90a2dec0b62a11f084b5c3fd09c47019" \t "https://www.gcy.zfcg.gxzf.gov.cn/project-center/_procurement_/self-project/_blank" </w:instrText>
            </w:r>
            <w:r>
              <w:rPr>
                <w:color w:val="auto"/>
                <w:highlight w:val="none"/>
              </w:rPr>
              <w:fldChar w:fldCharType="separate"/>
            </w:r>
            <w:r>
              <w:rPr>
                <w:rFonts w:hint="eastAsia" w:ascii="宋体" w:hAnsi="宋体" w:cs="宋体"/>
                <w:color w:val="auto"/>
                <w:sz w:val="24"/>
                <w:highlight w:val="none"/>
              </w:rPr>
              <w:t>NNZC2026-G3-260135-JDZB</w:t>
            </w:r>
            <w:r>
              <w:rPr>
                <w:rFonts w:hint="eastAsia" w:ascii="宋体" w:hAnsi="宋体" w:cs="宋体"/>
                <w:color w:val="auto"/>
                <w:sz w:val="24"/>
                <w:highlight w:val="none"/>
              </w:rPr>
              <w:fldChar w:fldCharType="end"/>
            </w:r>
            <w:r>
              <w:rPr>
                <w:rFonts w:hint="eastAsia" w:ascii="宋体" w:hAnsi="宋体" w:cs="宋体"/>
                <w:color w:val="auto"/>
                <w:sz w:val="24"/>
                <w:highlight w:val="none"/>
              </w:rPr>
              <w:t xml:space="preserve">       </w:t>
            </w:r>
          </w:p>
        </w:tc>
      </w:tr>
      <w:tr w14:paraId="15DED7EE">
        <w:tblPrEx>
          <w:tblCellMar>
            <w:top w:w="0" w:type="dxa"/>
            <w:left w:w="108" w:type="dxa"/>
            <w:bottom w:w="0" w:type="dxa"/>
            <w:right w:w="108" w:type="dxa"/>
          </w:tblCellMar>
        </w:tblPrEx>
        <w:trPr>
          <w:jc w:val="center"/>
        </w:trPr>
        <w:tc>
          <w:tcPr>
            <w:tcW w:w="1601" w:type="dxa"/>
            <w:vAlign w:val="bottom"/>
          </w:tcPr>
          <w:p w14:paraId="78A6EE8E">
            <w:pPr>
              <w:jc w:val="distribute"/>
              <w:rPr>
                <w:rFonts w:ascii="宋体" w:hAnsi="宋体" w:cs="宋体"/>
                <w:color w:val="auto"/>
                <w:sz w:val="24"/>
                <w:highlight w:val="none"/>
              </w:rPr>
            </w:pPr>
            <w:r>
              <w:rPr>
                <w:rFonts w:hint="eastAsia" w:ascii="宋体" w:hAnsi="宋体" w:cs="宋体"/>
                <w:color w:val="auto"/>
                <w:sz w:val="24"/>
                <w:highlight w:val="none"/>
              </w:rPr>
              <w:t>所投分标：</w:t>
            </w:r>
          </w:p>
        </w:tc>
        <w:tc>
          <w:tcPr>
            <w:tcW w:w="6172" w:type="dxa"/>
            <w:tcBorders>
              <w:top w:val="single" w:color="000000" w:sz="4" w:space="0"/>
              <w:left w:val="nil"/>
              <w:bottom w:val="single" w:color="000000" w:sz="4" w:space="0"/>
              <w:right w:val="nil"/>
            </w:tcBorders>
            <w:vAlign w:val="bottom"/>
          </w:tcPr>
          <w:p w14:paraId="371AB001">
            <w:pPr>
              <w:jc w:val="left"/>
              <w:rPr>
                <w:rFonts w:ascii="宋体" w:hAnsi="宋体" w:cs="宋体"/>
                <w:color w:val="auto"/>
                <w:sz w:val="24"/>
                <w:highlight w:val="none"/>
              </w:rPr>
            </w:pPr>
          </w:p>
        </w:tc>
      </w:tr>
      <w:tr w14:paraId="2D770AEC">
        <w:tblPrEx>
          <w:tblCellMar>
            <w:top w:w="0" w:type="dxa"/>
            <w:left w:w="108" w:type="dxa"/>
            <w:bottom w:w="0" w:type="dxa"/>
            <w:right w:w="108" w:type="dxa"/>
          </w:tblCellMar>
        </w:tblPrEx>
        <w:trPr>
          <w:jc w:val="center"/>
        </w:trPr>
        <w:tc>
          <w:tcPr>
            <w:tcW w:w="1601" w:type="dxa"/>
            <w:vAlign w:val="bottom"/>
          </w:tcPr>
          <w:p w14:paraId="210E7677">
            <w:pPr>
              <w:jc w:val="distribute"/>
              <w:rPr>
                <w:rFonts w:ascii="宋体" w:hAnsi="宋体" w:cs="宋体"/>
                <w:color w:val="auto"/>
                <w:sz w:val="24"/>
                <w:highlight w:val="none"/>
              </w:rPr>
            </w:pPr>
            <w:r>
              <w:rPr>
                <w:rFonts w:hint="eastAsia" w:ascii="宋体" w:hAnsi="宋体" w:cs="宋体"/>
                <w:color w:val="auto"/>
                <w:sz w:val="24"/>
                <w:highlight w:val="none"/>
              </w:rPr>
              <w:t>投标人名称：</w:t>
            </w:r>
          </w:p>
        </w:tc>
        <w:tc>
          <w:tcPr>
            <w:tcW w:w="6172" w:type="dxa"/>
            <w:tcBorders>
              <w:top w:val="single" w:color="000000" w:sz="4" w:space="0"/>
              <w:left w:val="nil"/>
              <w:bottom w:val="single" w:color="000000" w:sz="4" w:space="0"/>
              <w:right w:val="nil"/>
            </w:tcBorders>
            <w:vAlign w:val="bottom"/>
          </w:tcPr>
          <w:p w14:paraId="42E38521">
            <w:pPr>
              <w:jc w:val="left"/>
              <w:rPr>
                <w:rFonts w:ascii="宋体" w:hAnsi="宋体" w:cs="宋体"/>
                <w:color w:val="auto"/>
                <w:sz w:val="24"/>
                <w:highlight w:val="none"/>
              </w:rPr>
            </w:pPr>
          </w:p>
        </w:tc>
      </w:tr>
      <w:tr w14:paraId="66838B47">
        <w:tblPrEx>
          <w:tblCellMar>
            <w:top w:w="0" w:type="dxa"/>
            <w:left w:w="108" w:type="dxa"/>
            <w:bottom w:w="0" w:type="dxa"/>
            <w:right w:w="108" w:type="dxa"/>
          </w:tblCellMar>
        </w:tblPrEx>
        <w:trPr>
          <w:jc w:val="center"/>
        </w:trPr>
        <w:tc>
          <w:tcPr>
            <w:tcW w:w="1601" w:type="dxa"/>
            <w:vAlign w:val="bottom"/>
          </w:tcPr>
          <w:p w14:paraId="4AEAC199">
            <w:pPr>
              <w:jc w:val="distribute"/>
              <w:rPr>
                <w:rFonts w:ascii="宋体" w:hAnsi="宋体" w:cs="宋体"/>
                <w:color w:val="auto"/>
                <w:sz w:val="24"/>
                <w:highlight w:val="none"/>
              </w:rPr>
            </w:pPr>
            <w:r>
              <w:rPr>
                <w:rFonts w:hint="eastAsia" w:ascii="宋体" w:hAnsi="宋体" w:cs="宋体"/>
                <w:color w:val="auto"/>
                <w:sz w:val="24"/>
                <w:highlight w:val="none"/>
              </w:rPr>
              <w:t>投标人地址：</w:t>
            </w:r>
          </w:p>
        </w:tc>
        <w:tc>
          <w:tcPr>
            <w:tcW w:w="6172" w:type="dxa"/>
            <w:tcBorders>
              <w:top w:val="single" w:color="000000" w:sz="4" w:space="0"/>
              <w:left w:val="nil"/>
              <w:bottom w:val="single" w:color="000000" w:sz="4" w:space="0"/>
              <w:right w:val="nil"/>
            </w:tcBorders>
            <w:vAlign w:val="bottom"/>
          </w:tcPr>
          <w:p w14:paraId="2B11D776">
            <w:pPr>
              <w:jc w:val="left"/>
              <w:rPr>
                <w:rFonts w:ascii="宋体" w:hAnsi="宋体" w:cs="宋体"/>
                <w:color w:val="auto"/>
                <w:sz w:val="24"/>
                <w:highlight w:val="none"/>
              </w:rPr>
            </w:pPr>
          </w:p>
        </w:tc>
      </w:tr>
    </w:tbl>
    <w:p w14:paraId="5F831296">
      <w:pPr>
        <w:ind w:firstLine="4200" w:firstLineChars="1750"/>
        <w:rPr>
          <w:rFonts w:ascii="宋体" w:hAnsi="宋体" w:cs="宋体"/>
          <w:color w:val="auto"/>
          <w:sz w:val="24"/>
          <w:highlight w:val="none"/>
        </w:rPr>
      </w:pPr>
    </w:p>
    <w:p w14:paraId="426CDEA2">
      <w:pPr>
        <w:ind w:firstLine="4200" w:firstLineChars="1750"/>
        <w:rPr>
          <w:rFonts w:ascii="宋体" w:hAnsi="宋体" w:cs="宋体"/>
          <w:color w:val="auto"/>
          <w:sz w:val="24"/>
          <w:highlight w:val="none"/>
        </w:rPr>
      </w:pPr>
    </w:p>
    <w:p w14:paraId="65A5B408">
      <w:pPr>
        <w:ind w:firstLine="4200" w:firstLineChars="1750"/>
        <w:rPr>
          <w:rFonts w:ascii="宋体" w:hAnsi="宋体" w:cs="宋体"/>
          <w:color w:val="auto"/>
          <w:sz w:val="24"/>
          <w:highlight w:val="none"/>
        </w:rPr>
      </w:pPr>
    </w:p>
    <w:p w14:paraId="20F8862D">
      <w:pPr>
        <w:ind w:firstLine="5880" w:firstLineChars="2450"/>
        <w:rPr>
          <w:rFonts w:ascii="宋体" w:hAnsi="宋体" w:cs="宋体"/>
          <w:color w:val="auto"/>
          <w:sz w:val="24"/>
          <w:highlight w:val="none"/>
        </w:rPr>
      </w:pPr>
      <w:r>
        <w:rPr>
          <w:rFonts w:hint="eastAsia" w:ascii="宋体" w:hAnsi="宋体" w:cs="宋体"/>
          <w:color w:val="auto"/>
          <w:sz w:val="24"/>
          <w:highlight w:val="none"/>
        </w:rPr>
        <w:t>投标截止时间前不得解密</w:t>
      </w:r>
    </w:p>
    <w:p w14:paraId="79403C11">
      <w:pPr>
        <w:ind w:firstLine="6480" w:firstLineChars="2700"/>
        <w:rPr>
          <w:rFonts w:ascii="宋体" w:hAnsi="宋体" w:cs="宋体"/>
          <w:color w:val="auto"/>
          <w:sz w:val="24"/>
          <w:highlight w:val="none"/>
        </w:rPr>
      </w:pPr>
      <w:r>
        <w:rPr>
          <w:rFonts w:hint="eastAsia" w:ascii="宋体" w:hAnsi="宋体" w:cs="宋体"/>
          <w:color w:val="auto"/>
          <w:sz w:val="24"/>
          <w:highlight w:val="none"/>
        </w:rPr>
        <w:t>年   月   日</w:t>
      </w:r>
    </w:p>
    <w:p w14:paraId="304D6292">
      <w:pPr>
        <w:widowControl/>
        <w:jc w:val="left"/>
        <w:rPr>
          <w:rFonts w:ascii="宋体" w:hAnsi="宋体" w:cs="宋体"/>
          <w:color w:val="auto"/>
          <w:sz w:val="24"/>
          <w:highlight w:val="none"/>
        </w:rPr>
        <w:sectPr>
          <w:pgSz w:w="11907" w:h="16840"/>
          <w:pgMar w:top="1531" w:right="1418" w:bottom="1361" w:left="1418" w:header="720" w:footer="720" w:gutter="0"/>
          <w:cols w:space="720" w:num="1"/>
        </w:sectPr>
      </w:pPr>
    </w:p>
    <w:p w14:paraId="23CB4166">
      <w:pPr>
        <w:pStyle w:val="14"/>
        <w:jc w:val="center"/>
        <w:outlineLvl w:val="1"/>
        <w:rPr>
          <w:rFonts w:hAnsi="宋体"/>
          <w:b/>
          <w:bCs/>
          <w:color w:val="auto"/>
          <w:sz w:val="28"/>
          <w:szCs w:val="28"/>
          <w:highlight w:val="none"/>
        </w:rPr>
      </w:pPr>
      <w:bookmarkStart w:id="31" w:name="_Toc20657"/>
      <w:r>
        <w:rPr>
          <w:rFonts w:hint="eastAsia" w:hAnsi="宋体"/>
          <w:b/>
          <w:bCs/>
          <w:color w:val="auto"/>
          <w:sz w:val="28"/>
          <w:szCs w:val="28"/>
          <w:highlight w:val="none"/>
        </w:rPr>
        <w:t>第二节 资格证明文件格式</w:t>
      </w:r>
      <w:bookmarkEnd w:id="31"/>
    </w:p>
    <w:p w14:paraId="4798AF09">
      <w:pPr>
        <w:pStyle w:val="14"/>
        <w:spacing w:line="360" w:lineRule="auto"/>
        <w:ind w:firstLine="420"/>
        <w:rPr>
          <w:rFonts w:hAnsi="宋体"/>
          <w:color w:val="auto"/>
          <w:sz w:val="30"/>
          <w:highlight w:val="none"/>
        </w:rPr>
      </w:pPr>
    </w:p>
    <w:p w14:paraId="477FC2F6">
      <w:pPr>
        <w:snapToGrid w:val="0"/>
        <w:spacing w:before="165" w:beforeLines="50" w:after="50"/>
        <w:rPr>
          <w:rFonts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电子投标文件</w:t>
      </w:r>
    </w:p>
    <w:p w14:paraId="0B673747">
      <w:pPr>
        <w:snapToGrid w:val="0"/>
        <w:spacing w:before="165" w:beforeLines="50" w:after="50"/>
        <w:rPr>
          <w:rFonts w:ascii="宋体" w:hAnsi="宋体"/>
          <w:color w:val="auto"/>
          <w:sz w:val="24"/>
          <w:szCs w:val="20"/>
          <w:highlight w:val="none"/>
        </w:rPr>
      </w:pPr>
    </w:p>
    <w:p w14:paraId="11C06574">
      <w:pPr>
        <w:snapToGrid w:val="0"/>
        <w:spacing w:before="165" w:beforeLines="50" w:after="50"/>
        <w:jc w:val="center"/>
        <w:rPr>
          <w:rFonts w:ascii="宋体" w:hAnsi="宋体"/>
          <w:b/>
          <w:color w:val="auto"/>
          <w:sz w:val="24"/>
          <w:szCs w:val="20"/>
          <w:highlight w:val="none"/>
        </w:rPr>
      </w:pPr>
      <w:r>
        <w:rPr>
          <w:rFonts w:hint="eastAsia" w:ascii="宋体" w:hAnsi="宋体"/>
          <w:b/>
          <w:color w:val="auto"/>
          <w:sz w:val="32"/>
          <w:szCs w:val="32"/>
          <w:highlight w:val="none"/>
        </w:rPr>
        <w:t>资格证明文件（封面）</w:t>
      </w:r>
    </w:p>
    <w:p w14:paraId="1D00D1A2">
      <w:pPr>
        <w:snapToGrid w:val="0"/>
        <w:spacing w:before="165" w:beforeLines="50" w:after="50"/>
        <w:rPr>
          <w:rFonts w:ascii="宋体" w:hAnsi="宋体"/>
          <w:bCs/>
          <w:color w:val="auto"/>
          <w:sz w:val="24"/>
          <w:szCs w:val="20"/>
          <w:highlight w:val="none"/>
        </w:rPr>
      </w:pPr>
    </w:p>
    <w:p w14:paraId="4376FA0F">
      <w:pPr>
        <w:snapToGrid w:val="0"/>
        <w:spacing w:before="165" w:beforeLines="50" w:after="50"/>
        <w:rPr>
          <w:rFonts w:ascii="宋体" w:hAnsi="宋体"/>
          <w:bCs/>
          <w:color w:val="auto"/>
          <w:sz w:val="24"/>
          <w:szCs w:val="20"/>
          <w:highlight w:val="none"/>
        </w:rPr>
      </w:pPr>
    </w:p>
    <w:p w14:paraId="4663F2DB">
      <w:pPr>
        <w:snapToGrid w:val="0"/>
        <w:spacing w:before="165" w:beforeLines="50" w:after="50"/>
        <w:rPr>
          <w:rFonts w:ascii="宋体" w:hAnsi="宋体"/>
          <w:bCs/>
          <w:color w:val="auto"/>
          <w:sz w:val="24"/>
          <w:szCs w:val="20"/>
          <w:highlight w:val="none"/>
        </w:rPr>
      </w:pPr>
    </w:p>
    <w:p w14:paraId="03689A7F">
      <w:pPr>
        <w:snapToGrid w:val="0"/>
        <w:spacing w:before="165" w:beforeLines="50" w:after="50"/>
        <w:rPr>
          <w:rFonts w:ascii="宋体" w:hAnsi="宋体"/>
          <w:bCs/>
          <w:color w:val="auto"/>
          <w:sz w:val="24"/>
          <w:szCs w:val="20"/>
          <w:highlight w:val="none"/>
        </w:rPr>
      </w:pPr>
    </w:p>
    <w:p w14:paraId="5EFBB2EE">
      <w:pPr>
        <w:snapToGrid w:val="0"/>
        <w:spacing w:before="165" w:beforeLines="50" w:after="50"/>
        <w:rPr>
          <w:rFonts w:ascii="宋体" w:hAnsi="宋体"/>
          <w:bCs/>
          <w:color w:val="auto"/>
          <w:sz w:val="24"/>
          <w:szCs w:val="20"/>
          <w:highlight w:val="none"/>
        </w:rPr>
      </w:pPr>
    </w:p>
    <w:p w14:paraId="790C4886">
      <w:pPr>
        <w:snapToGrid w:val="0"/>
        <w:spacing w:before="165" w:beforeLines="50" w:after="50"/>
        <w:rPr>
          <w:rFonts w:ascii="宋体" w:hAnsi="宋体"/>
          <w:bCs/>
          <w:color w:val="auto"/>
          <w:sz w:val="24"/>
          <w:szCs w:val="20"/>
          <w:highlight w:val="none"/>
        </w:rPr>
      </w:pPr>
    </w:p>
    <w:p w14:paraId="67472461">
      <w:pPr>
        <w:snapToGrid w:val="0"/>
        <w:spacing w:before="165" w:beforeLines="50" w:after="50"/>
        <w:rPr>
          <w:rFonts w:ascii="宋体" w:hAnsi="宋体"/>
          <w:bCs/>
          <w:color w:val="auto"/>
          <w:sz w:val="24"/>
          <w:szCs w:val="20"/>
          <w:highlight w:val="none"/>
        </w:rPr>
      </w:pPr>
    </w:p>
    <w:p w14:paraId="2F4B8610">
      <w:pPr>
        <w:snapToGrid w:val="0"/>
        <w:spacing w:before="165"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项目名称：宾阳县县域公共就业服务能力提升项目</w:t>
      </w:r>
    </w:p>
    <w:p w14:paraId="7F62F212">
      <w:pPr>
        <w:snapToGrid w:val="0"/>
        <w:spacing w:before="165" w:beforeLines="50" w:after="50"/>
        <w:ind w:firstLine="540" w:firstLineChars="225"/>
        <w:rPr>
          <w:rFonts w:ascii="宋体" w:hAnsi="宋体"/>
          <w:bCs/>
          <w:color w:val="auto"/>
          <w:sz w:val="24"/>
          <w:szCs w:val="20"/>
          <w:highlight w:val="none"/>
        </w:rPr>
      </w:pPr>
    </w:p>
    <w:p w14:paraId="11ED89B6">
      <w:pPr>
        <w:snapToGrid w:val="0"/>
        <w:spacing w:before="165"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项目编号：</w:t>
      </w:r>
      <w:r>
        <w:rPr>
          <w:color w:val="auto"/>
          <w:highlight w:val="none"/>
        </w:rPr>
        <w:fldChar w:fldCharType="begin"/>
      </w:r>
      <w:r>
        <w:rPr>
          <w:color w:val="auto"/>
          <w:highlight w:val="none"/>
        </w:rPr>
        <w:instrText xml:space="preserve"> HYPERLINK "https://www.gcy.zfcg.gxzf.gov.cn/gaea/api/project/flow/redirect?projectId=7228427269057806418&amp;newUrl=https://www.gcy.zfcg.gxzf.gov.cn/micro-app-back-index/blank?_flow_type_=agency&amp;_flow_projectId_=7228427269057806418&amp;_jump_page_type_=project_procurement_management_flow&amp;_app_=zcy.procurement&amp;oldUrl=https://www.gcy.zfcg.gxzf.gov.cn/project-center/_procurement_/project-result-detail/7228427269057806418&amp;utm=web-project-center-front.42c12ca3.0.0.90a2dec0b62a11f084b5c3fd09c47019" \t "https://www.gcy.zfcg.gxzf.gov.cn/project-center/_procurement_/self-project/_blank" </w:instrText>
      </w:r>
      <w:r>
        <w:rPr>
          <w:color w:val="auto"/>
          <w:highlight w:val="none"/>
        </w:rPr>
        <w:fldChar w:fldCharType="separate"/>
      </w:r>
      <w:r>
        <w:rPr>
          <w:rFonts w:hint="eastAsia" w:ascii="宋体" w:hAnsi="宋体"/>
          <w:bCs/>
          <w:color w:val="auto"/>
          <w:sz w:val="24"/>
          <w:highlight w:val="none"/>
        </w:rPr>
        <w:t>NNZC2026-G3-260135-JDZB</w:t>
      </w:r>
      <w:r>
        <w:rPr>
          <w:rFonts w:hint="eastAsia" w:ascii="宋体" w:hAnsi="宋体"/>
          <w:bCs/>
          <w:color w:val="auto"/>
          <w:sz w:val="24"/>
          <w:highlight w:val="none"/>
        </w:rPr>
        <w:fldChar w:fldCharType="end"/>
      </w:r>
      <w:r>
        <w:rPr>
          <w:rFonts w:hint="eastAsia" w:ascii="宋体" w:hAnsi="宋体"/>
          <w:bCs/>
          <w:color w:val="auto"/>
          <w:sz w:val="24"/>
          <w:highlight w:val="none"/>
        </w:rPr>
        <w:t xml:space="preserve">        </w:t>
      </w:r>
    </w:p>
    <w:p w14:paraId="60C8D79E">
      <w:pPr>
        <w:snapToGrid w:val="0"/>
        <w:spacing w:before="165" w:beforeLines="50" w:after="50"/>
        <w:ind w:firstLine="540" w:firstLineChars="225"/>
        <w:rPr>
          <w:rFonts w:ascii="宋体" w:hAnsi="宋体"/>
          <w:bCs/>
          <w:color w:val="auto"/>
          <w:sz w:val="24"/>
          <w:szCs w:val="20"/>
          <w:highlight w:val="none"/>
        </w:rPr>
      </w:pPr>
      <w:r>
        <w:rPr>
          <w:rFonts w:hint="eastAsia" w:ascii="宋体" w:hAnsi="宋体"/>
          <w:bCs/>
          <w:color w:val="auto"/>
          <w:sz w:val="24"/>
          <w:highlight w:val="none"/>
        </w:rPr>
        <w:t xml:space="preserve"> </w:t>
      </w:r>
    </w:p>
    <w:p w14:paraId="1404B3B3">
      <w:pPr>
        <w:snapToGrid w:val="0"/>
        <w:spacing w:before="165" w:beforeLines="50" w:after="50"/>
        <w:ind w:firstLine="540" w:firstLineChars="225"/>
        <w:rPr>
          <w:rFonts w:ascii="宋体" w:hAnsi="宋体"/>
          <w:bCs/>
          <w:color w:val="auto"/>
          <w:sz w:val="24"/>
          <w:highlight w:val="none"/>
        </w:rPr>
      </w:pPr>
      <w:r>
        <w:rPr>
          <w:rFonts w:hint="eastAsia" w:ascii="宋体" w:hAnsi="宋体"/>
          <w:bCs/>
          <w:color w:val="auto"/>
          <w:sz w:val="24"/>
          <w:highlight w:val="none"/>
        </w:rPr>
        <w:t>所投分标：</w:t>
      </w:r>
    </w:p>
    <w:p w14:paraId="136E91B4">
      <w:pPr>
        <w:pStyle w:val="8"/>
        <w:snapToGrid w:val="0"/>
        <w:spacing w:before="50" w:after="50"/>
        <w:ind w:firstLine="540" w:firstLineChars="225"/>
        <w:rPr>
          <w:rFonts w:ascii="宋体" w:hAnsi="宋体"/>
          <w:bCs/>
          <w:color w:val="auto"/>
          <w:sz w:val="24"/>
          <w:szCs w:val="24"/>
          <w:highlight w:val="none"/>
        </w:rPr>
      </w:pPr>
    </w:p>
    <w:p w14:paraId="13D8584C">
      <w:pPr>
        <w:pStyle w:val="8"/>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投标人名称：</w:t>
      </w:r>
    </w:p>
    <w:p w14:paraId="6DC00E09">
      <w:pPr>
        <w:pStyle w:val="8"/>
        <w:snapToGrid w:val="0"/>
        <w:spacing w:before="50" w:after="50"/>
        <w:ind w:firstLine="540" w:firstLineChars="225"/>
        <w:rPr>
          <w:rFonts w:ascii="宋体" w:hAnsi="宋体"/>
          <w:bCs/>
          <w:color w:val="auto"/>
          <w:sz w:val="24"/>
          <w:szCs w:val="24"/>
          <w:highlight w:val="none"/>
        </w:rPr>
      </w:pPr>
    </w:p>
    <w:p w14:paraId="7BE75279">
      <w:pPr>
        <w:pStyle w:val="8"/>
        <w:snapToGrid w:val="0"/>
        <w:spacing w:before="50" w:after="50"/>
        <w:ind w:firstLine="960" w:firstLineChars="400"/>
        <w:rPr>
          <w:rFonts w:ascii="宋体" w:hAnsi="宋体"/>
          <w:bCs/>
          <w:color w:val="auto"/>
          <w:sz w:val="24"/>
          <w:szCs w:val="24"/>
          <w:highlight w:val="none"/>
        </w:rPr>
      </w:pPr>
    </w:p>
    <w:p w14:paraId="7453D8AD">
      <w:pPr>
        <w:snapToGrid w:val="0"/>
        <w:spacing w:before="165" w:beforeLines="50" w:after="50"/>
        <w:ind w:firstLine="645"/>
        <w:jc w:val="center"/>
        <w:rPr>
          <w:rFonts w:ascii="宋体" w:hAnsi="宋体"/>
          <w:color w:val="auto"/>
          <w:sz w:val="24"/>
          <w:highlight w:val="none"/>
        </w:rPr>
      </w:pPr>
      <w:r>
        <w:rPr>
          <w:rFonts w:hint="eastAsia" w:ascii="宋体" w:hAnsi="宋体"/>
          <w:color w:val="auto"/>
          <w:sz w:val="24"/>
          <w:highlight w:val="none"/>
        </w:rPr>
        <w:t>年  月  日</w:t>
      </w:r>
    </w:p>
    <w:p w14:paraId="4FAC5444">
      <w:pPr>
        <w:widowControl/>
        <w:spacing w:line="360" w:lineRule="auto"/>
        <w:jc w:val="left"/>
        <w:rPr>
          <w:rFonts w:ascii="宋体" w:hAnsi="宋体"/>
          <w:color w:val="auto"/>
          <w:sz w:val="30"/>
          <w:szCs w:val="20"/>
          <w:highlight w:val="none"/>
        </w:rPr>
        <w:sectPr>
          <w:pgSz w:w="11906" w:h="16838"/>
          <w:pgMar w:top="1134" w:right="1134" w:bottom="1134" w:left="1134" w:header="720" w:footer="720" w:gutter="0"/>
          <w:cols w:space="720" w:num="1"/>
          <w:docGrid w:type="lines" w:linePitch="331" w:charSpace="0"/>
        </w:sectPr>
      </w:pPr>
    </w:p>
    <w:p w14:paraId="21299271">
      <w:pPr>
        <w:jc w:val="center"/>
        <w:rPr>
          <w:rFonts w:ascii="仿宋_GB2312" w:hAnsi="仿宋" w:eastAsia="仿宋_GB2312" w:cs="仿宋_GB2312"/>
          <w:b/>
          <w:color w:val="auto"/>
          <w:kern w:val="0"/>
          <w:sz w:val="36"/>
          <w:szCs w:val="36"/>
          <w:highlight w:val="none"/>
        </w:rPr>
      </w:pPr>
      <w:r>
        <w:rPr>
          <w:rFonts w:hint="eastAsia" w:ascii="仿宋_GB2312" w:hAnsi="仿宋" w:eastAsia="仿宋_GB2312" w:cs="仿宋_GB2312"/>
          <w:b/>
          <w:color w:val="auto"/>
          <w:kern w:val="0"/>
          <w:sz w:val="36"/>
          <w:szCs w:val="36"/>
          <w:highlight w:val="none"/>
        </w:rPr>
        <w:t>资格证明文件目录</w:t>
      </w:r>
    </w:p>
    <w:p w14:paraId="52E3B571">
      <w:pPr>
        <w:snapToGrid w:val="0"/>
        <w:spacing w:line="360" w:lineRule="auto"/>
        <w:rPr>
          <w:rFonts w:ascii="仿宋_GB2312" w:hAnsi="仿宋" w:eastAsia="仿宋_GB2312" w:cs="仿宋_GB2312"/>
          <w:color w:val="auto"/>
          <w:kern w:val="0"/>
          <w:sz w:val="24"/>
          <w:highlight w:val="none"/>
        </w:rPr>
      </w:pPr>
    </w:p>
    <w:p w14:paraId="04B49954">
      <w:pPr>
        <w:snapToGrid w:val="0"/>
        <w:spacing w:line="360"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一、</w:t>
      </w:r>
      <w:r>
        <w:rPr>
          <w:rFonts w:hint="eastAsia" w:ascii="仿宋" w:hAnsi="仿宋" w:eastAsia="仿宋" w:cs="仿宋"/>
          <w:color w:val="auto"/>
          <w:sz w:val="24"/>
          <w:highlight w:val="none"/>
        </w:rPr>
        <w:t>营业执照</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或事业法人登记证或其他工商等登记证明材料</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复印件（投标人为自然人的，须提供</w:t>
      </w:r>
      <w:r>
        <w:rPr>
          <w:rFonts w:hint="eastAsia" w:ascii="仿宋" w:hAnsi="仿宋" w:eastAsia="仿宋" w:cs="仿宋"/>
          <w:color w:val="auto"/>
          <w:kern w:val="0"/>
          <w:sz w:val="24"/>
          <w:highlight w:val="none"/>
        </w:rPr>
        <w:t>自然人的身份证明</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……………………………………………………………（页码）</w:t>
      </w:r>
    </w:p>
    <w:p w14:paraId="1F6AE6DC">
      <w:pPr>
        <w:snapToGrid w:val="0"/>
        <w:spacing w:line="360"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二、符合参与政府采购活动的资格条件依法缴纳税收、社会保障资金等方面的材料…………………………………………………………………………………………（页码）</w:t>
      </w:r>
    </w:p>
    <w:p w14:paraId="63275A5D">
      <w:pPr>
        <w:snapToGrid w:val="0"/>
        <w:spacing w:line="360"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三、财务状况报告方面的材料…………………………………………………………（页码）</w:t>
      </w:r>
    </w:p>
    <w:p w14:paraId="77C296D2">
      <w:pPr>
        <w:snapToGrid w:val="0"/>
        <w:spacing w:line="360" w:lineRule="auto"/>
        <w:rPr>
          <w:rFonts w:ascii="仿宋" w:hAnsi="仿宋" w:eastAsia="仿宋" w:cs="仿宋"/>
          <w:color w:val="auto"/>
          <w:kern w:val="0"/>
          <w:sz w:val="24"/>
          <w:highlight w:val="none"/>
        </w:rPr>
      </w:pPr>
      <w:r>
        <w:rPr>
          <w:rFonts w:hint="eastAsia" w:ascii="仿宋" w:hAnsi="仿宋" w:eastAsia="仿宋" w:cs="仿宋"/>
          <w:color w:val="auto"/>
          <w:sz w:val="24"/>
          <w:highlight w:val="none"/>
        </w:rPr>
        <w:t>四、投标人直接控股股东信息</w:t>
      </w:r>
      <w:r>
        <w:rPr>
          <w:rFonts w:hint="eastAsia" w:ascii="仿宋" w:hAnsi="仿宋" w:eastAsia="仿宋" w:cs="仿宋"/>
          <w:color w:val="auto"/>
          <w:kern w:val="0"/>
          <w:sz w:val="24"/>
          <w:highlight w:val="none"/>
        </w:rPr>
        <w:t>…………………………………………………………（页码）</w:t>
      </w:r>
    </w:p>
    <w:p w14:paraId="7F20EBD9">
      <w:pPr>
        <w:snapToGrid w:val="0"/>
        <w:spacing w:line="360" w:lineRule="auto"/>
        <w:rPr>
          <w:rFonts w:ascii="仿宋" w:hAnsi="仿宋" w:eastAsia="仿宋" w:cs="仿宋"/>
          <w:color w:val="auto"/>
          <w:kern w:val="0"/>
          <w:sz w:val="24"/>
          <w:highlight w:val="none"/>
        </w:rPr>
      </w:pPr>
      <w:r>
        <w:rPr>
          <w:rFonts w:hint="eastAsia" w:ascii="仿宋" w:hAnsi="仿宋" w:eastAsia="仿宋" w:cs="仿宋"/>
          <w:color w:val="auto"/>
          <w:sz w:val="24"/>
          <w:highlight w:val="none"/>
        </w:rPr>
        <w:t>五、投标人直接关联关系信息表</w:t>
      </w:r>
      <w:r>
        <w:rPr>
          <w:rFonts w:hint="eastAsia" w:ascii="仿宋" w:hAnsi="仿宋" w:eastAsia="仿宋" w:cs="仿宋"/>
          <w:color w:val="auto"/>
          <w:kern w:val="0"/>
          <w:sz w:val="24"/>
          <w:highlight w:val="none"/>
        </w:rPr>
        <w:t>………………………………………………………（页码）</w:t>
      </w:r>
    </w:p>
    <w:p w14:paraId="2D04E3E3">
      <w:pPr>
        <w:snapToGrid w:val="0"/>
        <w:spacing w:line="360"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六、投标资格声明函……………………………………………………………………（页码）</w:t>
      </w:r>
    </w:p>
    <w:p w14:paraId="2FA73F47">
      <w:pPr>
        <w:snapToGrid w:val="0"/>
        <w:spacing w:line="360" w:lineRule="auto"/>
        <w:rPr>
          <w:rFonts w:ascii="仿宋" w:hAnsi="仿宋" w:eastAsia="仿宋" w:cs="仿宋"/>
          <w:color w:val="auto"/>
          <w:kern w:val="0"/>
          <w:sz w:val="24"/>
          <w:highlight w:val="none"/>
        </w:rPr>
      </w:pPr>
      <w:r>
        <w:rPr>
          <w:rFonts w:hint="eastAsia" w:ascii="仿宋" w:hAnsi="仿宋" w:eastAsia="仿宋" w:cs="仿宋"/>
          <w:color w:val="auto"/>
          <w:sz w:val="24"/>
          <w:highlight w:val="none"/>
        </w:rPr>
        <w:t>七、符合特定资格条件的有关证明材料（投标人必须具有有效的《人力资源服务许可证》）</w:t>
      </w:r>
      <w:r>
        <w:rPr>
          <w:rFonts w:hint="eastAsia" w:ascii="仿宋" w:hAnsi="仿宋" w:eastAsia="仿宋" w:cs="仿宋"/>
          <w:color w:val="auto"/>
          <w:kern w:val="0"/>
          <w:sz w:val="24"/>
          <w:highlight w:val="none"/>
        </w:rPr>
        <w:t>………………………（页码）</w:t>
      </w:r>
    </w:p>
    <w:p w14:paraId="3E334908">
      <w:pPr>
        <w:spacing w:line="360" w:lineRule="auto"/>
        <w:rPr>
          <w:rFonts w:ascii="仿宋" w:hAnsi="仿宋" w:eastAsia="仿宋" w:cs="仿宋"/>
          <w:color w:val="auto"/>
          <w:sz w:val="30"/>
          <w:szCs w:val="20"/>
          <w:highlight w:val="none"/>
        </w:rPr>
        <w:sectPr>
          <w:pgSz w:w="11906" w:h="16838"/>
          <w:pgMar w:top="1134" w:right="1134" w:bottom="1134" w:left="1134" w:header="720" w:footer="720" w:gutter="0"/>
          <w:cols w:space="720" w:num="1"/>
          <w:docGrid w:type="lines" w:linePitch="331" w:charSpace="0"/>
        </w:sectPr>
      </w:pPr>
      <w:r>
        <w:rPr>
          <w:rFonts w:hint="eastAsia" w:ascii="仿宋" w:hAnsi="仿宋" w:eastAsia="仿宋" w:cs="仿宋"/>
          <w:b/>
          <w:bCs/>
          <w:color w:val="auto"/>
          <w:sz w:val="24"/>
          <w:highlight w:val="none"/>
        </w:rPr>
        <w:t>注：以上目录是基本格式要求，各投标人可根据自身情况进一步向下增加内容或细化。</w:t>
      </w:r>
    </w:p>
    <w:p w14:paraId="50858143">
      <w:pPr>
        <w:snapToGrid w:val="0"/>
        <w:spacing w:line="360" w:lineRule="auto"/>
        <w:rPr>
          <w:rFonts w:ascii="仿宋_GB2312" w:hAnsi="仿宋" w:eastAsia="仿宋_GB2312" w:cs="仿宋_GB2312"/>
          <w:b/>
          <w:color w:val="auto"/>
          <w:kern w:val="0"/>
          <w:sz w:val="32"/>
          <w:szCs w:val="32"/>
          <w:highlight w:val="none"/>
          <w:lang w:val="zh-CN"/>
        </w:rPr>
      </w:pPr>
    </w:p>
    <w:p w14:paraId="2CBCBA83">
      <w:pPr>
        <w:spacing w:line="360" w:lineRule="auto"/>
        <w:jc w:val="center"/>
        <w:rPr>
          <w:rFonts w:ascii="仿宋_GB2312" w:hAnsi="仿宋" w:eastAsia="仿宋_GB2312" w:cs="仿宋_GB2312"/>
          <w:b/>
          <w:color w:val="auto"/>
          <w:sz w:val="30"/>
          <w:szCs w:val="30"/>
          <w:highlight w:val="none"/>
        </w:rPr>
      </w:pPr>
      <w:r>
        <w:rPr>
          <w:rFonts w:hint="eastAsia" w:ascii="仿宋_GB2312" w:hAnsi="仿宋" w:eastAsia="仿宋_GB2312" w:cs="仿宋_GB2312"/>
          <w:b/>
          <w:color w:val="auto"/>
          <w:kern w:val="0"/>
          <w:sz w:val="32"/>
          <w:szCs w:val="32"/>
          <w:highlight w:val="none"/>
          <w:lang w:val="zh-CN"/>
        </w:rPr>
        <w:t>一、</w:t>
      </w:r>
      <w:r>
        <w:rPr>
          <w:rFonts w:hint="eastAsia" w:ascii="仿宋_GB2312" w:hAnsi="仿宋" w:eastAsia="仿宋_GB2312" w:cs="仿宋_GB2312"/>
          <w:b/>
          <w:color w:val="auto"/>
          <w:sz w:val="30"/>
          <w:szCs w:val="30"/>
          <w:highlight w:val="none"/>
        </w:rPr>
        <w:t>营业执照</w:t>
      </w:r>
      <w:r>
        <w:rPr>
          <w:rFonts w:hint="eastAsia" w:ascii="仿宋_GB2312" w:hAnsi="仿宋" w:eastAsia="仿宋_GB2312" w:cs="仿宋_GB2312"/>
          <w:b/>
          <w:color w:val="auto"/>
          <w:sz w:val="30"/>
          <w:szCs w:val="30"/>
          <w:highlight w:val="none"/>
          <w:lang w:eastAsia="zh-CN"/>
        </w:rPr>
        <w:t>（</w:t>
      </w:r>
      <w:r>
        <w:rPr>
          <w:rFonts w:hint="eastAsia" w:ascii="仿宋_GB2312" w:hAnsi="仿宋" w:eastAsia="仿宋_GB2312" w:cs="仿宋_GB2312"/>
          <w:b/>
          <w:color w:val="auto"/>
          <w:sz w:val="30"/>
          <w:szCs w:val="30"/>
          <w:highlight w:val="none"/>
        </w:rPr>
        <w:t>或事业法人登记证或其他工商等登记证明材料</w:t>
      </w:r>
      <w:r>
        <w:rPr>
          <w:rFonts w:hint="eastAsia" w:ascii="仿宋_GB2312" w:hAnsi="仿宋" w:eastAsia="仿宋_GB2312" w:cs="仿宋_GB2312"/>
          <w:b/>
          <w:color w:val="auto"/>
          <w:sz w:val="30"/>
          <w:szCs w:val="30"/>
          <w:highlight w:val="none"/>
          <w:lang w:eastAsia="zh-CN"/>
        </w:rPr>
        <w:t>）</w:t>
      </w:r>
      <w:r>
        <w:rPr>
          <w:rFonts w:hint="eastAsia" w:ascii="仿宋_GB2312" w:hAnsi="仿宋" w:eastAsia="仿宋_GB2312" w:cs="仿宋_GB2312"/>
          <w:b/>
          <w:color w:val="auto"/>
          <w:sz w:val="30"/>
          <w:szCs w:val="30"/>
          <w:highlight w:val="none"/>
        </w:rPr>
        <w:t>复印件（投标人为自然人的，提供自然人的身份证明）</w:t>
      </w:r>
    </w:p>
    <w:p w14:paraId="5F4BFEE4">
      <w:pPr>
        <w:spacing w:line="360" w:lineRule="auto"/>
        <w:rPr>
          <w:rFonts w:ascii="仿宋" w:hAnsi="仿宋" w:eastAsia="仿宋" w:cs="仿宋"/>
          <w:b/>
          <w:color w:val="auto"/>
          <w:sz w:val="30"/>
          <w:szCs w:val="30"/>
          <w:highlight w:val="none"/>
        </w:rPr>
      </w:pPr>
    </w:p>
    <w:p w14:paraId="017E5FBA">
      <w:pPr>
        <w:snapToGrid w:val="0"/>
        <w:spacing w:line="360" w:lineRule="auto"/>
        <w:ind w:firstLine="576"/>
        <w:jc w:val="center"/>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投标人名称（电子签章）：                              </w:t>
      </w:r>
    </w:p>
    <w:p w14:paraId="682B0F73">
      <w:pPr>
        <w:spacing w:line="360" w:lineRule="auto"/>
        <w:jc w:val="center"/>
        <w:rPr>
          <w:rFonts w:ascii="仿宋" w:hAnsi="仿宋" w:eastAsia="仿宋" w:cs="仿宋"/>
          <w:b/>
          <w:color w:val="auto"/>
          <w:sz w:val="30"/>
          <w:szCs w:val="30"/>
          <w:highlight w:val="none"/>
        </w:rPr>
      </w:pPr>
      <w:r>
        <w:rPr>
          <w:rFonts w:hint="eastAsia" w:ascii="仿宋" w:hAnsi="仿宋" w:eastAsia="仿宋" w:cs="仿宋"/>
          <w:color w:val="auto"/>
          <w:kern w:val="0"/>
          <w:sz w:val="24"/>
          <w:highlight w:val="none"/>
          <w:lang w:val="zh-CN"/>
        </w:rPr>
        <w:t xml:space="preserve">                   日期：  年  月</w:t>
      </w:r>
    </w:p>
    <w:p w14:paraId="56FCA769">
      <w:pPr>
        <w:spacing w:line="360" w:lineRule="auto"/>
        <w:jc w:val="center"/>
        <w:rPr>
          <w:rFonts w:ascii="仿宋_GB2312" w:hAnsi="仿宋" w:eastAsia="仿宋_GB2312" w:cs="仿宋_GB2312"/>
          <w:b/>
          <w:color w:val="auto"/>
          <w:sz w:val="30"/>
          <w:szCs w:val="30"/>
          <w:highlight w:val="none"/>
        </w:rPr>
      </w:pPr>
    </w:p>
    <w:p w14:paraId="35AF5D62">
      <w:pPr>
        <w:snapToGrid w:val="0"/>
        <w:spacing w:line="360" w:lineRule="auto"/>
        <w:ind w:right="480"/>
        <w:jc w:val="center"/>
        <w:rPr>
          <w:rFonts w:ascii="仿宋_GB2312" w:hAnsi="仿宋" w:eastAsia="仿宋_GB2312" w:cs="仿宋_GB2312"/>
          <w:b/>
          <w:color w:val="auto"/>
          <w:kern w:val="0"/>
          <w:sz w:val="32"/>
          <w:szCs w:val="32"/>
          <w:highlight w:val="none"/>
        </w:rPr>
      </w:pPr>
      <w:r>
        <w:rPr>
          <w:rFonts w:hint="eastAsia" w:ascii="仿宋_GB2312" w:hAnsi="仿宋" w:eastAsia="仿宋_GB2312" w:cs="仿宋_GB2312"/>
          <w:b/>
          <w:color w:val="auto"/>
          <w:sz w:val="30"/>
          <w:szCs w:val="30"/>
          <w:highlight w:val="none"/>
        </w:rPr>
        <w:t>二、</w:t>
      </w:r>
      <w:r>
        <w:rPr>
          <w:rFonts w:hint="eastAsia" w:ascii="仿宋_GB2312" w:hAnsi="仿宋" w:eastAsia="仿宋_GB2312" w:cs="仿宋_GB2312"/>
          <w:b/>
          <w:color w:val="auto"/>
          <w:kern w:val="0"/>
          <w:sz w:val="32"/>
          <w:szCs w:val="32"/>
          <w:highlight w:val="none"/>
        </w:rPr>
        <w:t>符合参与政府采购活动的资格条件依法缴纳税收、社会保障资金等方面的材料</w:t>
      </w:r>
    </w:p>
    <w:p w14:paraId="239E4435">
      <w:pPr>
        <w:snapToGrid w:val="0"/>
        <w:spacing w:line="360" w:lineRule="auto"/>
        <w:ind w:firstLine="480" w:firstLineChars="200"/>
        <w:rPr>
          <w:rFonts w:ascii="仿宋" w:hAnsi="仿宋" w:eastAsia="仿宋" w:cs="仿宋"/>
          <w:color w:val="auto"/>
          <w:sz w:val="24"/>
          <w:highlight w:val="none"/>
        </w:rPr>
      </w:pPr>
    </w:p>
    <w:p w14:paraId="09AB634C">
      <w:pPr>
        <w:snapToGrid w:val="0"/>
        <w:spacing w:line="360" w:lineRule="auto"/>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14:paraId="0F0D1D60">
      <w:pPr>
        <w:snapToGrid w:val="0"/>
        <w:spacing w:line="360" w:lineRule="auto"/>
        <w:ind w:firstLine="5040" w:firstLineChars="21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投标人名称（电子签章）：</w:t>
      </w:r>
    </w:p>
    <w:p w14:paraId="052C9949">
      <w:pPr>
        <w:snapToGrid w:val="0"/>
        <w:spacing w:line="360" w:lineRule="auto"/>
        <w:ind w:firstLine="5160" w:firstLineChars="215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1B013BD8">
      <w:pPr>
        <w:pStyle w:val="22"/>
        <w:rPr>
          <w:color w:val="auto"/>
          <w:highlight w:val="none"/>
          <w:lang w:val="zh-CN"/>
        </w:rPr>
      </w:pPr>
    </w:p>
    <w:p w14:paraId="19619B66">
      <w:pPr>
        <w:snapToGrid w:val="0"/>
        <w:spacing w:line="360" w:lineRule="auto"/>
        <w:ind w:right="480"/>
        <w:jc w:val="center"/>
        <w:rPr>
          <w:rFonts w:ascii="仿宋_GB2312" w:hAnsi="仿宋" w:eastAsia="仿宋_GB2312" w:cs="仿宋_GB2312"/>
          <w:b/>
          <w:color w:val="auto"/>
          <w:kern w:val="0"/>
          <w:sz w:val="32"/>
          <w:szCs w:val="32"/>
          <w:highlight w:val="none"/>
        </w:rPr>
      </w:pPr>
      <w:r>
        <w:rPr>
          <w:rFonts w:hint="eastAsia" w:ascii="仿宋_GB2312" w:hAnsi="仿宋" w:eastAsia="仿宋_GB2312" w:cs="仿宋_GB2312"/>
          <w:b/>
          <w:color w:val="auto"/>
          <w:sz w:val="30"/>
          <w:szCs w:val="30"/>
          <w:highlight w:val="none"/>
        </w:rPr>
        <w:t>三、</w:t>
      </w:r>
      <w:r>
        <w:rPr>
          <w:rFonts w:hint="eastAsia" w:ascii="仿宋_GB2312" w:hAnsi="仿宋" w:eastAsia="仿宋_GB2312" w:cs="仿宋_GB2312"/>
          <w:b/>
          <w:color w:val="auto"/>
          <w:kern w:val="0"/>
          <w:sz w:val="32"/>
          <w:szCs w:val="32"/>
          <w:highlight w:val="none"/>
        </w:rPr>
        <w:t>财务状况报告方面的材料</w:t>
      </w:r>
    </w:p>
    <w:p w14:paraId="509347EF">
      <w:pPr>
        <w:snapToGrid w:val="0"/>
        <w:spacing w:line="360" w:lineRule="auto"/>
        <w:ind w:firstLine="480" w:firstLineChars="200"/>
        <w:rPr>
          <w:rFonts w:ascii="仿宋_GB2312" w:hAnsi="仿宋" w:eastAsia="仿宋_GB2312" w:cs="仿宋_GB2312"/>
          <w:color w:val="auto"/>
          <w:sz w:val="24"/>
          <w:highlight w:val="none"/>
        </w:rPr>
      </w:pPr>
    </w:p>
    <w:p w14:paraId="3D3B7849">
      <w:pPr>
        <w:snapToGrid w:val="0"/>
        <w:spacing w:line="360" w:lineRule="auto"/>
        <w:rPr>
          <w:rFonts w:ascii="仿宋" w:hAnsi="仿宋" w:eastAsia="仿宋" w:cs="仿宋"/>
          <w:color w:val="auto"/>
          <w:kern w:val="0"/>
          <w:sz w:val="24"/>
          <w:highlight w:val="none"/>
          <w:lang w:val="zh-CN"/>
        </w:rPr>
      </w:pPr>
      <w:r>
        <w:rPr>
          <w:rFonts w:hint="eastAsia" w:ascii="仿宋_GB2312" w:hAnsi="仿宋" w:eastAsia="仿宋_GB2312" w:cs="仿宋_GB2312"/>
          <w:color w:val="auto"/>
          <w:kern w:val="0"/>
          <w:sz w:val="24"/>
          <w:highlight w:val="none"/>
          <w:lang w:val="zh-CN"/>
        </w:rPr>
        <w:t xml:space="preserve">                                     </w:t>
      </w:r>
      <w:r>
        <w:rPr>
          <w:rFonts w:hint="eastAsia" w:ascii="仿宋" w:hAnsi="仿宋" w:eastAsia="仿宋" w:cs="仿宋"/>
          <w:color w:val="auto"/>
          <w:kern w:val="0"/>
          <w:sz w:val="24"/>
          <w:highlight w:val="none"/>
          <w:lang w:val="zh-CN"/>
        </w:rPr>
        <w:t xml:space="preserve">     </w:t>
      </w:r>
    </w:p>
    <w:p w14:paraId="2D8267E8">
      <w:pPr>
        <w:snapToGrid w:val="0"/>
        <w:spacing w:line="360" w:lineRule="auto"/>
        <w:ind w:firstLine="5040" w:firstLineChars="21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投标人名称（电子签章）：</w:t>
      </w:r>
    </w:p>
    <w:p w14:paraId="7ED8EB85">
      <w:pPr>
        <w:snapToGrid w:val="0"/>
        <w:spacing w:line="360" w:lineRule="auto"/>
        <w:ind w:firstLine="5160" w:firstLineChars="215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62D04F04">
      <w:pPr>
        <w:snapToGrid w:val="0"/>
        <w:spacing w:line="360" w:lineRule="auto"/>
        <w:ind w:firstLine="5160" w:firstLineChars="2150"/>
        <w:rPr>
          <w:rFonts w:ascii="仿宋" w:hAnsi="仿宋" w:eastAsia="仿宋" w:cs="仿宋"/>
          <w:color w:val="auto"/>
          <w:kern w:val="0"/>
          <w:sz w:val="24"/>
          <w:highlight w:val="none"/>
          <w:lang w:val="zh-CN"/>
        </w:rPr>
      </w:pPr>
    </w:p>
    <w:p w14:paraId="6C743679">
      <w:pPr>
        <w:snapToGrid w:val="0"/>
        <w:spacing w:line="360" w:lineRule="auto"/>
        <w:ind w:right="480"/>
        <w:jc w:val="center"/>
        <w:rPr>
          <w:rFonts w:ascii="仿宋" w:hAnsi="仿宋" w:eastAsia="仿宋" w:cs="仿宋"/>
          <w:b/>
          <w:color w:val="auto"/>
          <w:kern w:val="0"/>
          <w:sz w:val="32"/>
          <w:szCs w:val="32"/>
          <w:highlight w:val="none"/>
          <w:lang w:val="zh-CN"/>
        </w:rPr>
      </w:pPr>
    </w:p>
    <w:p w14:paraId="415AC0FC">
      <w:pPr>
        <w:snapToGrid w:val="0"/>
        <w:spacing w:line="360" w:lineRule="auto"/>
        <w:ind w:right="480"/>
        <w:rPr>
          <w:rFonts w:ascii="宋体" w:hAnsi="宋体"/>
          <w:b/>
          <w:color w:val="auto"/>
          <w:sz w:val="28"/>
          <w:szCs w:val="28"/>
          <w:highlight w:val="none"/>
        </w:rPr>
      </w:pPr>
    </w:p>
    <w:p w14:paraId="51AA554B">
      <w:pPr>
        <w:pStyle w:val="22"/>
        <w:rPr>
          <w:rFonts w:ascii="宋体" w:hAnsi="宋体"/>
          <w:b/>
          <w:color w:val="auto"/>
          <w:sz w:val="28"/>
          <w:szCs w:val="28"/>
          <w:highlight w:val="none"/>
        </w:rPr>
      </w:pPr>
    </w:p>
    <w:p w14:paraId="0E96FE9B">
      <w:pPr>
        <w:pStyle w:val="22"/>
        <w:rPr>
          <w:rFonts w:ascii="宋体" w:hAnsi="宋体"/>
          <w:b/>
          <w:color w:val="auto"/>
          <w:sz w:val="28"/>
          <w:szCs w:val="28"/>
          <w:highlight w:val="none"/>
        </w:rPr>
      </w:pPr>
    </w:p>
    <w:p w14:paraId="51B24A69">
      <w:pPr>
        <w:pStyle w:val="22"/>
        <w:rPr>
          <w:rFonts w:ascii="宋体" w:hAnsi="宋体"/>
          <w:b/>
          <w:color w:val="auto"/>
          <w:sz w:val="28"/>
          <w:szCs w:val="28"/>
          <w:highlight w:val="none"/>
        </w:rPr>
      </w:pPr>
    </w:p>
    <w:p w14:paraId="3FDD90A3">
      <w:pPr>
        <w:pStyle w:val="22"/>
        <w:rPr>
          <w:rFonts w:ascii="宋体" w:hAnsi="宋体"/>
          <w:b/>
          <w:color w:val="auto"/>
          <w:sz w:val="28"/>
          <w:szCs w:val="28"/>
          <w:highlight w:val="none"/>
        </w:rPr>
      </w:pPr>
    </w:p>
    <w:p w14:paraId="320285AC">
      <w:pPr>
        <w:pStyle w:val="22"/>
        <w:rPr>
          <w:rFonts w:ascii="宋体" w:hAnsi="宋体"/>
          <w:b/>
          <w:color w:val="auto"/>
          <w:sz w:val="28"/>
          <w:szCs w:val="28"/>
          <w:highlight w:val="none"/>
        </w:rPr>
      </w:pPr>
    </w:p>
    <w:p w14:paraId="25CEE3C3">
      <w:pPr>
        <w:pStyle w:val="22"/>
        <w:rPr>
          <w:rFonts w:ascii="宋体" w:hAnsi="宋体"/>
          <w:b/>
          <w:color w:val="auto"/>
          <w:sz w:val="28"/>
          <w:szCs w:val="28"/>
          <w:highlight w:val="none"/>
        </w:rPr>
      </w:pPr>
    </w:p>
    <w:p w14:paraId="0D04863C">
      <w:pPr>
        <w:pStyle w:val="22"/>
        <w:rPr>
          <w:rFonts w:ascii="宋体" w:hAnsi="宋体"/>
          <w:b/>
          <w:color w:val="auto"/>
          <w:sz w:val="28"/>
          <w:szCs w:val="28"/>
          <w:highlight w:val="none"/>
        </w:rPr>
      </w:pPr>
    </w:p>
    <w:p w14:paraId="019E6FD6">
      <w:pPr>
        <w:snapToGrid w:val="0"/>
        <w:spacing w:before="50" w:after="165" w:afterLines="50" w:line="360" w:lineRule="auto"/>
        <w:jc w:val="center"/>
        <w:rPr>
          <w:rFonts w:ascii="仿宋_GB2312" w:hAnsi="仿宋" w:eastAsia="仿宋_GB2312" w:cs="仿宋_GB2312"/>
          <w:b/>
          <w:color w:val="auto"/>
          <w:kern w:val="0"/>
          <w:sz w:val="32"/>
          <w:szCs w:val="32"/>
          <w:highlight w:val="none"/>
        </w:rPr>
      </w:pPr>
      <w:r>
        <w:rPr>
          <w:rFonts w:hint="eastAsia" w:ascii="仿宋_GB2312" w:hAnsi="仿宋" w:eastAsia="仿宋_GB2312" w:cs="仿宋_GB2312"/>
          <w:b/>
          <w:color w:val="auto"/>
          <w:kern w:val="0"/>
          <w:sz w:val="32"/>
          <w:szCs w:val="32"/>
          <w:highlight w:val="none"/>
        </w:rPr>
        <w:t>四、投标人直接控股股东信息表</w:t>
      </w:r>
    </w:p>
    <w:tbl>
      <w:tblPr>
        <w:tblStyle w:val="35"/>
        <w:tblW w:w="0" w:type="auto"/>
        <w:tblInd w:w="125" w:type="dxa"/>
        <w:shd w:val="clear" w:color="auto" w:fill="FBFBFB"/>
        <w:tblLayout w:type="fixed"/>
        <w:tblCellMar>
          <w:top w:w="0" w:type="dxa"/>
          <w:left w:w="0" w:type="dxa"/>
          <w:bottom w:w="0" w:type="dxa"/>
          <w:right w:w="0" w:type="dxa"/>
        </w:tblCellMar>
      </w:tblPr>
      <w:tblGrid>
        <w:gridCol w:w="842"/>
        <w:gridCol w:w="2308"/>
        <w:gridCol w:w="1260"/>
        <w:gridCol w:w="4012"/>
        <w:gridCol w:w="1216"/>
      </w:tblGrid>
      <w:tr w14:paraId="0297073F">
        <w:tblPrEx>
          <w:shd w:val="clear" w:color="auto" w:fill="FBFBFB"/>
          <w:tblCellMar>
            <w:top w:w="0" w:type="dxa"/>
            <w:left w:w="0" w:type="dxa"/>
            <w:bottom w:w="0" w:type="dxa"/>
            <w:right w:w="0" w:type="dxa"/>
          </w:tblCellMar>
        </w:tblPrEx>
        <w:trPr>
          <w:trHeight w:val="945" w:hRule="atLeast"/>
          <w:tblHeader/>
        </w:trPr>
        <w:tc>
          <w:tcPr>
            <w:tcW w:w="84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6351585">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3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D8772AD">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6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047103E">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01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146F99D">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216"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AE29C68">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08569F25">
        <w:tblPrEx>
          <w:tblCellMar>
            <w:top w:w="0" w:type="dxa"/>
            <w:left w:w="0" w:type="dxa"/>
            <w:bottom w:w="0" w:type="dxa"/>
            <w:right w:w="0" w:type="dxa"/>
          </w:tblCellMar>
        </w:tblPrEx>
        <w:tc>
          <w:tcPr>
            <w:tcW w:w="84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FDA31C">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3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67599A">
            <w:pPr>
              <w:spacing w:line="360" w:lineRule="auto"/>
              <w:jc w:val="center"/>
              <w:rPr>
                <w:rFonts w:ascii="宋体" w:hAnsi="宋体" w:cs="宋体"/>
                <w:color w:val="auto"/>
                <w:kern w:val="0"/>
                <w:sz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E55BCF">
            <w:pPr>
              <w:spacing w:line="360" w:lineRule="auto"/>
              <w:jc w:val="center"/>
              <w:rPr>
                <w:rFonts w:ascii="宋体" w:hAnsi="宋体" w:cs="宋体"/>
                <w:color w:val="auto"/>
                <w:kern w:val="0"/>
                <w:sz w:val="24"/>
                <w:highlight w:val="none"/>
              </w:rPr>
            </w:pPr>
          </w:p>
        </w:tc>
        <w:tc>
          <w:tcPr>
            <w:tcW w:w="401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FFFF92">
            <w:pPr>
              <w:spacing w:line="360" w:lineRule="auto"/>
              <w:jc w:val="center"/>
              <w:rPr>
                <w:rFonts w:ascii="宋体" w:hAnsi="宋体" w:cs="宋体"/>
                <w:color w:val="auto"/>
                <w:kern w:val="0"/>
                <w:sz w:val="24"/>
                <w:highlight w:val="none"/>
              </w:rPr>
            </w:pPr>
          </w:p>
        </w:tc>
        <w:tc>
          <w:tcPr>
            <w:tcW w:w="121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FC690A">
            <w:pPr>
              <w:spacing w:line="360" w:lineRule="auto"/>
              <w:jc w:val="center"/>
              <w:rPr>
                <w:rFonts w:ascii="宋体" w:hAnsi="宋体" w:cs="宋体"/>
                <w:color w:val="auto"/>
                <w:kern w:val="0"/>
                <w:sz w:val="24"/>
                <w:highlight w:val="none"/>
              </w:rPr>
            </w:pPr>
          </w:p>
        </w:tc>
      </w:tr>
      <w:tr w14:paraId="0688459D">
        <w:tblPrEx>
          <w:shd w:val="clear" w:color="auto" w:fill="FBFBFB"/>
          <w:tblCellMar>
            <w:top w:w="0" w:type="dxa"/>
            <w:left w:w="0" w:type="dxa"/>
            <w:bottom w:w="0" w:type="dxa"/>
            <w:right w:w="0" w:type="dxa"/>
          </w:tblCellMar>
        </w:tblPrEx>
        <w:tc>
          <w:tcPr>
            <w:tcW w:w="84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24013D">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3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508735">
            <w:pPr>
              <w:spacing w:line="360" w:lineRule="auto"/>
              <w:jc w:val="center"/>
              <w:rPr>
                <w:rFonts w:ascii="宋体" w:hAnsi="宋体" w:cs="宋体"/>
                <w:color w:val="auto"/>
                <w:kern w:val="0"/>
                <w:sz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5FD472">
            <w:pPr>
              <w:spacing w:line="360" w:lineRule="auto"/>
              <w:jc w:val="center"/>
              <w:rPr>
                <w:rFonts w:ascii="宋体" w:hAnsi="宋体" w:cs="宋体"/>
                <w:color w:val="auto"/>
                <w:kern w:val="0"/>
                <w:sz w:val="24"/>
                <w:highlight w:val="none"/>
              </w:rPr>
            </w:pPr>
          </w:p>
        </w:tc>
        <w:tc>
          <w:tcPr>
            <w:tcW w:w="401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65EB3C">
            <w:pPr>
              <w:spacing w:line="360" w:lineRule="auto"/>
              <w:jc w:val="center"/>
              <w:rPr>
                <w:rFonts w:ascii="宋体" w:hAnsi="宋体" w:cs="宋体"/>
                <w:color w:val="auto"/>
                <w:kern w:val="0"/>
                <w:sz w:val="24"/>
                <w:highlight w:val="none"/>
              </w:rPr>
            </w:pPr>
          </w:p>
        </w:tc>
        <w:tc>
          <w:tcPr>
            <w:tcW w:w="121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FE4420">
            <w:pPr>
              <w:spacing w:line="360" w:lineRule="auto"/>
              <w:jc w:val="center"/>
              <w:rPr>
                <w:rFonts w:ascii="宋体" w:hAnsi="宋体" w:cs="宋体"/>
                <w:color w:val="auto"/>
                <w:kern w:val="0"/>
                <w:sz w:val="24"/>
                <w:highlight w:val="none"/>
              </w:rPr>
            </w:pPr>
          </w:p>
        </w:tc>
      </w:tr>
      <w:tr w14:paraId="7E2C8BEF">
        <w:tblPrEx>
          <w:tblCellMar>
            <w:top w:w="0" w:type="dxa"/>
            <w:left w:w="0" w:type="dxa"/>
            <w:bottom w:w="0" w:type="dxa"/>
            <w:right w:w="0" w:type="dxa"/>
          </w:tblCellMar>
        </w:tblPrEx>
        <w:tc>
          <w:tcPr>
            <w:tcW w:w="84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E33E2D">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3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CD50949">
            <w:pPr>
              <w:spacing w:line="360" w:lineRule="auto"/>
              <w:jc w:val="center"/>
              <w:rPr>
                <w:rFonts w:ascii="宋体" w:hAnsi="宋体" w:cs="宋体"/>
                <w:color w:val="auto"/>
                <w:kern w:val="0"/>
                <w:sz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D1ED30">
            <w:pPr>
              <w:spacing w:line="360" w:lineRule="auto"/>
              <w:jc w:val="center"/>
              <w:rPr>
                <w:rFonts w:ascii="宋体" w:hAnsi="宋体" w:cs="宋体"/>
                <w:color w:val="auto"/>
                <w:kern w:val="0"/>
                <w:sz w:val="24"/>
                <w:highlight w:val="none"/>
              </w:rPr>
            </w:pPr>
          </w:p>
        </w:tc>
        <w:tc>
          <w:tcPr>
            <w:tcW w:w="401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854912">
            <w:pPr>
              <w:spacing w:line="360" w:lineRule="auto"/>
              <w:jc w:val="center"/>
              <w:rPr>
                <w:rFonts w:ascii="宋体" w:hAnsi="宋体" w:cs="宋体"/>
                <w:color w:val="auto"/>
                <w:kern w:val="0"/>
                <w:sz w:val="24"/>
                <w:highlight w:val="none"/>
              </w:rPr>
            </w:pPr>
          </w:p>
        </w:tc>
        <w:tc>
          <w:tcPr>
            <w:tcW w:w="121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50E9F8">
            <w:pPr>
              <w:spacing w:line="360" w:lineRule="auto"/>
              <w:jc w:val="center"/>
              <w:rPr>
                <w:rFonts w:ascii="宋体" w:hAnsi="宋体" w:cs="宋体"/>
                <w:color w:val="auto"/>
                <w:kern w:val="0"/>
                <w:sz w:val="24"/>
                <w:highlight w:val="none"/>
              </w:rPr>
            </w:pPr>
          </w:p>
        </w:tc>
      </w:tr>
      <w:tr w14:paraId="75DF132D">
        <w:tblPrEx>
          <w:tblCellMar>
            <w:top w:w="0" w:type="dxa"/>
            <w:left w:w="0" w:type="dxa"/>
            <w:bottom w:w="0" w:type="dxa"/>
            <w:right w:w="0" w:type="dxa"/>
          </w:tblCellMar>
        </w:tblPrEx>
        <w:tc>
          <w:tcPr>
            <w:tcW w:w="84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013C8C">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3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7C8FEA">
            <w:pPr>
              <w:spacing w:line="360" w:lineRule="auto"/>
              <w:jc w:val="center"/>
              <w:rPr>
                <w:rFonts w:ascii="宋体" w:hAnsi="宋体" w:cs="宋体"/>
                <w:color w:val="auto"/>
                <w:kern w:val="0"/>
                <w:sz w:val="24"/>
                <w:highlight w:val="none"/>
              </w:rPr>
            </w:pPr>
          </w:p>
        </w:tc>
        <w:tc>
          <w:tcPr>
            <w:tcW w:w="126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A9E1AC">
            <w:pPr>
              <w:spacing w:line="360" w:lineRule="auto"/>
              <w:jc w:val="center"/>
              <w:rPr>
                <w:rFonts w:ascii="宋体" w:hAnsi="宋体" w:cs="宋体"/>
                <w:color w:val="auto"/>
                <w:kern w:val="0"/>
                <w:sz w:val="24"/>
                <w:highlight w:val="none"/>
              </w:rPr>
            </w:pPr>
          </w:p>
        </w:tc>
        <w:tc>
          <w:tcPr>
            <w:tcW w:w="401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4338EA">
            <w:pPr>
              <w:spacing w:line="360" w:lineRule="auto"/>
              <w:jc w:val="center"/>
              <w:rPr>
                <w:rFonts w:ascii="宋体" w:hAnsi="宋体" w:cs="宋体"/>
                <w:color w:val="auto"/>
                <w:kern w:val="0"/>
                <w:sz w:val="24"/>
                <w:highlight w:val="none"/>
              </w:rPr>
            </w:pPr>
          </w:p>
        </w:tc>
        <w:tc>
          <w:tcPr>
            <w:tcW w:w="121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EB09AE">
            <w:pPr>
              <w:spacing w:line="360" w:lineRule="auto"/>
              <w:jc w:val="center"/>
              <w:rPr>
                <w:rFonts w:ascii="宋体" w:hAnsi="宋体" w:cs="宋体"/>
                <w:color w:val="auto"/>
                <w:kern w:val="0"/>
                <w:sz w:val="24"/>
                <w:highlight w:val="none"/>
              </w:rPr>
            </w:pPr>
          </w:p>
        </w:tc>
      </w:tr>
    </w:tbl>
    <w:p w14:paraId="09EFAF2F">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4B204350">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FC33878">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6F5A165A">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3.供应商不存在直接控股股东的，则填“无”。</w:t>
      </w:r>
    </w:p>
    <w:p w14:paraId="6E1874D3">
      <w:pPr>
        <w:snapToGrid w:val="0"/>
        <w:spacing w:line="360" w:lineRule="auto"/>
        <w:jc w:val="left"/>
        <w:rPr>
          <w:rFonts w:ascii="宋体" w:hAnsi="宋体"/>
          <w:color w:val="auto"/>
          <w:sz w:val="24"/>
          <w:highlight w:val="none"/>
        </w:rPr>
      </w:pPr>
    </w:p>
    <w:p w14:paraId="3B46C5DA">
      <w:pPr>
        <w:snapToGrid w:val="0"/>
        <w:spacing w:line="360" w:lineRule="auto"/>
        <w:jc w:val="left"/>
        <w:rPr>
          <w:rFonts w:ascii="宋体" w:hAnsi="宋体"/>
          <w:color w:val="auto"/>
          <w:sz w:val="24"/>
          <w:highlight w:val="none"/>
        </w:rPr>
      </w:pPr>
    </w:p>
    <w:p w14:paraId="25211822">
      <w:pPr>
        <w:snapToGrid w:val="0"/>
        <w:spacing w:line="360" w:lineRule="auto"/>
        <w:jc w:val="left"/>
        <w:rPr>
          <w:rFonts w:ascii="宋体" w:hAnsi="宋体"/>
          <w:color w:val="auto"/>
          <w:sz w:val="24"/>
          <w:highlight w:val="none"/>
        </w:rPr>
      </w:pPr>
    </w:p>
    <w:p w14:paraId="01A7A553">
      <w:pPr>
        <w:snapToGrid w:val="0"/>
        <w:spacing w:line="360" w:lineRule="auto"/>
        <w:jc w:val="left"/>
        <w:rPr>
          <w:rFonts w:ascii="宋体" w:hAnsi="宋体"/>
          <w:color w:val="auto"/>
          <w:sz w:val="24"/>
          <w:highlight w:val="none"/>
        </w:rPr>
      </w:pPr>
    </w:p>
    <w:p w14:paraId="177E13E2">
      <w:pPr>
        <w:snapToGrid w:val="0"/>
        <w:spacing w:line="360" w:lineRule="auto"/>
        <w:jc w:val="left"/>
        <w:rPr>
          <w:rFonts w:ascii="宋体" w:hAnsi="宋体"/>
          <w:color w:val="auto"/>
          <w:sz w:val="24"/>
          <w:highlight w:val="none"/>
        </w:rPr>
      </w:pPr>
    </w:p>
    <w:p w14:paraId="5ACD7774">
      <w:pPr>
        <w:snapToGrid w:val="0"/>
        <w:spacing w:line="360" w:lineRule="auto"/>
        <w:ind w:firstLine="5040" w:firstLineChars="21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投标人名称（电子签章）：</w:t>
      </w:r>
    </w:p>
    <w:p w14:paraId="176C84E2">
      <w:pPr>
        <w:snapToGrid w:val="0"/>
        <w:spacing w:line="360" w:lineRule="auto"/>
        <w:ind w:firstLine="5160" w:firstLineChars="215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393284E7">
      <w:pPr>
        <w:snapToGrid w:val="0"/>
        <w:jc w:val="center"/>
        <w:rPr>
          <w:rFonts w:ascii="宋体" w:hAnsi="宋体"/>
          <w:b/>
          <w:color w:val="auto"/>
          <w:sz w:val="28"/>
          <w:szCs w:val="28"/>
          <w:highlight w:val="none"/>
        </w:rPr>
      </w:pPr>
      <w:r>
        <w:rPr>
          <w:rFonts w:hint="eastAsia" w:ascii="仿宋" w:hAnsi="仿宋" w:eastAsia="仿宋" w:cs="仿宋"/>
          <w:b/>
          <w:color w:val="auto"/>
          <w:sz w:val="28"/>
          <w:szCs w:val="28"/>
          <w:highlight w:val="none"/>
        </w:rPr>
        <w:br w:type="page"/>
      </w:r>
    </w:p>
    <w:p w14:paraId="6221719A">
      <w:pPr>
        <w:snapToGrid w:val="0"/>
        <w:spacing w:line="360" w:lineRule="auto"/>
        <w:jc w:val="center"/>
        <w:rPr>
          <w:rFonts w:ascii="宋体" w:hAnsi="宋体"/>
          <w:color w:val="auto"/>
          <w:sz w:val="32"/>
          <w:szCs w:val="32"/>
          <w:highlight w:val="none"/>
        </w:rPr>
      </w:pPr>
      <w:r>
        <w:rPr>
          <w:rFonts w:hint="eastAsia" w:ascii="宋体" w:hAnsi="宋体"/>
          <w:b/>
          <w:color w:val="auto"/>
          <w:sz w:val="32"/>
          <w:szCs w:val="32"/>
          <w:highlight w:val="none"/>
        </w:rPr>
        <w:t>五、投标人直接管理关系信息表</w:t>
      </w:r>
    </w:p>
    <w:tbl>
      <w:tblPr>
        <w:tblStyle w:val="35"/>
        <w:tblW w:w="0" w:type="auto"/>
        <w:tblInd w:w="125" w:type="dxa"/>
        <w:shd w:val="clear" w:color="auto" w:fill="FBFBFB"/>
        <w:tblLayout w:type="fixed"/>
        <w:tblCellMar>
          <w:top w:w="0" w:type="dxa"/>
          <w:left w:w="0" w:type="dxa"/>
          <w:bottom w:w="0" w:type="dxa"/>
          <w:right w:w="0" w:type="dxa"/>
        </w:tblCellMar>
      </w:tblPr>
      <w:tblGrid>
        <w:gridCol w:w="867"/>
        <w:gridCol w:w="3364"/>
        <w:gridCol w:w="3357"/>
        <w:gridCol w:w="2064"/>
      </w:tblGrid>
      <w:tr w14:paraId="5073924F">
        <w:tblPrEx>
          <w:tblCellMar>
            <w:top w:w="0" w:type="dxa"/>
            <w:left w:w="0" w:type="dxa"/>
            <w:bottom w:w="0" w:type="dxa"/>
            <w:right w:w="0" w:type="dxa"/>
          </w:tblCellMar>
        </w:tblPrEx>
        <w:trPr>
          <w:tblHeader/>
        </w:trPr>
        <w:tc>
          <w:tcPr>
            <w:tcW w:w="86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80FF910">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3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7D2A5AA">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35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72A5634">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E39F4DD">
            <w:pPr>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D0395AB">
        <w:tblPrEx>
          <w:shd w:val="clear" w:color="auto" w:fill="FBFBFB"/>
          <w:tblCellMar>
            <w:top w:w="0" w:type="dxa"/>
            <w:left w:w="0" w:type="dxa"/>
            <w:bottom w:w="0" w:type="dxa"/>
            <w:right w:w="0" w:type="dxa"/>
          </w:tblCellMar>
        </w:tblPrEx>
        <w:tc>
          <w:tcPr>
            <w:tcW w:w="86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C0BA3C">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3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B59253">
            <w:pPr>
              <w:spacing w:line="360" w:lineRule="auto"/>
              <w:jc w:val="center"/>
              <w:rPr>
                <w:rFonts w:ascii="宋体" w:hAnsi="宋体" w:cs="宋体"/>
                <w:color w:val="auto"/>
                <w:kern w:val="0"/>
                <w:sz w:val="24"/>
                <w:highlight w:val="none"/>
              </w:rPr>
            </w:pPr>
          </w:p>
        </w:tc>
        <w:tc>
          <w:tcPr>
            <w:tcW w:w="33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BB3DD0">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3F2F3B">
            <w:pPr>
              <w:spacing w:line="360" w:lineRule="auto"/>
              <w:jc w:val="center"/>
              <w:rPr>
                <w:rFonts w:ascii="宋体" w:hAnsi="宋体" w:cs="宋体"/>
                <w:color w:val="auto"/>
                <w:kern w:val="0"/>
                <w:sz w:val="24"/>
                <w:highlight w:val="none"/>
              </w:rPr>
            </w:pPr>
          </w:p>
        </w:tc>
      </w:tr>
      <w:tr w14:paraId="27A09020">
        <w:tblPrEx>
          <w:shd w:val="clear" w:color="auto" w:fill="FBFBFB"/>
          <w:tblCellMar>
            <w:top w:w="0" w:type="dxa"/>
            <w:left w:w="0" w:type="dxa"/>
            <w:bottom w:w="0" w:type="dxa"/>
            <w:right w:w="0" w:type="dxa"/>
          </w:tblCellMar>
        </w:tblPrEx>
        <w:tc>
          <w:tcPr>
            <w:tcW w:w="86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91938C">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3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D624D8">
            <w:pPr>
              <w:spacing w:line="360" w:lineRule="auto"/>
              <w:jc w:val="center"/>
              <w:rPr>
                <w:rFonts w:ascii="宋体" w:hAnsi="宋体" w:cs="宋体"/>
                <w:color w:val="auto"/>
                <w:kern w:val="0"/>
                <w:sz w:val="24"/>
                <w:highlight w:val="none"/>
              </w:rPr>
            </w:pPr>
          </w:p>
        </w:tc>
        <w:tc>
          <w:tcPr>
            <w:tcW w:w="33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505B24">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C56AD6">
            <w:pPr>
              <w:spacing w:line="360" w:lineRule="auto"/>
              <w:jc w:val="center"/>
              <w:rPr>
                <w:rFonts w:ascii="宋体" w:hAnsi="宋体" w:cs="宋体"/>
                <w:color w:val="auto"/>
                <w:kern w:val="0"/>
                <w:sz w:val="24"/>
                <w:highlight w:val="none"/>
              </w:rPr>
            </w:pPr>
          </w:p>
        </w:tc>
      </w:tr>
      <w:tr w14:paraId="0DC74FD2">
        <w:tblPrEx>
          <w:tblCellMar>
            <w:top w:w="0" w:type="dxa"/>
            <w:left w:w="0" w:type="dxa"/>
            <w:bottom w:w="0" w:type="dxa"/>
            <w:right w:w="0" w:type="dxa"/>
          </w:tblCellMar>
        </w:tblPrEx>
        <w:tc>
          <w:tcPr>
            <w:tcW w:w="86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C5E32E">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3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A94776">
            <w:pPr>
              <w:spacing w:line="360" w:lineRule="auto"/>
              <w:jc w:val="center"/>
              <w:rPr>
                <w:rFonts w:ascii="宋体" w:hAnsi="宋体" w:cs="宋体"/>
                <w:color w:val="auto"/>
                <w:kern w:val="0"/>
                <w:sz w:val="24"/>
                <w:highlight w:val="none"/>
              </w:rPr>
            </w:pPr>
          </w:p>
        </w:tc>
        <w:tc>
          <w:tcPr>
            <w:tcW w:w="33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2734FD">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288D72">
            <w:pPr>
              <w:spacing w:line="360" w:lineRule="auto"/>
              <w:jc w:val="center"/>
              <w:rPr>
                <w:rFonts w:ascii="宋体" w:hAnsi="宋体" w:cs="宋体"/>
                <w:color w:val="auto"/>
                <w:kern w:val="0"/>
                <w:sz w:val="24"/>
                <w:highlight w:val="none"/>
              </w:rPr>
            </w:pPr>
          </w:p>
        </w:tc>
      </w:tr>
      <w:tr w14:paraId="1707AB06">
        <w:tblPrEx>
          <w:shd w:val="clear" w:color="auto" w:fill="FBFBFB"/>
          <w:tblCellMar>
            <w:top w:w="0" w:type="dxa"/>
            <w:left w:w="0" w:type="dxa"/>
            <w:bottom w:w="0" w:type="dxa"/>
            <w:right w:w="0" w:type="dxa"/>
          </w:tblCellMar>
        </w:tblPrEx>
        <w:tc>
          <w:tcPr>
            <w:tcW w:w="86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4DD314">
            <w:pPr>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3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A76B0C">
            <w:pPr>
              <w:spacing w:line="360" w:lineRule="auto"/>
              <w:jc w:val="center"/>
              <w:rPr>
                <w:rFonts w:ascii="宋体" w:hAnsi="宋体" w:cs="宋体"/>
                <w:color w:val="auto"/>
                <w:kern w:val="0"/>
                <w:sz w:val="24"/>
                <w:highlight w:val="none"/>
              </w:rPr>
            </w:pPr>
          </w:p>
        </w:tc>
        <w:tc>
          <w:tcPr>
            <w:tcW w:w="335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C2A1D3">
            <w:pPr>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C6D5DE">
            <w:pPr>
              <w:spacing w:line="360" w:lineRule="auto"/>
              <w:jc w:val="center"/>
              <w:rPr>
                <w:rFonts w:ascii="宋体" w:hAnsi="宋体" w:cs="宋体"/>
                <w:color w:val="auto"/>
                <w:kern w:val="0"/>
                <w:sz w:val="24"/>
                <w:highlight w:val="none"/>
              </w:rPr>
            </w:pPr>
          </w:p>
        </w:tc>
      </w:tr>
    </w:tbl>
    <w:p w14:paraId="1C38C4F2">
      <w:pPr>
        <w:snapToGrid w:val="0"/>
        <w:spacing w:line="360" w:lineRule="auto"/>
        <w:jc w:val="left"/>
        <w:rPr>
          <w:rFonts w:ascii="宋体" w:hAnsi="宋体"/>
          <w:color w:val="auto"/>
          <w:sz w:val="24"/>
          <w:highlight w:val="none"/>
        </w:rPr>
      </w:pPr>
      <w:r>
        <w:rPr>
          <w:rFonts w:hint="eastAsia" w:ascii="宋体" w:hAnsi="宋体"/>
          <w:color w:val="auto"/>
          <w:sz w:val="24"/>
          <w:highlight w:val="none"/>
        </w:rPr>
        <w:t>注：</w:t>
      </w:r>
    </w:p>
    <w:p w14:paraId="48E8417E">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112566DA">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62E77822">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3.供应商不存在直接管理关系的，则填“无”。</w:t>
      </w:r>
    </w:p>
    <w:p w14:paraId="64F8A05E">
      <w:pPr>
        <w:snapToGrid w:val="0"/>
        <w:spacing w:line="360" w:lineRule="auto"/>
        <w:jc w:val="left"/>
        <w:rPr>
          <w:rFonts w:ascii="宋体" w:hAnsi="宋体"/>
          <w:color w:val="auto"/>
          <w:sz w:val="24"/>
          <w:highlight w:val="none"/>
        </w:rPr>
      </w:pPr>
    </w:p>
    <w:p w14:paraId="312D2532">
      <w:pPr>
        <w:snapToGrid w:val="0"/>
        <w:spacing w:line="360" w:lineRule="auto"/>
        <w:jc w:val="left"/>
        <w:rPr>
          <w:rFonts w:ascii="宋体" w:hAnsi="宋体"/>
          <w:color w:val="auto"/>
          <w:sz w:val="24"/>
          <w:highlight w:val="none"/>
        </w:rPr>
      </w:pPr>
    </w:p>
    <w:p w14:paraId="2BF8A9FC">
      <w:pPr>
        <w:snapToGrid w:val="0"/>
        <w:spacing w:line="360" w:lineRule="auto"/>
        <w:jc w:val="left"/>
        <w:rPr>
          <w:rFonts w:ascii="宋体" w:hAnsi="宋体"/>
          <w:color w:val="auto"/>
          <w:sz w:val="24"/>
          <w:highlight w:val="none"/>
        </w:rPr>
      </w:pPr>
    </w:p>
    <w:p w14:paraId="7D9DF293">
      <w:pPr>
        <w:snapToGrid w:val="0"/>
        <w:spacing w:line="360" w:lineRule="auto"/>
        <w:jc w:val="left"/>
        <w:rPr>
          <w:color w:val="auto"/>
          <w:sz w:val="24"/>
          <w:highlight w:val="none"/>
        </w:rPr>
      </w:pPr>
    </w:p>
    <w:p w14:paraId="2F6FDCED">
      <w:pPr>
        <w:snapToGrid w:val="0"/>
        <w:spacing w:line="360" w:lineRule="auto"/>
        <w:jc w:val="left"/>
        <w:rPr>
          <w:color w:val="auto"/>
          <w:sz w:val="24"/>
          <w:highlight w:val="none"/>
        </w:rPr>
      </w:pPr>
    </w:p>
    <w:p w14:paraId="717B3CBF">
      <w:pPr>
        <w:snapToGrid w:val="0"/>
        <w:spacing w:line="360" w:lineRule="auto"/>
        <w:jc w:val="left"/>
        <w:rPr>
          <w:color w:val="auto"/>
          <w:sz w:val="24"/>
          <w:highlight w:val="none"/>
        </w:rPr>
      </w:pPr>
    </w:p>
    <w:p w14:paraId="1FD6649F">
      <w:pPr>
        <w:snapToGrid w:val="0"/>
        <w:spacing w:line="360" w:lineRule="auto"/>
        <w:jc w:val="left"/>
        <w:rPr>
          <w:rFonts w:ascii="宋体" w:hAnsi="宋体"/>
          <w:color w:val="auto"/>
          <w:sz w:val="24"/>
          <w:highlight w:val="none"/>
        </w:rPr>
      </w:pPr>
    </w:p>
    <w:p w14:paraId="7EDEFDB3">
      <w:pPr>
        <w:snapToGrid w:val="0"/>
        <w:spacing w:line="360" w:lineRule="auto"/>
        <w:jc w:val="left"/>
        <w:rPr>
          <w:rFonts w:ascii="仿宋" w:hAnsi="仿宋" w:eastAsia="仿宋" w:cs="仿宋"/>
          <w:color w:val="auto"/>
          <w:sz w:val="24"/>
          <w:highlight w:val="none"/>
        </w:rPr>
      </w:pPr>
    </w:p>
    <w:p w14:paraId="4BB7C957">
      <w:pPr>
        <w:snapToGrid w:val="0"/>
        <w:spacing w:line="360" w:lineRule="auto"/>
        <w:ind w:firstLine="5040" w:firstLineChars="21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投标人名称（电子签章）：</w:t>
      </w:r>
    </w:p>
    <w:p w14:paraId="64B3FE9F">
      <w:pPr>
        <w:snapToGrid w:val="0"/>
        <w:spacing w:line="360" w:lineRule="auto"/>
        <w:ind w:firstLine="5160" w:firstLineChars="215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683C08CE">
      <w:pPr>
        <w:snapToGrid w:val="0"/>
        <w:spacing w:before="50" w:after="165" w:afterLines="50"/>
        <w:jc w:val="left"/>
        <w:rPr>
          <w:rFonts w:ascii="仿宋" w:hAnsi="仿宋" w:eastAsia="仿宋" w:cs="仿宋"/>
          <w:color w:val="auto"/>
          <w:szCs w:val="21"/>
          <w:highlight w:val="none"/>
        </w:rPr>
      </w:pPr>
    </w:p>
    <w:p w14:paraId="622AA804">
      <w:pPr>
        <w:snapToGrid w:val="0"/>
        <w:spacing w:before="165" w:beforeLines="50" w:after="50"/>
        <w:jc w:val="left"/>
        <w:rPr>
          <w:rFonts w:ascii="宋体" w:hAnsi="宋体"/>
          <w:b/>
          <w:color w:val="auto"/>
          <w:sz w:val="24"/>
          <w:szCs w:val="20"/>
          <w:highlight w:val="none"/>
        </w:rPr>
      </w:pPr>
    </w:p>
    <w:p w14:paraId="197C91D9">
      <w:pPr>
        <w:snapToGrid w:val="0"/>
        <w:spacing w:before="165" w:beforeLines="50" w:after="50"/>
        <w:jc w:val="left"/>
        <w:rPr>
          <w:rFonts w:ascii="宋体" w:hAnsi="宋体"/>
          <w:b/>
          <w:color w:val="auto"/>
          <w:sz w:val="24"/>
          <w:highlight w:val="none"/>
        </w:rPr>
      </w:pPr>
    </w:p>
    <w:p w14:paraId="5AF3F6FD">
      <w:pPr>
        <w:snapToGrid w:val="0"/>
        <w:spacing w:before="165" w:beforeLines="50" w:after="50"/>
        <w:jc w:val="left"/>
        <w:rPr>
          <w:rFonts w:ascii="宋体" w:hAnsi="宋体"/>
          <w:b/>
          <w:color w:val="auto"/>
          <w:sz w:val="24"/>
          <w:szCs w:val="20"/>
          <w:highlight w:val="none"/>
        </w:rPr>
      </w:pPr>
      <w:r>
        <w:rPr>
          <w:rFonts w:hint="eastAsia" w:ascii="宋体" w:hAnsi="宋体"/>
          <w:b/>
          <w:color w:val="auto"/>
          <w:sz w:val="24"/>
          <w:szCs w:val="20"/>
          <w:highlight w:val="none"/>
        </w:rPr>
        <w:t xml:space="preserve"> </w:t>
      </w:r>
    </w:p>
    <w:p w14:paraId="5C573AD9">
      <w:pPr>
        <w:snapToGrid w:val="0"/>
        <w:spacing w:before="165" w:beforeLines="50" w:after="50"/>
        <w:jc w:val="left"/>
        <w:rPr>
          <w:rFonts w:ascii="宋体" w:hAnsi="宋体"/>
          <w:b/>
          <w:color w:val="auto"/>
          <w:sz w:val="24"/>
          <w:szCs w:val="20"/>
          <w:highlight w:val="none"/>
        </w:rPr>
      </w:pPr>
    </w:p>
    <w:p w14:paraId="1979891A">
      <w:pPr>
        <w:snapToGrid w:val="0"/>
        <w:spacing w:before="50" w:after="165" w:afterLines="50"/>
        <w:jc w:val="left"/>
        <w:rPr>
          <w:rFonts w:ascii="宋体" w:hAnsi="宋体"/>
          <w:color w:val="auto"/>
          <w:highlight w:val="none"/>
        </w:rPr>
      </w:pPr>
    </w:p>
    <w:p w14:paraId="668D5DFE">
      <w:pPr>
        <w:rPr>
          <w:rFonts w:ascii="宋体" w:hAnsi="宋体"/>
          <w:b/>
          <w:color w:val="auto"/>
          <w:sz w:val="32"/>
          <w:szCs w:val="32"/>
          <w:highlight w:val="none"/>
        </w:rPr>
      </w:pPr>
      <w:r>
        <w:rPr>
          <w:rFonts w:hint="eastAsia" w:ascii="宋体" w:hAnsi="宋体"/>
          <w:b/>
          <w:color w:val="auto"/>
          <w:sz w:val="32"/>
          <w:szCs w:val="32"/>
          <w:highlight w:val="none"/>
        </w:rPr>
        <w:br w:type="page"/>
      </w:r>
    </w:p>
    <w:p w14:paraId="585BD847">
      <w:pPr>
        <w:snapToGrid w:val="0"/>
        <w:spacing w:before="50" w:after="165" w:afterLines="50"/>
        <w:jc w:val="center"/>
        <w:rPr>
          <w:rFonts w:ascii="宋体" w:hAnsi="宋体"/>
          <w:b/>
          <w:color w:val="auto"/>
          <w:sz w:val="32"/>
          <w:szCs w:val="32"/>
          <w:highlight w:val="none"/>
        </w:rPr>
      </w:pPr>
      <w:r>
        <w:rPr>
          <w:rFonts w:hint="eastAsia" w:ascii="宋体" w:hAnsi="宋体"/>
          <w:b/>
          <w:color w:val="auto"/>
          <w:sz w:val="32"/>
          <w:szCs w:val="32"/>
          <w:highlight w:val="none"/>
        </w:rPr>
        <w:t>六、投标资格声明函</w:t>
      </w:r>
    </w:p>
    <w:p w14:paraId="5684F10F">
      <w:pPr>
        <w:tabs>
          <w:tab w:val="left" w:pos="7200"/>
        </w:tabs>
        <w:spacing w:line="36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rPr>
        <w:t>广西机电设备招标有限公司</w:t>
      </w:r>
    </w:p>
    <w:p w14:paraId="4520C16A">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我方愿意参加贵方组织的</w:t>
      </w:r>
      <w:r>
        <w:rPr>
          <w:rFonts w:hint="eastAsia" w:ascii="宋体" w:hAnsi="宋体"/>
          <w:color w:val="auto"/>
          <w:szCs w:val="21"/>
          <w:highlight w:val="none"/>
          <w:u w:val="single"/>
        </w:rPr>
        <w:t xml:space="preserve">宾阳县县域公共就业服务能力提升项目 </w:t>
      </w:r>
      <w:r>
        <w:rPr>
          <w:rFonts w:hint="eastAsia" w:ascii="宋体" w:hAnsi="宋体"/>
          <w:color w:val="auto"/>
          <w:szCs w:val="21"/>
          <w:highlight w:val="none"/>
        </w:rPr>
        <w:t>（项目编号：</w:t>
      </w:r>
      <w:r>
        <w:rPr>
          <w:color w:val="auto"/>
          <w:highlight w:val="none"/>
        </w:rPr>
        <w:fldChar w:fldCharType="begin"/>
      </w:r>
      <w:r>
        <w:rPr>
          <w:color w:val="auto"/>
          <w:highlight w:val="none"/>
        </w:rPr>
        <w:instrText xml:space="preserve"> HYPERLINK "https://www.gcy.zfcg.gxzf.gov.cn/gaea/api/project/flow/redirect?projectId=7228427269057806418&amp;newUrl=https://www.gcy.zfcg.gxzf.gov.cn/micro-app-back-index/blank?_flow_type_=agency&amp;_flow_projectId_=7228427269057806418&amp;_jump_page_type_=project_procurement_management_flow&amp;_app_=zcy.procurement&amp;oldUrl=https://www.gcy.zfcg.gxzf.gov.cn/project-center/_procurement_/project-result-detail/7228427269057806418&amp;utm=web-project-center-front.42c12ca3.0.0.90a2dec0b62a11f084b5c3fd09c47019" \t "https://www.gcy.zfcg.gxzf.gov.cn/project-center/_procurement_/self-project/_blank" </w:instrText>
      </w:r>
      <w:r>
        <w:rPr>
          <w:color w:val="auto"/>
          <w:highlight w:val="none"/>
        </w:rPr>
        <w:fldChar w:fldCharType="separate"/>
      </w:r>
      <w:r>
        <w:rPr>
          <w:rFonts w:hint="eastAsia" w:ascii="宋体" w:hAnsi="宋体"/>
          <w:color w:val="auto"/>
          <w:szCs w:val="21"/>
          <w:highlight w:val="none"/>
          <w:u w:val="single"/>
        </w:rPr>
        <w:t>NNZC2026-G3-260135-JDZB</w:t>
      </w:r>
      <w:r>
        <w:rPr>
          <w:rFonts w:hint="eastAsia" w:ascii="宋体" w:hAnsi="宋体"/>
          <w:color w:val="auto"/>
          <w:szCs w:val="21"/>
          <w:highlight w:val="none"/>
          <w:u w:val="single"/>
        </w:rPr>
        <w:fldChar w:fldCharType="end"/>
      </w:r>
      <w:r>
        <w:rPr>
          <w:rFonts w:hint="eastAsia" w:ascii="宋体" w:hAnsi="宋体"/>
          <w:color w:val="auto"/>
          <w:szCs w:val="21"/>
          <w:highlight w:val="none"/>
        </w:rPr>
        <w:t>）项目的投标，为便于贵方公正、择优地确定中标人，我方就本次投标有关事项郑重声明如下：</w:t>
      </w:r>
    </w:p>
    <w:p w14:paraId="14A8C7BE">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2A037B66">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2A1B472">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3.经查询，在“信用中国”和“中国政府采购网”网站我方未被列入失信被执行人、重大税收违法失信主体、政府采购严重违法失信行为记录名单。</w:t>
      </w:r>
    </w:p>
    <w:p w14:paraId="709462B0">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4.以上事项如有虚假或隐瞒，我方愿意承担一切后果，并不再寻求任何旨在减轻或免除法律责任的辩解。 </w:t>
      </w:r>
    </w:p>
    <w:p w14:paraId="079ADBA6">
      <w:pPr>
        <w:tabs>
          <w:tab w:val="left" w:pos="7200"/>
        </w:tabs>
        <w:ind w:firstLine="270" w:firstLineChars="150"/>
        <w:rPr>
          <w:rFonts w:ascii="宋体" w:hAnsi="宋体"/>
          <w:color w:val="auto"/>
          <w:sz w:val="18"/>
          <w:szCs w:val="18"/>
          <w:highlight w:val="none"/>
        </w:rPr>
      </w:pPr>
      <w:r>
        <w:rPr>
          <w:rFonts w:hint="eastAsia" w:ascii="宋体" w:hAnsi="宋体"/>
          <w:color w:val="auto"/>
          <w:sz w:val="18"/>
          <w:szCs w:val="18"/>
          <w:highlight w:val="none"/>
        </w:rPr>
        <w:t>说明：</w:t>
      </w:r>
    </w:p>
    <w:p w14:paraId="5AE91D62">
      <w:pPr>
        <w:ind w:firstLine="360" w:firstLineChars="200"/>
        <w:jc w:val="left"/>
        <w:rPr>
          <w:rFonts w:ascii="宋体" w:hAnsi="宋体"/>
          <w:color w:val="auto"/>
          <w:sz w:val="18"/>
          <w:szCs w:val="18"/>
          <w:highlight w:val="none"/>
        </w:rPr>
      </w:pPr>
      <w:r>
        <w:rPr>
          <w:rFonts w:hint="eastAsia" w:ascii="宋体" w:hAnsi="宋体"/>
          <w:color w:val="auto"/>
          <w:sz w:val="18"/>
          <w:szCs w:val="18"/>
          <w:highlight w:val="none"/>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3C192DA4">
      <w:pPr>
        <w:ind w:firstLine="360" w:firstLineChars="200"/>
        <w:jc w:val="left"/>
        <w:rPr>
          <w:rFonts w:ascii="宋体" w:hAnsi="宋体"/>
          <w:color w:val="auto"/>
          <w:sz w:val="18"/>
          <w:szCs w:val="18"/>
          <w:highlight w:val="none"/>
        </w:rPr>
      </w:pPr>
      <w:r>
        <w:rPr>
          <w:rFonts w:hint="eastAsia" w:ascii="宋体" w:hAnsi="宋体"/>
          <w:color w:val="auto"/>
          <w:sz w:val="18"/>
          <w:szCs w:val="18"/>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CF8BBC7">
      <w:pPr>
        <w:snapToGrid w:val="0"/>
        <w:spacing w:before="50" w:after="165" w:afterLines="50"/>
        <w:jc w:val="left"/>
        <w:rPr>
          <w:rFonts w:ascii="宋体" w:hAnsi="宋体"/>
          <w:color w:val="auto"/>
          <w:sz w:val="18"/>
          <w:szCs w:val="18"/>
          <w:highlight w:val="none"/>
        </w:rPr>
      </w:pPr>
      <w:r>
        <w:rPr>
          <w:rFonts w:hint="eastAsia" w:ascii="宋体" w:hAnsi="宋体"/>
          <w:color w:val="auto"/>
          <w:sz w:val="18"/>
          <w:szCs w:val="18"/>
          <w:highlight w:val="none"/>
        </w:rPr>
        <w:t xml:space="preserve"> </w:t>
      </w:r>
      <w:r>
        <w:rPr>
          <w:rFonts w:hint="eastAsia" w:ascii="宋体" w:hAnsi="宋体"/>
          <w:b/>
          <w:color w:val="auto"/>
          <w:sz w:val="18"/>
          <w:szCs w:val="18"/>
          <w:highlight w:val="none"/>
        </w:rPr>
        <w:t xml:space="preserve">  3.如为联合体投标，盖章处须加盖联合体各方公章并由联合体各方法定代表人分别签署，否则投标无效。</w:t>
      </w:r>
    </w:p>
    <w:p w14:paraId="5D489AE8">
      <w:pPr>
        <w:snapToGrid w:val="0"/>
        <w:spacing w:before="50" w:after="331" w:afterLines="100" w:line="360" w:lineRule="auto"/>
        <w:jc w:val="left"/>
        <w:rPr>
          <w:rFonts w:ascii="宋体" w:hAnsi="宋体"/>
          <w:color w:val="auto"/>
          <w:sz w:val="24"/>
          <w:highlight w:val="none"/>
        </w:rPr>
      </w:pPr>
      <w:r>
        <w:rPr>
          <w:rFonts w:hint="eastAsia" w:ascii="宋体" w:hAnsi="宋体"/>
          <w:color w:val="auto"/>
          <w:sz w:val="24"/>
          <w:highlight w:val="none"/>
        </w:rPr>
        <w:t xml:space="preserve">                                     </w:t>
      </w:r>
    </w:p>
    <w:p w14:paraId="456B9969">
      <w:pPr>
        <w:snapToGrid w:val="0"/>
        <w:spacing w:before="50" w:after="331" w:afterLines="100" w:line="360" w:lineRule="auto"/>
        <w:ind w:left="7428" w:leftChars="2223" w:hanging="2760" w:hangingChars="1150"/>
        <w:jc w:val="left"/>
        <w:rPr>
          <w:rFonts w:ascii="仿宋" w:hAnsi="仿宋" w:eastAsia="仿宋" w:cs="仿宋"/>
          <w:color w:val="auto"/>
          <w:kern w:val="0"/>
          <w:sz w:val="24"/>
          <w:highlight w:val="none"/>
          <w:lang w:val="zh-CN"/>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投标人名称（电子签章）：</w:t>
      </w:r>
      <w:r>
        <w:rPr>
          <w:rFonts w:hint="eastAsia" w:ascii="仿宋" w:hAnsi="仿宋" w:eastAsia="仿宋" w:cs="仿宋"/>
          <w:color w:val="auto"/>
          <w:szCs w:val="21"/>
          <w:highlight w:val="none"/>
        </w:rPr>
        <w:t xml:space="preserve">                                     年    月    日</w:t>
      </w:r>
    </w:p>
    <w:p w14:paraId="4BE936E6">
      <w:pPr>
        <w:pStyle w:val="14"/>
        <w:spacing w:line="600" w:lineRule="exact"/>
        <w:jc w:val="center"/>
        <w:rPr>
          <w:rFonts w:ascii="仿宋" w:hAnsi="仿宋" w:eastAsia="仿宋" w:cs="仿宋"/>
          <w:b/>
          <w:bCs/>
          <w:color w:val="auto"/>
          <w:sz w:val="30"/>
          <w:szCs w:val="30"/>
          <w:highlight w:val="none"/>
        </w:rPr>
      </w:pPr>
    </w:p>
    <w:p w14:paraId="4CEBE2A8">
      <w:pPr>
        <w:widowControl/>
        <w:jc w:val="left"/>
        <w:rPr>
          <w:b/>
          <w:bCs/>
          <w:color w:val="auto"/>
          <w:sz w:val="30"/>
          <w:szCs w:val="30"/>
          <w:highlight w:val="none"/>
        </w:rPr>
        <w:sectPr>
          <w:pgSz w:w="11906" w:h="16838"/>
          <w:pgMar w:top="1134" w:right="1134" w:bottom="1134" w:left="1134" w:header="720" w:footer="720" w:gutter="0"/>
          <w:cols w:space="720" w:num="1"/>
          <w:docGrid w:type="lines" w:linePitch="331" w:charSpace="0"/>
        </w:sectPr>
      </w:pPr>
    </w:p>
    <w:p w14:paraId="10631D5A">
      <w:pPr>
        <w:pStyle w:val="14"/>
        <w:spacing w:line="600" w:lineRule="exact"/>
        <w:jc w:val="center"/>
        <w:rPr>
          <w:rFonts w:ascii="Times New Roman" w:hAnsi="Times New Roman"/>
          <w:b/>
          <w:bCs/>
          <w:color w:val="auto"/>
          <w:sz w:val="30"/>
          <w:szCs w:val="30"/>
          <w:highlight w:val="none"/>
        </w:rPr>
      </w:pPr>
      <w:r>
        <w:rPr>
          <w:rFonts w:hint="eastAsia" w:ascii="Times New Roman" w:hAnsi="Times New Roman"/>
          <w:b/>
          <w:bCs/>
          <w:color w:val="auto"/>
          <w:sz w:val="30"/>
          <w:szCs w:val="30"/>
          <w:highlight w:val="none"/>
        </w:rPr>
        <w:t>七、符合特定资格条件的有关证明材料（投标人必须具有有效的《人力资源服务许可证》）</w:t>
      </w:r>
    </w:p>
    <w:p w14:paraId="4569C2C3">
      <w:pPr>
        <w:pStyle w:val="14"/>
        <w:spacing w:line="600" w:lineRule="exact"/>
        <w:jc w:val="center"/>
        <w:rPr>
          <w:rFonts w:ascii="Times New Roman" w:hAnsi="Times New Roman"/>
          <w:b/>
          <w:bCs/>
          <w:color w:val="auto"/>
          <w:sz w:val="30"/>
          <w:szCs w:val="30"/>
          <w:highlight w:val="none"/>
        </w:rPr>
      </w:pPr>
    </w:p>
    <w:p w14:paraId="05618E1B">
      <w:pPr>
        <w:pStyle w:val="14"/>
        <w:spacing w:line="600" w:lineRule="exact"/>
        <w:jc w:val="center"/>
        <w:rPr>
          <w:rFonts w:ascii="仿宋" w:hAnsi="仿宋" w:eastAsia="仿宋" w:cs="仿宋"/>
          <w:b/>
          <w:bCs/>
          <w:color w:val="auto"/>
          <w:sz w:val="30"/>
          <w:szCs w:val="30"/>
          <w:highlight w:val="none"/>
        </w:rPr>
      </w:pPr>
    </w:p>
    <w:p w14:paraId="0A955E6E">
      <w:pPr>
        <w:snapToGrid w:val="0"/>
        <w:spacing w:line="360" w:lineRule="auto"/>
        <w:ind w:firstLine="5040" w:firstLineChars="21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投标人名称（电子签章）：</w:t>
      </w:r>
    </w:p>
    <w:p w14:paraId="1F54536A">
      <w:pPr>
        <w:snapToGrid w:val="0"/>
        <w:spacing w:line="360" w:lineRule="auto"/>
        <w:ind w:firstLine="5160" w:firstLineChars="215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0110DEDB">
      <w:pPr>
        <w:widowControl/>
        <w:spacing w:line="360" w:lineRule="auto"/>
        <w:jc w:val="left"/>
        <w:rPr>
          <w:rFonts w:ascii="仿宋" w:hAnsi="仿宋" w:eastAsia="仿宋" w:cs="仿宋"/>
          <w:color w:val="auto"/>
          <w:szCs w:val="21"/>
          <w:highlight w:val="none"/>
        </w:rPr>
        <w:sectPr>
          <w:pgSz w:w="11906" w:h="16838"/>
          <w:pgMar w:top="1134" w:right="1134" w:bottom="1134" w:left="1134" w:header="720" w:footer="720" w:gutter="0"/>
          <w:cols w:space="720" w:num="1"/>
          <w:docGrid w:type="lines" w:linePitch="331" w:charSpace="0"/>
        </w:sectPr>
      </w:pPr>
    </w:p>
    <w:p w14:paraId="7F4226C3">
      <w:pPr>
        <w:pStyle w:val="14"/>
        <w:rPr>
          <w:rFonts w:hAnsi="宋体"/>
          <w:color w:val="auto"/>
          <w:szCs w:val="21"/>
          <w:highlight w:val="none"/>
        </w:rPr>
      </w:pPr>
    </w:p>
    <w:p w14:paraId="27D5F151">
      <w:pPr>
        <w:pStyle w:val="14"/>
        <w:jc w:val="center"/>
        <w:outlineLvl w:val="1"/>
        <w:rPr>
          <w:rFonts w:hAnsi="宋体"/>
          <w:b/>
          <w:bCs/>
          <w:color w:val="auto"/>
          <w:sz w:val="28"/>
          <w:szCs w:val="28"/>
          <w:highlight w:val="none"/>
        </w:rPr>
      </w:pPr>
      <w:bookmarkStart w:id="32" w:name="_Toc29468"/>
      <w:r>
        <w:rPr>
          <w:rFonts w:hint="eastAsia" w:hAnsi="宋体"/>
          <w:b/>
          <w:bCs/>
          <w:color w:val="auto"/>
          <w:sz w:val="28"/>
          <w:szCs w:val="28"/>
          <w:highlight w:val="none"/>
        </w:rPr>
        <w:t>第三节 商务文件格式</w:t>
      </w:r>
      <w:bookmarkEnd w:id="32"/>
    </w:p>
    <w:p w14:paraId="559773C9">
      <w:pPr>
        <w:snapToGrid w:val="0"/>
        <w:spacing w:before="165" w:beforeLines="50" w:after="50"/>
        <w:rPr>
          <w:rFonts w:ascii="宋体" w:hAnsi="宋体"/>
          <w:color w:val="auto"/>
          <w:sz w:val="30"/>
          <w:szCs w:val="20"/>
          <w:highlight w:val="none"/>
        </w:rPr>
      </w:pPr>
    </w:p>
    <w:p w14:paraId="2E41CB2D">
      <w:pPr>
        <w:snapToGrid w:val="0"/>
        <w:spacing w:before="165" w:beforeLines="50" w:after="50"/>
        <w:rPr>
          <w:rFonts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 xml:space="preserve">             电子投标文件</w:t>
      </w:r>
    </w:p>
    <w:p w14:paraId="2D1C3911">
      <w:pPr>
        <w:snapToGrid w:val="0"/>
        <w:spacing w:before="165" w:beforeLines="50" w:after="50"/>
        <w:rPr>
          <w:rFonts w:ascii="宋体" w:hAnsi="宋体"/>
          <w:color w:val="auto"/>
          <w:sz w:val="24"/>
          <w:szCs w:val="20"/>
          <w:highlight w:val="none"/>
        </w:rPr>
      </w:pPr>
    </w:p>
    <w:p w14:paraId="2EC6121A">
      <w:pPr>
        <w:snapToGrid w:val="0"/>
        <w:spacing w:before="165" w:beforeLines="50" w:after="50"/>
        <w:jc w:val="center"/>
        <w:rPr>
          <w:rFonts w:ascii="宋体" w:hAnsi="宋体"/>
          <w:b/>
          <w:color w:val="auto"/>
          <w:sz w:val="24"/>
          <w:szCs w:val="20"/>
          <w:highlight w:val="none"/>
        </w:rPr>
      </w:pPr>
      <w:r>
        <w:rPr>
          <w:rFonts w:hint="eastAsia" w:ascii="宋体" w:hAnsi="宋体"/>
          <w:b/>
          <w:color w:val="auto"/>
          <w:sz w:val="32"/>
          <w:szCs w:val="32"/>
          <w:highlight w:val="none"/>
        </w:rPr>
        <w:t>商务文件（封面）</w:t>
      </w:r>
    </w:p>
    <w:p w14:paraId="7FB12983">
      <w:pPr>
        <w:snapToGrid w:val="0"/>
        <w:spacing w:before="165" w:beforeLines="50" w:after="50"/>
        <w:rPr>
          <w:rFonts w:ascii="宋体" w:hAnsi="宋体"/>
          <w:bCs/>
          <w:color w:val="auto"/>
          <w:sz w:val="24"/>
          <w:szCs w:val="20"/>
          <w:highlight w:val="none"/>
        </w:rPr>
      </w:pPr>
    </w:p>
    <w:p w14:paraId="4A927E06">
      <w:pPr>
        <w:snapToGrid w:val="0"/>
        <w:spacing w:before="165"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项目名称：宾阳县县域公共就业服务能力提升项目</w:t>
      </w:r>
    </w:p>
    <w:p w14:paraId="70F99AB2">
      <w:pPr>
        <w:snapToGrid w:val="0"/>
        <w:spacing w:before="165" w:beforeLines="50" w:after="50"/>
        <w:ind w:firstLine="540" w:firstLineChars="225"/>
        <w:rPr>
          <w:rFonts w:ascii="宋体" w:hAnsi="宋体"/>
          <w:bCs/>
          <w:color w:val="auto"/>
          <w:sz w:val="24"/>
          <w:szCs w:val="20"/>
          <w:highlight w:val="none"/>
        </w:rPr>
      </w:pPr>
    </w:p>
    <w:p w14:paraId="32B09BCC">
      <w:pPr>
        <w:snapToGrid w:val="0"/>
        <w:spacing w:before="165" w:beforeLines="50" w:after="50"/>
        <w:ind w:firstLine="540" w:firstLineChars="225"/>
        <w:rPr>
          <w:rFonts w:ascii="宋体" w:hAnsi="宋体"/>
          <w:bCs/>
          <w:color w:val="auto"/>
          <w:sz w:val="24"/>
          <w:highlight w:val="none"/>
        </w:rPr>
      </w:pPr>
      <w:r>
        <w:rPr>
          <w:rFonts w:hint="eastAsia" w:ascii="宋体" w:hAnsi="宋体"/>
          <w:bCs/>
          <w:color w:val="auto"/>
          <w:sz w:val="24"/>
          <w:highlight w:val="none"/>
        </w:rPr>
        <w:t>项目编号：</w:t>
      </w:r>
      <w:r>
        <w:rPr>
          <w:color w:val="auto"/>
          <w:highlight w:val="none"/>
        </w:rPr>
        <w:fldChar w:fldCharType="begin"/>
      </w:r>
      <w:r>
        <w:rPr>
          <w:color w:val="auto"/>
          <w:highlight w:val="none"/>
        </w:rPr>
        <w:instrText xml:space="preserve"> HYPERLINK "https://www.gcy.zfcg.gxzf.gov.cn/gaea/api/project/flow/redirect?projectId=7228427269057806418&amp;newUrl=https://www.gcy.zfcg.gxzf.gov.cn/micro-app-back-index/blank?_flow_type_=agency&amp;_flow_projectId_=7228427269057806418&amp;_jump_page_type_=project_procurement_management_flow&amp;_app_=zcy.procurement&amp;oldUrl=https://www.gcy.zfcg.gxzf.gov.cn/project-center/_procurement_/project-result-detail/7228427269057806418&amp;utm=web-project-center-front.42c12ca3.0.0.90a2dec0b62a11f084b5c3fd09c47019" \t "https://www.gcy.zfcg.gxzf.gov.cn/project-center/_procurement_/self-project/_blank" </w:instrText>
      </w:r>
      <w:r>
        <w:rPr>
          <w:color w:val="auto"/>
          <w:highlight w:val="none"/>
        </w:rPr>
        <w:fldChar w:fldCharType="separate"/>
      </w:r>
      <w:r>
        <w:rPr>
          <w:rFonts w:hint="eastAsia" w:ascii="宋体" w:hAnsi="宋体"/>
          <w:bCs/>
          <w:color w:val="auto"/>
          <w:sz w:val="24"/>
          <w:highlight w:val="none"/>
        </w:rPr>
        <w:t>NNZC2026-G3-260135-JDZB</w:t>
      </w:r>
      <w:r>
        <w:rPr>
          <w:rFonts w:hint="eastAsia" w:ascii="宋体" w:hAnsi="宋体"/>
          <w:bCs/>
          <w:color w:val="auto"/>
          <w:sz w:val="24"/>
          <w:highlight w:val="none"/>
        </w:rPr>
        <w:fldChar w:fldCharType="end"/>
      </w:r>
      <w:r>
        <w:rPr>
          <w:rFonts w:hint="eastAsia" w:ascii="宋体" w:hAnsi="宋体"/>
          <w:bCs/>
          <w:color w:val="auto"/>
          <w:sz w:val="24"/>
          <w:highlight w:val="none"/>
        </w:rPr>
        <w:t xml:space="preserve">        </w:t>
      </w:r>
    </w:p>
    <w:p w14:paraId="3C55A1C6">
      <w:pPr>
        <w:snapToGrid w:val="0"/>
        <w:spacing w:before="165" w:beforeLines="50" w:after="50"/>
        <w:ind w:firstLine="540" w:firstLineChars="225"/>
        <w:rPr>
          <w:rFonts w:ascii="宋体" w:hAnsi="宋体"/>
          <w:bCs/>
          <w:color w:val="auto"/>
          <w:sz w:val="24"/>
          <w:szCs w:val="20"/>
          <w:highlight w:val="none"/>
        </w:rPr>
      </w:pPr>
      <w:r>
        <w:rPr>
          <w:rFonts w:hint="eastAsia" w:ascii="宋体" w:hAnsi="宋体"/>
          <w:bCs/>
          <w:color w:val="auto"/>
          <w:sz w:val="24"/>
          <w:highlight w:val="none"/>
        </w:rPr>
        <w:t xml:space="preserve"> </w:t>
      </w:r>
    </w:p>
    <w:p w14:paraId="3C2BF967">
      <w:pPr>
        <w:snapToGrid w:val="0"/>
        <w:spacing w:before="165" w:beforeLines="50" w:after="50"/>
        <w:ind w:firstLine="540" w:firstLineChars="225"/>
        <w:rPr>
          <w:rFonts w:ascii="宋体" w:hAnsi="宋体"/>
          <w:bCs/>
          <w:color w:val="auto"/>
          <w:sz w:val="24"/>
          <w:highlight w:val="none"/>
        </w:rPr>
      </w:pPr>
      <w:r>
        <w:rPr>
          <w:rFonts w:hint="eastAsia" w:ascii="宋体" w:hAnsi="宋体"/>
          <w:bCs/>
          <w:color w:val="auto"/>
          <w:sz w:val="24"/>
          <w:highlight w:val="none"/>
        </w:rPr>
        <w:t>所投分标：</w:t>
      </w:r>
    </w:p>
    <w:p w14:paraId="7E0BC167">
      <w:pPr>
        <w:snapToGrid w:val="0"/>
        <w:spacing w:before="165" w:beforeLines="50" w:after="50"/>
        <w:ind w:firstLine="540" w:firstLineChars="225"/>
        <w:rPr>
          <w:rFonts w:ascii="宋体" w:hAnsi="宋体"/>
          <w:bCs/>
          <w:color w:val="auto"/>
          <w:sz w:val="24"/>
          <w:szCs w:val="20"/>
          <w:highlight w:val="none"/>
        </w:rPr>
      </w:pPr>
    </w:p>
    <w:p w14:paraId="24077638">
      <w:pPr>
        <w:pStyle w:val="8"/>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投标人名称：</w:t>
      </w:r>
    </w:p>
    <w:p w14:paraId="4D4F081A">
      <w:pPr>
        <w:pStyle w:val="8"/>
        <w:snapToGrid w:val="0"/>
        <w:spacing w:before="50" w:after="50"/>
        <w:ind w:firstLine="540" w:firstLineChars="225"/>
        <w:rPr>
          <w:rFonts w:ascii="宋体" w:hAnsi="宋体"/>
          <w:bCs/>
          <w:color w:val="auto"/>
          <w:sz w:val="24"/>
          <w:szCs w:val="24"/>
          <w:highlight w:val="none"/>
        </w:rPr>
      </w:pPr>
    </w:p>
    <w:p w14:paraId="6BF6AB67">
      <w:pPr>
        <w:pStyle w:val="8"/>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投标人地址：</w:t>
      </w:r>
    </w:p>
    <w:p w14:paraId="711A8613">
      <w:pPr>
        <w:pStyle w:val="8"/>
        <w:snapToGrid w:val="0"/>
        <w:spacing w:before="50" w:after="50"/>
        <w:ind w:firstLine="960" w:firstLineChars="400"/>
        <w:rPr>
          <w:rFonts w:ascii="宋体" w:hAnsi="宋体"/>
          <w:bCs/>
          <w:color w:val="auto"/>
          <w:sz w:val="24"/>
          <w:szCs w:val="24"/>
          <w:highlight w:val="none"/>
        </w:rPr>
      </w:pPr>
    </w:p>
    <w:p w14:paraId="21968A41">
      <w:pPr>
        <w:snapToGrid w:val="0"/>
        <w:spacing w:before="165" w:beforeLines="50" w:after="50"/>
        <w:ind w:firstLine="645"/>
        <w:rPr>
          <w:rFonts w:ascii="宋体" w:hAnsi="宋体"/>
          <w:color w:val="auto"/>
          <w:sz w:val="24"/>
          <w:highlight w:val="none"/>
        </w:rPr>
      </w:pPr>
      <w:r>
        <w:rPr>
          <w:rFonts w:hint="eastAsia" w:ascii="宋体" w:hAnsi="宋体"/>
          <w:color w:val="auto"/>
          <w:sz w:val="24"/>
          <w:highlight w:val="none"/>
        </w:rPr>
        <w:t xml:space="preserve">                        年  月  日</w:t>
      </w:r>
    </w:p>
    <w:p w14:paraId="2742A320">
      <w:pPr>
        <w:snapToGrid w:val="0"/>
        <w:spacing w:before="165" w:beforeLines="50" w:after="50"/>
        <w:rPr>
          <w:rFonts w:ascii="宋体" w:hAnsi="宋体"/>
          <w:color w:val="auto"/>
          <w:sz w:val="24"/>
          <w:szCs w:val="20"/>
          <w:highlight w:val="none"/>
        </w:rPr>
      </w:pPr>
      <w:r>
        <w:rPr>
          <w:rFonts w:hint="eastAsia" w:ascii="宋体" w:hAnsi="宋体"/>
          <w:color w:val="auto"/>
          <w:sz w:val="24"/>
          <w:szCs w:val="20"/>
          <w:highlight w:val="none"/>
        </w:rPr>
        <w:t xml:space="preserve"> </w:t>
      </w:r>
    </w:p>
    <w:p w14:paraId="4278CF5A">
      <w:pPr>
        <w:spacing w:line="360" w:lineRule="auto"/>
        <w:ind w:right="420"/>
        <w:rPr>
          <w:rFonts w:ascii="宋体" w:hAnsi="宋体"/>
          <w:color w:val="auto"/>
          <w:sz w:val="24"/>
          <w:szCs w:val="20"/>
          <w:highlight w:val="none"/>
        </w:rPr>
      </w:pPr>
    </w:p>
    <w:p w14:paraId="2FB78989">
      <w:pPr>
        <w:spacing w:line="360" w:lineRule="auto"/>
        <w:ind w:right="420"/>
        <w:rPr>
          <w:rFonts w:ascii="宋体" w:hAnsi="宋体"/>
          <w:color w:val="auto"/>
          <w:sz w:val="24"/>
          <w:szCs w:val="20"/>
          <w:highlight w:val="none"/>
        </w:rPr>
      </w:pPr>
    </w:p>
    <w:p w14:paraId="2F241E71">
      <w:pPr>
        <w:spacing w:line="360" w:lineRule="auto"/>
        <w:ind w:right="420"/>
        <w:rPr>
          <w:rFonts w:ascii="宋体" w:hAnsi="宋体"/>
          <w:color w:val="auto"/>
          <w:sz w:val="24"/>
          <w:szCs w:val="20"/>
          <w:highlight w:val="none"/>
        </w:rPr>
      </w:pPr>
    </w:p>
    <w:p w14:paraId="17B0AE71">
      <w:pPr>
        <w:spacing w:line="360" w:lineRule="auto"/>
        <w:ind w:right="420"/>
        <w:rPr>
          <w:rFonts w:ascii="宋体" w:hAnsi="宋体"/>
          <w:color w:val="auto"/>
          <w:sz w:val="24"/>
          <w:szCs w:val="20"/>
          <w:highlight w:val="none"/>
        </w:rPr>
      </w:pPr>
    </w:p>
    <w:p w14:paraId="7020F346">
      <w:pPr>
        <w:spacing w:line="360" w:lineRule="auto"/>
        <w:ind w:right="420"/>
        <w:rPr>
          <w:rFonts w:ascii="宋体" w:hAnsi="宋体"/>
          <w:color w:val="auto"/>
          <w:sz w:val="24"/>
          <w:szCs w:val="20"/>
          <w:highlight w:val="none"/>
        </w:rPr>
      </w:pPr>
    </w:p>
    <w:p w14:paraId="3B21B68C">
      <w:pPr>
        <w:spacing w:line="360" w:lineRule="auto"/>
        <w:ind w:right="420"/>
        <w:rPr>
          <w:rFonts w:ascii="宋体" w:hAnsi="宋体"/>
          <w:color w:val="auto"/>
          <w:sz w:val="24"/>
          <w:szCs w:val="20"/>
          <w:highlight w:val="none"/>
        </w:rPr>
      </w:pPr>
    </w:p>
    <w:p w14:paraId="1764E4EA">
      <w:pPr>
        <w:spacing w:line="360" w:lineRule="auto"/>
        <w:ind w:right="420"/>
        <w:rPr>
          <w:rFonts w:ascii="宋体" w:hAnsi="宋体"/>
          <w:color w:val="auto"/>
          <w:sz w:val="24"/>
          <w:szCs w:val="20"/>
          <w:highlight w:val="none"/>
        </w:rPr>
      </w:pPr>
    </w:p>
    <w:p w14:paraId="14AEA680">
      <w:pPr>
        <w:spacing w:line="360" w:lineRule="auto"/>
        <w:ind w:right="420"/>
        <w:rPr>
          <w:rFonts w:ascii="宋体" w:hAnsi="宋体"/>
          <w:color w:val="auto"/>
          <w:sz w:val="24"/>
          <w:szCs w:val="20"/>
          <w:highlight w:val="none"/>
        </w:rPr>
      </w:pPr>
    </w:p>
    <w:p w14:paraId="0B36268A">
      <w:pPr>
        <w:spacing w:line="360" w:lineRule="auto"/>
        <w:ind w:right="420"/>
        <w:rPr>
          <w:rFonts w:ascii="宋体" w:hAnsi="宋体"/>
          <w:color w:val="auto"/>
          <w:sz w:val="24"/>
          <w:szCs w:val="20"/>
          <w:highlight w:val="none"/>
        </w:rPr>
      </w:pPr>
    </w:p>
    <w:p w14:paraId="37712BCA">
      <w:pPr>
        <w:spacing w:line="360" w:lineRule="auto"/>
        <w:ind w:right="420"/>
        <w:rPr>
          <w:rFonts w:ascii="仿宋_GB2312" w:hAnsi="仿宋" w:eastAsia="仿宋_GB2312" w:cs="仿宋_GB2312"/>
          <w:b/>
          <w:color w:val="auto"/>
          <w:kern w:val="0"/>
          <w:sz w:val="36"/>
          <w:szCs w:val="36"/>
          <w:highlight w:val="none"/>
        </w:rPr>
      </w:pPr>
      <w:r>
        <w:rPr>
          <w:rFonts w:hint="eastAsia" w:ascii="仿宋_GB2312" w:hAnsi="仿宋" w:eastAsia="仿宋_GB2312" w:cs="仿宋_GB2312"/>
          <w:b/>
          <w:color w:val="auto"/>
          <w:kern w:val="0"/>
          <w:sz w:val="36"/>
          <w:szCs w:val="36"/>
          <w:highlight w:val="none"/>
        </w:rPr>
        <w:t xml:space="preserve"> </w:t>
      </w:r>
    </w:p>
    <w:p w14:paraId="0BA9ABF1">
      <w:pPr>
        <w:rPr>
          <w:rFonts w:ascii="仿宋_GB2312" w:hAnsi="仿宋" w:eastAsia="仿宋_GB2312" w:cs="仿宋_GB2312"/>
          <w:b/>
          <w:color w:val="auto"/>
          <w:kern w:val="0"/>
          <w:sz w:val="24"/>
          <w:highlight w:val="none"/>
        </w:rPr>
      </w:pPr>
    </w:p>
    <w:p w14:paraId="073601F0">
      <w:pPr>
        <w:jc w:val="center"/>
        <w:rPr>
          <w:rFonts w:ascii="仿宋_GB2312" w:hAnsi="仿宋" w:eastAsia="仿宋_GB2312" w:cs="仿宋_GB2312"/>
          <w:b/>
          <w:color w:val="auto"/>
          <w:kern w:val="0"/>
          <w:sz w:val="28"/>
          <w:szCs w:val="28"/>
          <w:highlight w:val="none"/>
        </w:rPr>
      </w:pPr>
      <w:r>
        <w:rPr>
          <w:rFonts w:hint="eastAsia" w:ascii="仿宋_GB2312" w:hAnsi="仿宋" w:eastAsia="仿宋_GB2312" w:cs="仿宋_GB2312"/>
          <w:b/>
          <w:color w:val="auto"/>
          <w:kern w:val="0"/>
          <w:sz w:val="28"/>
          <w:szCs w:val="28"/>
          <w:highlight w:val="none"/>
        </w:rPr>
        <w:t>商务文件目录</w:t>
      </w:r>
    </w:p>
    <w:p w14:paraId="3DF50F4E">
      <w:pPr>
        <w:pStyle w:val="101"/>
        <w:spacing w:line="360" w:lineRule="auto"/>
        <w:rPr>
          <w:rFonts w:ascii="仿宋" w:eastAsia="仿宋" w:cs="仿宋"/>
          <w:color w:val="auto"/>
          <w:highlight w:val="none"/>
        </w:rPr>
      </w:pPr>
      <w:r>
        <w:rPr>
          <w:rFonts w:hint="eastAsia" w:ascii="仿宋" w:eastAsia="仿宋" w:cs="仿宋"/>
          <w:color w:val="auto"/>
          <w:highlight w:val="none"/>
        </w:rPr>
        <w:t>一、无串标行为承诺函…………………………………………………………………（页码）</w:t>
      </w:r>
    </w:p>
    <w:p w14:paraId="7D59093C">
      <w:pPr>
        <w:pStyle w:val="101"/>
        <w:spacing w:line="360" w:lineRule="auto"/>
        <w:rPr>
          <w:rFonts w:ascii="仿宋" w:eastAsia="仿宋" w:cs="仿宋"/>
          <w:color w:val="auto"/>
          <w:highlight w:val="none"/>
        </w:rPr>
      </w:pPr>
      <w:r>
        <w:rPr>
          <w:rFonts w:hint="eastAsia" w:ascii="仿宋" w:eastAsia="仿宋" w:cs="仿宋"/>
          <w:color w:val="auto"/>
          <w:highlight w:val="none"/>
        </w:rPr>
        <w:t>二、法定代表人身份证明及法定代表人有效身份证正反面复印件…………………（页码）</w:t>
      </w:r>
    </w:p>
    <w:p w14:paraId="5BC44432">
      <w:pPr>
        <w:pStyle w:val="101"/>
        <w:spacing w:line="360" w:lineRule="auto"/>
        <w:rPr>
          <w:rFonts w:ascii="仿宋" w:eastAsia="仿宋" w:cs="仿宋"/>
          <w:color w:val="auto"/>
          <w:highlight w:val="none"/>
        </w:rPr>
      </w:pPr>
      <w:r>
        <w:rPr>
          <w:rFonts w:hint="eastAsia" w:ascii="仿宋" w:eastAsia="仿宋" w:cs="仿宋"/>
          <w:color w:val="auto"/>
          <w:highlight w:val="none"/>
        </w:rPr>
        <w:t>三、法定代表人授权委托书（如有委托时）…………………………………………（页码）</w:t>
      </w:r>
    </w:p>
    <w:p w14:paraId="137926AE">
      <w:pPr>
        <w:pStyle w:val="101"/>
        <w:spacing w:line="360" w:lineRule="auto"/>
        <w:rPr>
          <w:rFonts w:ascii="仿宋" w:eastAsia="仿宋" w:cs="仿宋"/>
          <w:color w:val="auto"/>
          <w:highlight w:val="none"/>
        </w:rPr>
      </w:pPr>
      <w:r>
        <w:rPr>
          <w:rFonts w:hint="eastAsia" w:ascii="仿宋" w:eastAsia="仿宋" w:cs="仿宋"/>
          <w:color w:val="auto"/>
          <w:highlight w:val="none"/>
        </w:rPr>
        <w:t>四、</w:t>
      </w:r>
      <w:r>
        <w:rPr>
          <w:rFonts w:hint="eastAsia" w:ascii="仿宋" w:eastAsia="仿宋" w:cs="仿宋"/>
          <w:color w:val="auto"/>
          <w:highlight w:val="none"/>
          <w:lang w:val="zh-CN"/>
        </w:rPr>
        <w:t>商务条款偏离表………………………………</w:t>
      </w:r>
      <w:r>
        <w:rPr>
          <w:rFonts w:hint="eastAsia" w:ascii="仿宋" w:eastAsia="仿宋" w:cs="仿宋"/>
          <w:color w:val="auto"/>
          <w:highlight w:val="none"/>
        </w:rPr>
        <w:t>……………………………………（页码）</w:t>
      </w:r>
    </w:p>
    <w:p w14:paraId="29CDA5FF">
      <w:pPr>
        <w:pStyle w:val="101"/>
        <w:spacing w:line="360" w:lineRule="auto"/>
        <w:rPr>
          <w:rFonts w:ascii="仿宋" w:eastAsia="仿宋" w:cs="仿宋"/>
          <w:color w:val="auto"/>
          <w:highlight w:val="none"/>
        </w:rPr>
      </w:pPr>
      <w:r>
        <w:rPr>
          <w:rFonts w:hint="eastAsia" w:ascii="仿宋" w:eastAsia="仿宋" w:cs="仿宋"/>
          <w:color w:val="auto"/>
          <w:highlight w:val="none"/>
        </w:rPr>
        <w:t>五、投标人情况介绍</w:t>
      </w:r>
      <w:r>
        <w:rPr>
          <w:rFonts w:hint="eastAsia" w:ascii="仿宋" w:eastAsia="仿宋" w:cs="仿宋"/>
          <w:color w:val="auto"/>
          <w:highlight w:val="none"/>
          <w:lang w:val="zh-CN"/>
        </w:rPr>
        <w:t>………………………………</w:t>
      </w:r>
      <w:r>
        <w:rPr>
          <w:rFonts w:hint="eastAsia" w:ascii="仿宋" w:eastAsia="仿宋" w:cs="仿宋"/>
          <w:color w:val="auto"/>
          <w:highlight w:val="none"/>
        </w:rPr>
        <w:t>……………………………………（页码）</w:t>
      </w:r>
    </w:p>
    <w:p w14:paraId="5165F7BC">
      <w:pPr>
        <w:pStyle w:val="101"/>
        <w:spacing w:line="360" w:lineRule="auto"/>
        <w:rPr>
          <w:rFonts w:ascii="仿宋" w:eastAsia="仿宋" w:cs="仿宋"/>
          <w:color w:val="auto"/>
          <w:highlight w:val="none"/>
        </w:rPr>
      </w:pPr>
      <w:r>
        <w:rPr>
          <w:rFonts w:hint="eastAsia" w:ascii="仿宋" w:eastAsia="仿宋" w:cs="仿宋"/>
          <w:color w:val="auto"/>
          <w:highlight w:val="none"/>
        </w:rPr>
        <w:t>六、投标人类似业绩的证明文件（如有要求）</w:t>
      </w:r>
      <w:r>
        <w:rPr>
          <w:rFonts w:hint="eastAsia" w:ascii="仿宋" w:eastAsia="仿宋" w:cs="仿宋"/>
          <w:color w:val="auto"/>
          <w:highlight w:val="none"/>
          <w:lang w:val="zh-CN"/>
        </w:rPr>
        <w:t>……………………………</w:t>
      </w:r>
      <w:r>
        <w:rPr>
          <w:rFonts w:hint="eastAsia" w:ascii="仿宋" w:eastAsia="仿宋" w:cs="仿宋"/>
          <w:color w:val="auto"/>
          <w:highlight w:val="none"/>
        </w:rPr>
        <w:t>…………（页码）</w:t>
      </w:r>
    </w:p>
    <w:p w14:paraId="4FDDC7CE">
      <w:pPr>
        <w:pStyle w:val="101"/>
        <w:spacing w:line="360" w:lineRule="auto"/>
        <w:rPr>
          <w:rFonts w:ascii="仿宋" w:eastAsia="仿宋" w:cs="仿宋"/>
          <w:color w:val="auto"/>
          <w:highlight w:val="none"/>
        </w:rPr>
      </w:pPr>
      <w:r>
        <w:rPr>
          <w:rFonts w:hint="eastAsia" w:ascii="仿宋" w:eastAsia="仿宋" w:cs="仿宋"/>
          <w:color w:val="auto"/>
          <w:highlight w:val="none"/>
        </w:rPr>
        <w:t>七、其他商务文件或说明</w:t>
      </w:r>
      <w:r>
        <w:rPr>
          <w:rFonts w:hint="eastAsia" w:ascii="仿宋" w:eastAsia="仿宋" w:cs="仿宋"/>
          <w:color w:val="auto"/>
          <w:highlight w:val="none"/>
          <w:lang w:val="zh-CN"/>
        </w:rPr>
        <w:t>…………………………………………………………</w:t>
      </w:r>
      <w:r>
        <w:rPr>
          <w:rFonts w:hint="eastAsia" w:ascii="仿宋" w:eastAsia="仿宋" w:cs="仿宋"/>
          <w:color w:val="auto"/>
          <w:highlight w:val="none"/>
        </w:rPr>
        <w:t>……（页码）</w:t>
      </w:r>
    </w:p>
    <w:p w14:paraId="0A4701E1">
      <w:pPr>
        <w:spacing w:line="360" w:lineRule="auto"/>
        <w:rPr>
          <w:rFonts w:ascii="仿宋" w:hAnsi="仿宋" w:eastAsia="仿宋" w:cs="仿宋"/>
          <w:b/>
          <w:bCs/>
          <w:color w:val="auto"/>
          <w:sz w:val="24"/>
          <w:highlight w:val="none"/>
        </w:rPr>
      </w:pPr>
    </w:p>
    <w:p w14:paraId="611FD89F">
      <w:pPr>
        <w:spacing w:line="360" w:lineRule="auto"/>
        <w:rPr>
          <w:rFonts w:ascii="仿宋" w:hAnsi="仿宋" w:eastAsia="仿宋" w:cs="仿宋"/>
          <w:b/>
          <w:bCs/>
          <w:color w:val="auto"/>
          <w:sz w:val="24"/>
          <w:highlight w:val="none"/>
        </w:rPr>
      </w:pPr>
      <w:r>
        <w:rPr>
          <w:rFonts w:hint="eastAsia" w:ascii="仿宋" w:hAnsi="仿宋" w:eastAsia="仿宋" w:cs="仿宋"/>
          <w:b/>
          <w:bCs/>
          <w:color w:val="auto"/>
          <w:sz w:val="24"/>
          <w:highlight w:val="none"/>
        </w:rPr>
        <w:t>注：以上目录是基本格式要求，各投标人可根据自身情况进一步向下增加内容或细化。</w:t>
      </w:r>
    </w:p>
    <w:p w14:paraId="1DC63B55">
      <w:pPr>
        <w:widowControl/>
        <w:spacing w:line="360" w:lineRule="auto"/>
        <w:jc w:val="left"/>
        <w:rPr>
          <w:rFonts w:ascii="仿宋" w:hAnsi="仿宋" w:eastAsia="仿宋" w:cs="仿宋"/>
          <w:color w:val="auto"/>
          <w:highlight w:val="none"/>
        </w:rPr>
        <w:sectPr>
          <w:pgSz w:w="11906" w:h="16838"/>
          <w:pgMar w:top="1134" w:right="1134" w:bottom="1134" w:left="1134" w:header="720" w:footer="720" w:gutter="0"/>
          <w:cols w:space="720" w:num="1"/>
          <w:docGrid w:type="lines" w:linePitch="331" w:charSpace="0"/>
        </w:sectPr>
      </w:pPr>
    </w:p>
    <w:p w14:paraId="58DEF11D">
      <w:pPr>
        <w:snapToGrid w:val="0"/>
        <w:spacing w:before="120" w:beforeLines="50" w:after="50"/>
        <w:ind w:left="420"/>
        <w:jc w:val="center"/>
        <w:rPr>
          <w:b/>
          <w:bCs/>
          <w:color w:val="auto"/>
          <w:sz w:val="30"/>
          <w:szCs w:val="30"/>
          <w:highlight w:val="none"/>
        </w:rPr>
      </w:pPr>
      <w:r>
        <w:rPr>
          <w:rFonts w:hint="eastAsia"/>
          <w:b/>
          <w:bCs/>
          <w:color w:val="auto"/>
          <w:sz w:val="30"/>
          <w:szCs w:val="30"/>
          <w:highlight w:val="none"/>
        </w:rPr>
        <w:t>一、无串标行为承诺函</w:t>
      </w:r>
    </w:p>
    <w:p w14:paraId="7BD4B914">
      <w:pPr>
        <w:snapToGrid w:val="0"/>
        <w:spacing w:before="120" w:beforeLines="50" w:after="50"/>
        <w:ind w:left="420"/>
        <w:jc w:val="center"/>
        <w:rPr>
          <w:rFonts w:ascii="宋体" w:hAnsi="宋体"/>
          <w:b/>
          <w:color w:val="auto"/>
          <w:sz w:val="32"/>
          <w:szCs w:val="32"/>
          <w:highlight w:val="none"/>
        </w:rPr>
      </w:pPr>
      <w:r>
        <w:rPr>
          <w:rFonts w:hint="eastAsia" w:ascii="宋体" w:hAnsi="宋体"/>
          <w:b/>
          <w:color w:val="auto"/>
          <w:sz w:val="32"/>
          <w:szCs w:val="32"/>
          <w:highlight w:val="none"/>
        </w:rPr>
        <w:t>投标人参加本项目无围标串标行为的承诺函</w:t>
      </w:r>
    </w:p>
    <w:p w14:paraId="2ACD2269">
      <w:pPr>
        <w:snapToGrid w:val="0"/>
        <w:spacing w:before="120" w:beforeLines="50" w:after="50"/>
        <w:rPr>
          <w:rFonts w:ascii="宋体" w:hAnsi="宋体"/>
          <w:b/>
          <w:color w:val="auto"/>
          <w:szCs w:val="21"/>
          <w:highlight w:val="none"/>
        </w:rPr>
      </w:pPr>
    </w:p>
    <w:p w14:paraId="1AADF096">
      <w:pPr>
        <w:snapToGrid w:val="0"/>
        <w:spacing w:before="120" w:beforeLines="50" w:after="50" w:line="360" w:lineRule="auto"/>
        <w:jc w:val="left"/>
        <w:rPr>
          <w:rFonts w:ascii="宋体" w:hAnsi="宋体"/>
          <w:b/>
          <w:color w:val="auto"/>
          <w:szCs w:val="21"/>
          <w:highlight w:val="none"/>
        </w:rPr>
      </w:pPr>
      <w:r>
        <w:rPr>
          <w:rFonts w:hint="eastAsia" w:ascii="宋体" w:hAnsi="宋体"/>
          <w:b/>
          <w:color w:val="auto"/>
          <w:szCs w:val="21"/>
          <w:highlight w:val="none"/>
        </w:rPr>
        <w:t>一、我方承诺无下列相互串通投标的情形：</w:t>
      </w:r>
    </w:p>
    <w:p w14:paraId="1DF36730">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1.不同投标人的投标文件由同一单位或者个人编制；或者不同投标人报名的IP地址一致的；或者编制标书硬件设备CPU编号、硬盘编号、网卡地址一致的情况。</w:t>
      </w:r>
    </w:p>
    <w:p w14:paraId="1DCA54DC">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2.不同投标人委托同一单位或者个人办理投标事宜；</w:t>
      </w:r>
    </w:p>
    <w:p w14:paraId="76264D24">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3.不同的投标人的投标文件载明的项目管理员为同一个人；</w:t>
      </w:r>
    </w:p>
    <w:p w14:paraId="366A5A63">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4.不同投标人的投标文件异常一致或者投标报价呈规律性差异；</w:t>
      </w:r>
    </w:p>
    <w:p w14:paraId="291A48A1">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5.不同投标人的投标文件相互混装；</w:t>
      </w:r>
    </w:p>
    <w:p w14:paraId="706118F5">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6.不同投标人的投标保证金从同一单位或者个人账户转出。</w:t>
      </w:r>
    </w:p>
    <w:p w14:paraId="5807725A">
      <w:pPr>
        <w:snapToGrid w:val="0"/>
        <w:spacing w:before="120" w:beforeLines="50" w:after="50" w:line="360" w:lineRule="auto"/>
        <w:jc w:val="left"/>
        <w:rPr>
          <w:rFonts w:ascii="宋体" w:hAnsi="宋体"/>
          <w:color w:val="auto"/>
          <w:szCs w:val="21"/>
          <w:highlight w:val="none"/>
        </w:rPr>
      </w:pPr>
      <w:r>
        <w:rPr>
          <w:rFonts w:hint="eastAsia" w:ascii="宋体" w:hAnsi="宋体"/>
          <w:b/>
          <w:color w:val="auto"/>
          <w:szCs w:val="21"/>
          <w:highlight w:val="none"/>
        </w:rPr>
        <w:t>二、我方承诺无下列恶意串通的情形：</w:t>
      </w:r>
    </w:p>
    <w:p w14:paraId="30BAD092">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1.投标人直接或者间接从采购人或者采购代理机构处获得其他投标人的相关信息并修改其投标文件或者投标文件；</w:t>
      </w:r>
    </w:p>
    <w:p w14:paraId="09E03DC5">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2.投标人按照采购人或者采购代理机构的授意撤换、修改投标文件或者投标文件；</w:t>
      </w:r>
    </w:p>
    <w:p w14:paraId="7AAE620A">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3.投标人之间协商报价、技术方案等投标文件或者投标文件的实质性内容；</w:t>
      </w:r>
    </w:p>
    <w:p w14:paraId="0EF411AC">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4.属于同一集团、协会、商会等组织成员的投标人按照该组织要求协同参加政府采购活动；</w:t>
      </w:r>
    </w:p>
    <w:p w14:paraId="4456A6A9">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4B447D8E">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6.投标人之间商定部分投标人放弃参加政府采购活动或者放弃中标；</w:t>
      </w:r>
    </w:p>
    <w:p w14:paraId="1D919A76">
      <w:pPr>
        <w:snapToGrid w:val="0"/>
        <w:spacing w:before="120" w:beforeLines="50" w:after="50" w:line="360" w:lineRule="auto"/>
        <w:ind w:firstLine="411" w:firstLineChars="196"/>
        <w:jc w:val="left"/>
        <w:rPr>
          <w:rFonts w:ascii="宋体" w:hAnsi="宋体"/>
          <w:color w:val="auto"/>
          <w:szCs w:val="21"/>
          <w:highlight w:val="none"/>
        </w:rPr>
      </w:pPr>
      <w:r>
        <w:rPr>
          <w:rFonts w:hint="eastAsia" w:ascii="宋体" w:hAnsi="宋体"/>
          <w:color w:val="auto"/>
          <w:szCs w:val="21"/>
          <w:highlight w:val="none"/>
        </w:rPr>
        <w:t>7.投标人与采购人或者采购代理机构之间、投标人相互之间，为谋求特定投标人中标或者排斥其他投标人的其他串通行为。</w:t>
      </w:r>
    </w:p>
    <w:p w14:paraId="75DF6D97">
      <w:pPr>
        <w:snapToGrid w:val="0"/>
        <w:spacing w:before="120" w:beforeLines="50" w:after="50" w:line="360" w:lineRule="auto"/>
        <w:ind w:firstLine="413" w:firstLineChars="196"/>
        <w:jc w:val="left"/>
        <w:rPr>
          <w:rFonts w:ascii="宋体" w:hAnsi="宋体"/>
          <w:b/>
          <w:color w:val="auto"/>
          <w:szCs w:val="21"/>
          <w:highlight w:val="none"/>
        </w:rPr>
      </w:pPr>
      <w:r>
        <w:rPr>
          <w:rFonts w:hint="eastAsia" w:ascii="宋体" w:hAnsi="宋体"/>
          <w:b/>
          <w:color w:val="auto"/>
          <w:szCs w:val="21"/>
          <w:highlight w:val="none"/>
        </w:rPr>
        <w:t>以上情形一经核查属实，我方愿意承担一切后果，接受政府采购监管部门对我方认定存在围标串标行为，并不再寻求任何旨在减轻或者免除法律责任的辩解。</w:t>
      </w:r>
    </w:p>
    <w:p w14:paraId="177C3A10">
      <w:pPr>
        <w:snapToGrid w:val="0"/>
        <w:spacing w:line="360" w:lineRule="auto"/>
        <w:ind w:firstLine="4935" w:firstLineChars="2350"/>
        <w:rPr>
          <w:rFonts w:ascii="仿宋" w:hAnsi="仿宋" w:eastAsia="仿宋" w:cs="仿宋"/>
          <w:color w:val="auto"/>
          <w:kern w:val="0"/>
          <w:sz w:val="24"/>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kern w:val="0"/>
          <w:sz w:val="24"/>
          <w:highlight w:val="none"/>
          <w:lang w:val="zh-CN"/>
        </w:rPr>
        <w:t>投标人名称（电子签章）：</w:t>
      </w:r>
    </w:p>
    <w:p w14:paraId="13CC2333">
      <w:pPr>
        <w:snapToGrid w:val="0"/>
        <w:spacing w:line="360" w:lineRule="auto"/>
        <w:ind w:firstLine="5160" w:firstLineChars="215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196F1586">
      <w:pPr>
        <w:pStyle w:val="14"/>
        <w:snapToGrid w:val="0"/>
        <w:spacing w:before="295" w:after="295" w:line="360" w:lineRule="auto"/>
        <w:jc w:val="center"/>
        <w:rPr>
          <w:rFonts w:hAnsi="宋体"/>
          <w:b/>
          <w:color w:val="auto"/>
          <w:sz w:val="24"/>
          <w:highlight w:val="none"/>
        </w:rPr>
      </w:pPr>
      <w:r>
        <w:rPr>
          <w:rFonts w:hint="eastAsia" w:hAnsi="宋体"/>
          <w:b/>
          <w:color w:val="auto"/>
          <w:sz w:val="24"/>
          <w:highlight w:val="none"/>
        </w:rPr>
        <w:br w:type="page"/>
      </w:r>
      <w:r>
        <w:rPr>
          <w:rFonts w:hint="eastAsia" w:ascii="Times New Roman" w:hAnsi="Times New Roman"/>
          <w:b/>
          <w:bCs/>
          <w:color w:val="auto"/>
          <w:sz w:val="30"/>
          <w:szCs w:val="30"/>
          <w:highlight w:val="none"/>
        </w:rPr>
        <w:t>二、法定代表人身份证明</w:t>
      </w:r>
    </w:p>
    <w:p w14:paraId="55997FC8">
      <w:pPr>
        <w:spacing w:before="240" w:beforeLines="100" w:after="120" w:afterLines="50"/>
        <w:ind w:left="540"/>
        <w:jc w:val="center"/>
        <w:rPr>
          <w:rFonts w:ascii="宋体" w:hAnsi="Courier New"/>
          <w:b/>
          <w:color w:val="auto"/>
          <w:sz w:val="32"/>
          <w:szCs w:val="32"/>
          <w:highlight w:val="none"/>
        </w:rPr>
      </w:pPr>
    </w:p>
    <w:p w14:paraId="7CC80E25">
      <w:pPr>
        <w:spacing w:before="240" w:beforeLines="100" w:after="120" w:afterLines="50"/>
        <w:ind w:left="540"/>
        <w:jc w:val="center"/>
        <w:rPr>
          <w:rFonts w:ascii="黑体" w:hAnsi="宋体" w:eastAsia="黑体"/>
          <w:color w:val="auto"/>
          <w:sz w:val="32"/>
          <w:szCs w:val="32"/>
          <w:highlight w:val="none"/>
        </w:rPr>
      </w:pPr>
      <w:r>
        <w:rPr>
          <w:rFonts w:hint="eastAsia" w:ascii="宋体" w:hAnsi="Courier New"/>
          <w:b/>
          <w:color w:val="auto"/>
          <w:sz w:val="32"/>
          <w:szCs w:val="32"/>
          <w:highlight w:val="none"/>
        </w:rPr>
        <w:t>法定代表人身份证明</w:t>
      </w:r>
    </w:p>
    <w:p w14:paraId="21D39043">
      <w:pPr>
        <w:spacing w:line="500" w:lineRule="exact"/>
        <w:ind w:left="540"/>
        <w:rPr>
          <w:rFonts w:ascii="宋体" w:hAnsi="宋体"/>
          <w:color w:val="auto"/>
          <w:sz w:val="24"/>
          <w:highlight w:val="none"/>
        </w:rPr>
      </w:pPr>
      <w:r>
        <w:rPr>
          <w:rFonts w:hint="eastAsia" w:ascii="宋体" w:hAnsi="宋体"/>
          <w:color w:val="auto"/>
          <w:sz w:val="24"/>
          <w:highlight w:val="none"/>
        </w:rPr>
        <w:t>投 标 人：</w:t>
      </w:r>
      <w:r>
        <w:rPr>
          <w:rFonts w:hint="eastAsia" w:ascii="宋体" w:hAnsi="宋体"/>
          <w:color w:val="auto"/>
          <w:sz w:val="24"/>
          <w:highlight w:val="none"/>
          <w:u w:val="single"/>
        </w:rPr>
        <w:t xml:space="preserve">                                                        </w:t>
      </w:r>
    </w:p>
    <w:p w14:paraId="4C5226B1">
      <w:pPr>
        <w:spacing w:line="500" w:lineRule="exact"/>
        <w:ind w:left="540"/>
        <w:rPr>
          <w:rFonts w:ascii="宋体" w:hAnsi="宋体"/>
          <w:color w:val="auto"/>
          <w:sz w:val="24"/>
          <w:highlight w:val="none"/>
        </w:rPr>
      </w:pPr>
      <w:r>
        <w:rPr>
          <w:rFonts w:hint="eastAsia" w:ascii="宋体" w:hAnsi="宋体"/>
          <w:color w:val="auto"/>
          <w:sz w:val="24"/>
          <w:highlight w:val="none"/>
        </w:rPr>
        <w:t>地    址：</w:t>
      </w:r>
      <w:r>
        <w:rPr>
          <w:rFonts w:hint="eastAsia" w:ascii="宋体" w:hAnsi="宋体"/>
          <w:color w:val="auto"/>
          <w:sz w:val="24"/>
          <w:highlight w:val="none"/>
          <w:u w:val="single"/>
        </w:rPr>
        <w:t xml:space="preserve">                                                        </w:t>
      </w:r>
    </w:p>
    <w:p w14:paraId="06A331AA">
      <w:pPr>
        <w:spacing w:line="500" w:lineRule="exact"/>
        <w:ind w:left="540"/>
        <w:rPr>
          <w:rFonts w:ascii="宋体" w:hAnsi="宋体"/>
          <w:color w:val="auto"/>
          <w:sz w:val="24"/>
          <w:highlight w:val="none"/>
        </w:rPr>
      </w:pPr>
      <w:r>
        <w:rPr>
          <w:rFonts w:hint="eastAsia" w:ascii="宋体" w:hAnsi="宋体"/>
          <w:color w:val="auto"/>
          <w:sz w:val="24"/>
          <w:highlight w:val="none"/>
        </w:rPr>
        <w:t>姓    名：</w:t>
      </w:r>
      <w:r>
        <w:rPr>
          <w:rFonts w:hint="eastAsia" w:ascii="宋体" w:hAnsi="宋体"/>
          <w:color w:val="auto"/>
          <w:sz w:val="24"/>
          <w:highlight w:val="none"/>
          <w:u w:val="single"/>
        </w:rPr>
        <w:t xml:space="preserve">                          </w:t>
      </w:r>
      <w:r>
        <w:rPr>
          <w:rFonts w:hint="eastAsia" w:ascii="宋体" w:hAnsi="宋体"/>
          <w:color w:val="auto"/>
          <w:sz w:val="24"/>
          <w:highlight w:val="none"/>
        </w:rPr>
        <w:t>性      别：</w:t>
      </w:r>
      <w:r>
        <w:rPr>
          <w:rFonts w:hint="eastAsia" w:ascii="宋体" w:hAnsi="宋体"/>
          <w:color w:val="auto"/>
          <w:sz w:val="24"/>
          <w:highlight w:val="none"/>
          <w:u w:val="single"/>
        </w:rPr>
        <w:t xml:space="preserve">                </w:t>
      </w:r>
    </w:p>
    <w:p w14:paraId="3DB506AC">
      <w:pPr>
        <w:spacing w:line="500" w:lineRule="exact"/>
        <w:ind w:left="540"/>
        <w:rPr>
          <w:rFonts w:ascii="宋体" w:hAnsi="宋体"/>
          <w:color w:val="auto"/>
          <w:sz w:val="24"/>
          <w:highlight w:val="none"/>
          <w:u w:val="single"/>
        </w:rPr>
      </w:pPr>
      <w:r>
        <w:rPr>
          <w:rFonts w:hint="eastAsia" w:ascii="宋体" w:hAnsi="宋体"/>
          <w:color w:val="auto"/>
          <w:sz w:val="24"/>
          <w:highlight w:val="none"/>
        </w:rPr>
        <w:t>年    龄：</w:t>
      </w:r>
      <w:r>
        <w:rPr>
          <w:rFonts w:hint="eastAsia" w:ascii="宋体" w:hAnsi="宋体"/>
          <w:color w:val="auto"/>
          <w:sz w:val="24"/>
          <w:highlight w:val="none"/>
          <w:u w:val="single"/>
        </w:rPr>
        <w:t xml:space="preserve">                          </w:t>
      </w:r>
      <w:r>
        <w:rPr>
          <w:rFonts w:hint="eastAsia" w:ascii="宋体" w:hAnsi="宋体"/>
          <w:color w:val="auto"/>
          <w:sz w:val="24"/>
          <w:highlight w:val="none"/>
        </w:rPr>
        <w:t>职      务：</w:t>
      </w:r>
      <w:r>
        <w:rPr>
          <w:rFonts w:hint="eastAsia" w:ascii="宋体" w:hAnsi="宋体"/>
          <w:color w:val="auto"/>
          <w:sz w:val="24"/>
          <w:highlight w:val="none"/>
          <w:u w:val="single"/>
        </w:rPr>
        <w:t xml:space="preserve">                </w:t>
      </w:r>
    </w:p>
    <w:p w14:paraId="64CDCC00">
      <w:pPr>
        <w:spacing w:line="500" w:lineRule="exact"/>
        <w:ind w:left="540"/>
        <w:rPr>
          <w:rFonts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r>
        <w:rPr>
          <w:color w:val="auto"/>
          <w:sz w:val="24"/>
          <w:highlight w:val="none"/>
          <w:u w:val="single"/>
        </w:rPr>
        <w:t xml:space="preserve">                                 </w:t>
      </w:r>
    </w:p>
    <w:p w14:paraId="4617FBD5">
      <w:pPr>
        <w:spacing w:line="500" w:lineRule="exact"/>
        <w:ind w:left="540"/>
        <w:rPr>
          <w:rFonts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（投标人名称）                 </w:t>
      </w:r>
      <w:r>
        <w:rPr>
          <w:rFonts w:hint="eastAsia" w:ascii="宋体" w:hAnsi="宋体"/>
          <w:color w:val="auto"/>
          <w:sz w:val="24"/>
          <w:highlight w:val="none"/>
        </w:rPr>
        <w:t>的法定代表人。</w:t>
      </w:r>
    </w:p>
    <w:p w14:paraId="2125006F">
      <w:pPr>
        <w:spacing w:line="500" w:lineRule="exact"/>
        <w:ind w:left="540"/>
        <w:rPr>
          <w:rFonts w:ascii="宋体" w:hAnsi="宋体"/>
          <w:color w:val="auto"/>
          <w:sz w:val="24"/>
          <w:highlight w:val="none"/>
        </w:rPr>
      </w:pPr>
      <w:r>
        <w:rPr>
          <w:rFonts w:hint="eastAsia" w:ascii="宋体" w:hAnsi="宋体"/>
          <w:color w:val="auto"/>
          <w:sz w:val="24"/>
          <w:highlight w:val="none"/>
        </w:rPr>
        <w:t>特此证明。</w:t>
      </w:r>
    </w:p>
    <w:p w14:paraId="238E64F0">
      <w:pPr>
        <w:spacing w:line="500" w:lineRule="exact"/>
        <w:ind w:left="540"/>
        <w:rPr>
          <w:rFonts w:ascii="宋体" w:hAnsi="宋体"/>
          <w:color w:val="auto"/>
          <w:sz w:val="24"/>
          <w:highlight w:val="none"/>
        </w:rPr>
      </w:pPr>
    </w:p>
    <w:p w14:paraId="28C31106">
      <w:pPr>
        <w:spacing w:line="500" w:lineRule="exact"/>
        <w:ind w:left="540"/>
        <w:rPr>
          <w:rFonts w:ascii="宋体" w:hAnsi="宋体"/>
          <w:color w:val="auto"/>
          <w:sz w:val="24"/>
          <w:highlight w:val="none"/>
        </w:rPr>
      </w:pPr>
    </w:p>
    <w:p w14:paraId="5E70D1BE">
      <w:pPr>
        <w:spacing w:line="500" w:lineRule="exact"/>
        <w:ind w:left="540"/>
        <w:rPr>
          <w:rFonts w:ascii="宋体" w:hAnsi="宋体"/>
          <w:color w:val="auto"/>
          <w:sz w:val="24"/>
          <w:highlight w:val="none"/>
        </w:rPr>
      </w:pPr>
      <w:r>
        <w:rPr>
          <w:rFonts w:hint="eastAsia" w:ascii="宋体" w:hAnsi="宋体"/>
          <w:color w:val="auto"/>
          <w:sz w:val="24"/>
          <w:highlight w:val="none"/>
        </w:rPr>
        <w:t>附件：法定代表人有效身份证正反面复印件</w:t>
      </w:r>
    </w:p>
    <w:p w14:paraId="292B5991">
      <w:pPr>
        <w:spacing w:line="500" w:lineRule="exact"/>
        <w:ind w:left="540"/>
        <w:rPr>
          <w:rFonts w:ascii="仿宋" w:hAnsi="仿宋" w:eastAsia="仿宋" w:cs="仿宋"/>
          <w:color w:val="auto"/>
          <w:sz w:val="24"/>
          <w:highlight w:val="none"/>
        </w:rPr>
      </w:pPr>
    </w:p>
    <w:p w14:paraId="7F17C698">
      <w:pPr>
        <w:snapToGrid w:val="0"/>
        <w:spacing w:line="360" w:lineRule="auto"/>
        <w:ind w:firstLine="4935" w:firstLineChars="2350"/>
        <w:rPr>
          <w:rFonts w:ascii="仿宋" w:hAnsi="仿宋" w:eastAsia="仿宋" w:cs="仿宋"/>
          <w:color w:val="auto"/>
          <w:kern w:val="0"/>
          <w:sz w:val="24"/>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kern w:val="0"/>
          <w:sz w:val="24"/>
          <w:highlight w:val="none"/>
          <w:lang w:val="zh-CN"/>
        </w:rPr>
        <w:t>投标人名称（电子签章）：</w:t>
      </w:r>
    </w:p>
    <w:p w14:paraId="4E2ABAE4">
      <w:pPr>
        <w:snapToGrid w:val="0"/>
        <w:spacing w:line="360" w:lineRule="auto"/>
        <w:ind w:firstLine="5160" w:firstLineChars="215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58509877">
      <w:pPr>
        <w:snapToGrid w:val="0"/>
        <w:spacing w:before="120" w:beforeLines="50" w:after="50"/>
        <w:jc w:val="center"/>
        <w:rPr>
          <w:rFonts w:ascii="宋体" w:hAnsi="宋体"/>
          <w:b/>
          <w:color w:val="auto"/>
          <w:sz w:val="24"/>
          <w:highlight w:val="none"/>
        </w:rPr>
      </w:pPr>
    </w:p>
    <w:p w14:paraId="26F5ECB1">
      <w:pPr>
        <w:snapToGrid w:val="0"/>
        <w:spacing w:before="120" w:beforeLines="50" w:after="50"/>
        <w:ind w:firstLine="600" w:firstLineChars="250"/>
        <w:jc w:val="left"/>
        <w:rPr>
          <w:rFonts w:ascii="宋体" w:hAnsi="宋体"/>
          <w:color w:val="auto"/>
          <w:sz w:val="24"/>
          <w:highlight w:val="none"/>
        </w:rPr>
      </w:pPr>
      <w:r>
        <w:rPr>
          <w:rFonts w:hint="eastAsia" w:ascii="宋体" w:hAnsi="宋体"/>
          <w:color w:val="auto"/>
          <w:sz w:val="24"/>
          <w:highlight w:val="none"/>
        </w:rPr>
        <w:t>注：自然人投标的无需提供</w:t>
      </w:r>
    </w:p>
    <w:p w14:paraId="43860583">
      <w:pPr>
        <w:snapToGrid w:val="0"/>
        <w:spacing w:before="120" w:beforeLines="50" w:after="50"/>
        <w:ind w:firstLine="600" w:firstLineChars="250"/>
        <w:jc w:val="left"/>
        <w:rPr>
          <w:rFonts w:ascii="宋体" w:hAnsi="宋体"/>
          <w:color w:val="auto"/>
          <w:sz w:val="24"/>
          <w:highlight w:val="none"/>
        </w:rPr>
      </w:pPr>
    </w:p>
    <w:p w14:paraId="078E49CF">
      <w:pPr>
        <w:snapToGrid w:val="0"/>
        <w:spacing w:before="120" w:beforeLines="50" w:after="50"/>
        <w:ind w:firstLine="602" w:firstLineChars="250"/>
        <w:jc w:val="left"/>
        <w:rPr>
          <w:rFonts w:ascii="宋体" w:hAnsi="宋体"/>
          <w:b/>
          <w:color w:val="auto"/>
          <w:sz w:val="24"/>
          <w:szCs w:val="20"/>
          <w:highlight w:val="none"/>
        </w:rPr>
      </w:pPr>
    </w:p>
    <w:tbl>
      <w:tblPr>
        <w:tblStyle w:val="35"/>
        <w:tblpPr w:leftFromText="180" w:rightFromText="180" w:vertAnchor="text" w:horzAnchor="margin" w:tblpY="1169"/>
        <w:tblW w:w="89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0"/>
      </w:tblGrid>
      <w:tr w14:paraId="5AE5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7" w:hRule="atLeast"/>
        </w:trPr>
        <w:tc>
          <w:tcPr>
            <w:tcW w:w="8900" w:type="dxa"/>
            <w:tcBorders>
              <w:top w:val="single" w:color="auto" w:sz="4" w:space="0"/>
              <w:left w:val="single" w:color="auto" w:sz="4" w:space="0"/>
              <w:bottom w:val="single" w:color="auto" w:sz="4" w:space="0"/>
              <w:right w:val="single" w:color="auto" w:sz="4" w:space="0"/>
            </w:tcBorders>
          </w:tcPr>
          <w:p w14:paraId="78B24E28">
            <w:pPr>
              <w:spacing w:line="360" w:lineRule="auto"/>
              <w:rPr>
                <w:rFonts w:ascii="宋体"/>
                <w:b/>
                <w:color w:val="auto"/>
                <w:sz w:val="24"/>
                <w:highlight w:val="none"/>
              </w:rPr>
            </w:pPr>
          </w:p>
          <w:p w14:paraId="6B6D4B11">
            <w:pPr>
              <w:spacing w:line="360" w:lineRule="auto"/>
              <w:rPr>
                <w:rFonts w:ascii="宋体"/>
                <w:b/>
                <w:color w:val="auto"/>
                <w:sz w:val="24"/>
                <w:highlight w:val="none"/>
              </w:rPr>
            </w:pPr>
            <w:r>
              <w:rPr>
                <w:rFonts w:hint="eastAsia" w:ascii="宋体"/>
                <w:b/>
                <w:color w:val="auto"/>
                <w:sz w:val="24"/>
                <w:highlight w:val="none"/>
              </w:rPr>
              <w:t>法定代</w:t>
            </w:r>
            <w:r>
              <w:rPr>
                <w:rFonts w:hint="eastAsia" w:ascii="宋体"/>
                <w:b/>
                <w:color w:val="auto"/>
                <w:sz w:val="24"/>
                <w:highlight w:val="none"/>
                <w:lang w:eastAsia="zh-CN"/>
              </w:rPr>
              <w:t>表人</w:t>
            </w:r>
            <w:r>
              <w:rPr>
                <w:rFonts w:hint="eastAsia" w:ascii="宋体"/>
                <w:b/>
                <w:color w:val="auto"/>
                <w:sz w:val="24"/>
                <w:highlight w:val="none"/>
              </w:rPr>
              <w:t>身份证复印件</w:t>
            </w:r>
            <w:r>
              <w:rPr>
                <w:rFonts w:hint="eastAsia" w:ascii="宋体"/>
                <w:b/>
                <w:color w:val="auto"/>
                <w:sz w:val="24"/>
                <w:highlight w:val="none"/>
                <w:lang w:eastAsia="zh-CN"/>
              </w:rPr>
              <w:t>粘贴</w:t>
            </w:r>
            <w:r>
              <w:rPr>
                <w:rFonts w:hint="eastAsia" w:ascii="宋体"/>
                <w:b/>
                <w:color w:val="auto"/>
                <w:sz w:val="24"/>
                <w:highlight w:val="none"/>
              </w:rPr>
              <w:t>处（正、反面）</w:t>
            </w:r>
          </w:p>
        </w:tc>
      </w:tr>
    </w:tbl>
    <w:p w14:paraId="39094468">
      <w:pPr>
        <w:pStyle w:val="14"/>
        <w:snapToGrid w:val="0"/>
        <w:spacing w:before="295" w:after="295" w:line="360" w:lineRule="auto"/>
        <w:jc w:val="center"/>
        <w:rPr>
          <w:rFonts w:hAnsi="宋体"/>
          <w:b/>
          <w:color w:val="auto"/>
          <w:sz w:val="24"/>
          <w:highlight w:val="none"/>
        </w:rPr>
      </w:pPr>
      <w:r>
        <w:rPr>
          <w:rFonts w:hint="eastAsia" w:hAnsi="宋体"/>
          <w:b/>
          <w:color w:val="auto"/>
          <w:sz w:val="24"/>
          <w:highlight w:val="none"/>
        </w:rPr>
        <w:t>附件：</w:t>
      </w:r>
      <w:r>
        <w:rPr>
          <w:rFonts w:hint="eastAsia" w:hAnsi="宋体"/>
          <w:b/>
          <w:color w:val="auto"/>
          <w:sz w:val="24"/>
          <w:highlight w:val="none"/>
        </w:rPr>
        <w:br w:type="page"/>
      </w:r>
      <w:r>
        <w:rPr>
          <w:rFonts w:hint="eastAsia" w:ascii="Times New Roman" w:hAnsi="Times New Roman"/>
          <w:b/>
          <w:bCs/>
          <w:color w:val="auto"/>
          <w:sz w:val="30"/>
          <w:szCs w:val="30"/>
          <w:highlight w:val="none"/>
        </w:rPr>
        <w:t>三、法定代表人授权委托书（如有委托时）</w:t>
      </w:r>
    </w:p>
    <w:p w14:paraId="33920CC5">
      <w:pPr>
        <w:snapToGrid w:val="0"/>
        <w:spacing w:before="120" w:beforeLines="50" w:after="50"/>
        <w:jc w:val="center"/>
        <w:rPr>
          <w:rFonts w:ascii="宋体" w:hAnsi="宋体"/>
          <w:b/>
          <w:color w:val="auto"/>
          <w:sz w:val="32"/>
          <w:szCs w:val="32"/>
          <w:highlight w:val="none"/>
        </w:rPr>
      </w:pPr>
      <w:r>
        <w:rPr>
          <w:rFonts w:hint="eastAsia" w:ascii="宋体" w:hAnsi="宋体"/>
          <w:b/>
          <w:color w:val="auto"/>
          <w:sz w:val="32"/>
          <w:szCs w:val="32"/>
          <w:highlight w:val="none"/>
        </w:rPr>
        <w:t>法定代表人授权委托书</w:t>
      </w:r>
    </w:p>
    <w:p w14:paraId="0500A3E2">
      <w:pPr>
        <w:snapToGrid w:val="0"/>
        <w:spacing w:before="120" w:beforeLines="50" w:after="50"/>
        <w:jc w:val="center"/>
        <w:rPr>
          <w:rFonts w:ascii="宋体" w:hAnsi="宋体"/>
          <w:b/>
          <w:color w:val="auto"/>
          <w:sz w:val="24"/>
          <w:highlight w:val="none"/>
        </w:rPr>
      </w:pPr>
    </w:p>
    <w:p w14:paraId="049BBF11">
      <w:pPr>
        <w:pStyle w:val="14"/>
        <w:spacing w:line="440" w:lineRule="exact"/>
        <w:ind w:firstLine="420" w:firstLineChars="200"/>
        <w:rPr>
          <w:rFonts w:ascii="Times New Roman" w:hAnsi="Times New Roman"/>
          <w:color w:val="auto"/>
          <w:highlight w:val="none"/>
        </w:rPr>
      </w:pPr>
      <w:r>
        <w:rPr>
          <w:rFonts w:hint="eastAsia" w:ascii="Times New Roman" w:hAnsi="Times New Roman"/>
          <w:color w:val="auto"/>
          <w:highlight w:val="none"/>
        </w:rPr>
        <w:t>致：</w:t>
      </w:r>
      <w:r>
        <w:rPr>
          <w:rFonts w:ascii="Times New Roman" w:hAnsi="Times New Roman"/>
          <w:color w:val="auto"/>
          <w:highlight w:val="none"/>
          <w:u w:val="single"/>
        </w:rPr>
        <w:t xml:space="preserve"> </w:t>
      </w:r>
      <w:r>
        <w:rPr>
          <w:rFonts w:hint="eastAsia" w:ascii="Times New Roman" w:hAnsi="Times New Roman"/>
          <w:color w:val="auto"/>
          <w:highlight w:val="none"/>
          <w:u w:val="single"/>
        </w:rPr>
        <w:t>广西机电设备招标有限公司</w:t>
      </w:r>
      <w:r>
        <w:rPr>
          <w:rFonts w:ascii="Times New Roman" w:hAnsi="Times New Roman"/>
          <w:color w:val="auto"/>
          <w:highlight w:val="none"/>
          <w:u w:val="single"/>
        </w:rPr>
        <w:t xml:space="preserve"> </w:t>
      </w:r>
    </w:p>
    <w:p w14:paraId="65FD97DC">
      <w:pPr>
        <w:pStyle w:val="14"/>
        <w:spacing w:line="440" w:lineRule="exact"/>
        <w:ind w:firstLine="420" w:firstLineChars="200"/>
        <w:rPr>
          <w:rFonts w:ascii="Times New Roman" w:hAnsi="Times New Roman"/>
          <w:color w:val="auto"/>
          <w:highlight w:val="none"/>
        </w:rPr>
      </w:pPr>
      <w:r>
        <w:rPr>
          <w:rFonts w:hint="eastAsia" w:ascii="Times New Roman" w:hAnsi="Times New Roman"/>
          <w:color w:val="auto"/>
          <w:highlight w:val="none"/>
        </w:rPr>
        <w:t>本人</w:t>
      </w:r>
      <w:r>
        <w:rPr>
          <w:rFonts w:ascii="Times New Roman" w:hAnsi="Times New Roman"/>
          <w:color w:val="auto"/>
          <w:highlight w:val="none"/>
          <w:u w:val="single"/>
        </w:rPr>
        <w:t xml:space="preserve">        </w:t>
      </w:r>
      <w:r>
        <w:rPr>
          <w:rFonts w:hint="eastAsia" w:ascii="Times New Roman" w:hAnsi="Times New Roman"/>
          <w:color w:val="auto"/>
          <w:highlight w:val="none"/>
        </w:rPr>
        <w:t>（姓名）系</w:t>
      </w:r>
      <w:r>
        <w:rPr>
          <w:rFonts w:ascii="Times New Roman" w:hAnsi="Times New Roman"/>
          <w:color w:val="auto"/>
          <w:highlight w:val="none"/>
          <w:u w:val="single"/>
        </w:rPr>
        <w:t xml:space="preserve">                 </w:t>
      </w:r>
      <w:r>
        <w:rPr>
          <w:rFonts w:hint="eastAsia" w:ascii="Times New Roman" w:hAnsi="Times New Roman"/>
          <w:color w:val="auto"/>
          <w:highlight w:val="none"/>
        </w:rPr>
        <w:t>（投标人名称）的法定代表人，现授权我单位在职正式员工</w:t>
      </w:r>
      <w:r>
        <w:rPr>
          <w:rFonts w:ascii="Times New Roman" w:hAnsi="Times New Roman"/>
          <w:color w:val="auto"/>
          <w:highlight w:val="none"/>
          <w:u w:val="single"/>
        </w:rPr>
        <w:t xml:space="preserve">        </w:t>
      </w:r>
      <w:r>
        <w:rPr>
          <w:rFonts w:hint="eastAsia" w:ascii="Times New Roman" w:hAnsi="Times New Roman"/>
          <w:color w:val="auto"/>
          <w:highlight w:val="none"/>
        </w:rPr>
        <w:t>（姓名和职务）为我方代理人。代理人根据授权，以我方名义签署、澄清、说明、补正、递交、撤回、修改贵方组织的</w:t>
      </w:r>
      <w:r>
        <w:rPr>
          <w:rFonts w:hint="eastAsia"/>
          <w:color w:val="auto"/>
          <w:highlight w:val="none"/>
          <w:u w:val="single"/>
        </w:rPr>
        <w:t xml:space="preserve"> 宾阳县县域公共就业服务能力提升项目 </w:t>
      </w:r>
      <w:r>
        <w:rPr>
          <w:rFonts w:hint="eastAsia"/>
          <w:color w:val="auto"/>
          <w:highlight w:val="none"/>
        </w:rPr>
        <w:t>项目（项目编号：</w:t>
      </w:r>
      <w:r>
        <w:rPr>
          <w:color w:val="auto"/>
          <w:highlight w:val="none"/>
        </w:rPr>
        <w:fldChar w:fldCharType="begin"/>
      </w:r>
      <w:r>
        <w:rPr>
          <w:color w:val="auto"/>
          <w:highlight w:val="none"/>
        </w:rPr>
        <w:instrText xml:space="preserve"> HYPERLINK "https://www.gcy.zfcg.gxzf.gov.cn/gaea/api/project/flow/redirect?projectId=7228427269057806418&amp;newUrl=https://www.gcy.zfcg.gxzf.gov.cn/micro-app-back-index/blank?_flow_type_=agency&amp;_flow_projectId_=7228427269057806418&amp;_jump_page_type_=project_procurement_management_flow&amp;_app_=zcy.procurement&amp;oldUrl=https://www.gcy.zfcg.gxzf.gov.cn/project-center/_procurement_/project-result-detail/7228427269057806418&amp;utm=web-project-center-front.42c12ca3.0.0.90a2dec0b62a11f084b5c3fd09c47019" \t "https://www.gcy.zfcg.gxzf.gov.cn/project-center/_procurement_/self-project/_blank" </w:instrText>
      </w:r>
      <w:r>
        <w:rPr>
          <w:color w:val="auto"/>
          <w:highlight w:val="none"/>
        </w:rPr>
        <w:fldChar w:fldCharType="separate"/>
      </w:r>
      <w:r>
        <w:rPr>
          <w:rFonts w:hint="eastAsia" w:hAnsi="宋体"/>
          <w:color w:val="auto"/>
          <w:highlight w:val="none"/>
          <w:u w:val="single"/>
        </w:rPr>
        <w:t>NNZC2026-G3-260135-JDZB</w:t>
      </w:r>
      <w:r>
        <w:rPr>
          <w:rFonts w:hint="eastAsia" w:hAnsi="宋体"/>
          <w:color w:val="auto"/>
          <w:highlight w:val="none"/>
          <w:u w:val="single"/>
        </w:rPr>
        <w:fldChar w:fldCharType="end"/>
      </w:r>
      <w:r>
        <w:rPr>
          <w:rFonts w:hint="eastAsia"/>
          <w:color w:val="auto"/>
          <w:highlight w:val="none"/>
        </w:rPr>
        <w:t>）</w:t>
      </w:r>
      <w:r>
        <w:rPr>
          <w:rFonts w:hint="eastAsia" w:ascii="Times New Roman" w:hAnsi="Times New Roman"/>
          <w:color w:val="auto"/>
          <w:highlight w:val="none"/>
        </w:rPr>
        <w:t>的投标文件、签订合同和处理一切有关事宜，其法律后果由我方承担。</w:t>
      </w:r>
    </w:p>
    <w:p w14:paraId="4CB7C4F6">
      <w:pPr>
        <w:pStyle w:val="14"/>
        <w:spacing w:line="440" w:lineRule="exact"/>
        <w:ind w:firstLine="420" w:firstLineChars="200"/>
        <w:rPr>
          <w:rFonts w:ascii="Times New Roman" w:hAnsi="Times New Roman"/>
          <w:color w:val="auto"/>
          <w:highlight w:val="none"/>
        </w:rPr>
      </w:pPr>
      <w:r>
        <w:rPr>
          <w:rFonts w:hint="eastAsia" w:ascii="Times New Roman" w:hAnsi="Times New Roman"/>
          <w:color w:val="auto"/>
          <w:highlight w:val="none"/>
        </w:rPr>
        <w:t>本授权书于</w:t>
      </w:r>
      <w:r>
        <w:rPr>
          <w:rFonts w:hint="eastAsia"/>
          <w:color w:val="auto"/>
          <w:spacing w:val="10"/>
          <w:sz w:val="24"/>
          <w:highlight w:val="none"/>
          <w:u w:val="single"/>
        </w:rPr>
        <w:t xml:space="preserve">    </w:t>
      </w:r>
      <w:r>
        <w:rPr>
          <w:rFonts w:hint="eastAsia" w:ascii="Times New Roman" w:hAnsi="Times New Roman"/>
          <w:color w:val="auto"/>
          <w:highlight w:val="none"/>
        </w:rPr>
        <w:t>年</w:t>
      </w:r>
      <w:r>
        <w:rPr>
          <w:rFonts w:hint="eastAsia"/>
          <w:color w:val="auto"/>
          <w:spacing w:val="10"/>
          <w:sz w:val="24"/>
          <w:highlight w:val="none"/>
          <w:u w:val="single"/>
        </w:rPr>
        <w:t xml:space="preserve">    </w:t>
      </w:r>
      <w:r>
        <w:rPr>
          <w:rFonts w:hint="eastAsia" w:ascii="Times New Roman" w:hAnsi="Times New Roman"/>
          <w:color w:val="auto"/>
          <w:highlight w:val="none"/>
        </w:rPr>
        <w:t>月</w:t>
      </w:r>
      <w:r>
        <w:rPr>
          <w:rFonts w:hint="eastAsia"/>
          <w:color w:val="auto"/>
          <w:spacing w:val="10"/>
          <w:sz w:val="24"/>
          <w:highlight w:val="none"/>
          <w:u w:val="single"/>
        </w:rPr>
        <w:t xml:space="preserve">    </w:t>
      </w:r>
      <w:r>
        <w:rPr>
          <w:rFonts w:hint="eastAsia" w:ascii="Times New Roman" w:hAnsi="Times New Roman"/>
          <w:color w:val="auto"/>
          <w:highlight w:val="none"/>
        </w:rPr>
        <w:t>日签字生效，委托期限：</w:t>
      </w:r>
      <w:r>
        <w:rPr>
          <w:rFonts w:hint="eastAsia"/>
          <w:color w:val="auto"/>
          <w:spacing w:val="10"/>
          <w:sz w:val="24"/>
          <w:highlight w:val="none"/>
          <w:u w:val="single"/>
        </w:rPr>
        <w:t xml:space="preserve">    </w:t>
      </w:r>
      <w:r>
        <w:rPr>
          <w:rFonts w:hint="eastAsia" w:ascii="Times New Roman" w:hAnsi="Times New Roman"/>
          <w:color w:val="auto"/>
          <w:highlight w:val="none"/>
        </w:rPr>
        <w:t>。</w:t>
      </w:r>
    </w:p>
    <w:p w14:paraId="410BFCBD">
      <w:pPr>
        <w:pStyle w:val="14"/>
        <w:spacing w:line="360" w:lineRule="auto"/>
        <w:ind w:firstLine="420"/>
        <w:rPr>
          <w:rFonts w:ascii="Times New Roman" w:hAnsi="Times New Roman"/>
          <w:color w:val="auto"/>
          <w:highlight w:val="none"/>
        </w:rPr>
      </w:pPr>
      <w:r>
        <w:rPr>
          <w:rFonts w:hint="eastAsia" w:ascii="Times New Roman" w:hAnsi="Times New Roman"/>
          <w:color w:val="auto"/>
          <w:highlight w:val="none"/>
        </w:rPr>
        <w:t>代理人无转委托权。</w:t>
      </w:r>
    </w:p>
    <w:p w14:paraId="03EBC3AB">
      <w:pPr>
        <w:pStyle w:val="14"/>
        <w:spacing w:line="360" w:lineRule="auto"/>
        <w:ind w:firstLine="420"/>
        <w:rPr>
          <w:rFonts w:ascii="Times New Roman" w:hAnsi="Times New Roman"/>
          <w:color w:val="auto"/>
          <w:highlight w:val="none"/>
        </w:rPr>
      </w:pPr>
    </w:p>
    <w:p w14:paraId="06BE24E8">
      <w:pPr>
        <w:pStyle w:val="14"/>
        <w:spacing w:line="360" w:lineRule="auto"/>
        <w:ind w:firstLine="420"/>
        <w:rPr>
          <w:rFonts w:ascii="Times New Roman" w:hAnsi="Times New Roman"/>
          <w:color w:val="auto"/>
          <w:highlight w:val="none"/>
          <w:u w:val="single"/>
        </w:rPr>
      </w:pPr>
      <w:r>
        <w:rPr>
          <w:rFonts w:hint="eastAsia" w:ascii="Times New Roman" w:hAnsi="Times New Roman"/>
          <w:color w:val="auto"/>
          <w:highlight w:val="none"/>
        </w:rPr>
        <w:t>投标人（或联合体投标</w:t>
      </w:r>
      <w:r>
        <w:rPr>
          <w:rFonts w:hint="eastAsia" w:cs="宋体"/>
          <w:color w:val="auto"/>
          <w:kern w:val="0"/>
          <w:szCs w:val="21"/>
          <w:highlight w:val="none"/>
        </w:rPr>
        <w:t>牵头人名称</w:t>
      </w:r>
      <w:r>
        <w:rPr>
          <w:rFonts w:hint="eastAsia" w:ascii="Times New Roman" w:hAnsi="Times New Roman"/>
          <w:color w:val="auto"/>
          <w:highlight w:val="none"/>
        </w:rPr>
        <w:t>）（盖单位公章）：</w:t>
      </w:r>
      <w:r>
        <w:rPr>
          <w:rFonts w:ascii="Times New Roman" w:hAnsi="Times New Roman"/>
          <w:color w:val="auto"/>
          <w:highlight w:val="none"/>
          <w:u w:val="single"/>
        </w:rPr>
        <w:t xml:space="preserve">                                    </w:t>
      </w:r>
    </w:p>
    <w:p w14:paraId="479A8B15">
      <w:pPr>
        <w:pStyle w:val="14"/>
        <w:spacing w:line="360" w:lineRule="auto"/>
        <w:ind w:firstLine="420"/>
        <w:rPr>
          <w:rFonts w:ascii="Times New Roman" w:hAnsi="Times New Roman"/>
          <w:color w:val="auto"/>
          <w:highlight w:val="none"/>
          <w:u w:val="single"/>
        </w:rPr>
      </w:pPr>
      <w:r>
        <w:rPr>
          <w:rFonts w:hint="eastAsia" w:ascii="Times New Roman" w:hAnsi="Times New Roman"/>
          <w:color w:val="auto"/>
          <w:highlight w:val="none"/>
        </w:rPr>
        <w:t>法定代表人（签字）：</w:t>
      </w:r>
      <w:r>
        <w:rPr>
          <w:rFonts w:ascii="Times New Roman" w:hAnsi="Times New Roman"/>
          <w:color w:val="auto"/>
          <w:highlight w:val="none"/>
          <w:u w:val="single"/>
        </w:rPr>
        <w:t xml:space="preserve">                                </w:t>
      </w:r>
    </w:p>
    <w:p w14:paraId="0ED68451">
      <w:pPr>
        <w:pStyle w:val="14"/>
        <w:spacing w:line="360" w:lineRule="auto"/>
        <w:ind w:firstLine="420"/>
        <w:rPr>
          <w:rFonts w:ascii="Times New Roman" w:hAnsi="Times New Roman"/>
          <w:color w:val="auto"/>
          <w:highlight w:val="none"/>
          <w:u w:val="single"/>
        </w:rPr>
      </w:pPr>
      <w:r>
        <w:rPr>
          <w:rFonts w:hint="eastAsia" w:ascii="Times New Roman" w:hAnsi="Times New Roman"/>
          <w:color w:val="auto"/>
          <w:highlight w:val="none"/>
        </w:rPr>
        <w:t>法定代表人身份证号码：</w:t>
      </w:r>
      <w:r>
        <w:rPr>
          <w:rFonts w:ascii="Times New Roman" w:hAnsi="Times New Roman"/>
          <w:color w:val="auto"/>
          <w:highlight w:val="none"/>
          <w:u w:val="single"/>
        </w:rPr>
        <w:t xml:space="preserve">                                   </w:t>
      </w:r>
    </w:p>
    <w:p w14:paraId="569EC92D">
      <w:pPr>
        <w:pStyle w:val="14"/>
        <w:spacing w:line="360" w:lineRule="auto"/>
        <w:ind w:firstLine="420" w:firstLineChars="200"/>
        <w:rPr>
          <w:rFonts w:ascii="Times New Roman" w:hAnsi="Times New Roman"/>
          <w:color w:val="auto"/>
          <w:highlight w:val="none"/>
        </w:rPr>
      </w:pPr>
      <w:r>
        <w:rPr>
          <w:rFonts w:hint="eastAsia" w:ascii="Times New Roman" w:hAnsi="Times New Roman"/>
          <w:color w:val="auto"/>
          <w:highlight w:val="none"/>
        </w:rPr>
        <w:t>委托代理人（签字）：</w:t>
      </w:r>
      <w:r>
        <w:rPr>
          <w:rFonts w:ascii="Times New Roman" w:hAnsi="Times New Roman"/>
          <w:color w:val="auto"/>
          <w:highlight w:val="none"/>
          <w:u w:val="single"/>
        </w:rPr>
        <w:t xml:space="preserve">                                </w:t>
      </w:r>
    </w:p>
    <w:p w14:paraId="2498B491">
      <w:pPr>
        <w:pStyle w:val="14"/>
        <w:spacing w:line="360" w:lineRule="auto"/>
        <w:ind w:firstLine="420"/>
        <w:rPr>
          <w:rFonts w:ascii="Times New Roman" w:hAnsi="Times New Roman"/>
          <w:color w:val="auto"/>
          <w:highlight w:val="none"/>
          <w:u w:val="single"/>
        </w:rPr>
      </w:pPr>
      <w:r>
        <w:rPr>
          <w:rFonts w:hint="eastAsia" w:ascii="Times New Roman" w:hAnsi="Times New Roman"/>
          <w:color w:val="auto"/>
          <w:highlight w:val="none"/>
        </w:rPr>
        <w:t>委托代理人身份证号码：</w:t>
      </w:r>
      <w:r>
        <w:rPr>
          <w:rFonts w:ascii="Times New Roman" w:hAnsi="Times New Roman"/>
          <w:color w:val="auto"/>
          <w:highlight w:val="none"/>
          <w:u w:val="single"/>
        </w:rPr>
        <w:t xml:space="preserve">                                   </w:t>
      </w:r>
    </w:p>
    <w:p w14:paraId="1153E3C3">
      <w:pPr>
        <w:pStyle w:val="14"/>
        <w:spacing w:line="360" w:lineRule="auto"/>
        <w:ind w:firstLine="420"/>
        <w:rPr>
          <w:rFonts w:ascii="Times New Roman" w:hAnsi="Times New Roman"/>
          <w:color w:val="auto"/>
          <w:highlight w:val="none"/>
          <w:u w:val="single"/>
        </w:rPr>
      </w:pPr>
    </w:p>
    <w:p w14:paraId="5A557572">
      <w:pPr>
        <w:pStyle w:val="14"/>
        <w:spacing w:line="360" w:lineRule="auto"/>
        <w:ind w:firstLine="420"/>
        <w:rPr>
          <w:rFonts w:ascii="Times New Roman" w:hAnsi="Times New Roman"/>
          <w:color w:val="auto"/>
          <w:highlight w:val="none"/>
          <w:u w:val="single"/>
        </w:rPr>
      </w:pPr>
      <w:r>
        <w:rPr>
          <w:rFonts w:hint="eastAsia" w:cs="宋体"/>
          <w:color w:val="auto"/>
          <w:kern w:val="0"/>
          <w:szCs w:val="21"/>
          <w:highlight w:val="none"/>
        </w:rPr>
        <w:t>成员一名称：</w:t>
      </w:r>
      <w:r>
        <w:rPr>
          <w:rFonts w:hint="eastAsia" w:ascii="Times New Roman" w:hAnsi="Times New Roman"/>
          <w:color w:val="auto"/>
          <w:highlight w:val="none"/>
        </w:rPr>
        <w:t>（盖单位公章）：</w:t>
      </w:r>
      <w:r>
        <w:rPr>
          <w:rFonts w:ascii="Times New Roman" w:hAnsi="Times New Roman"/>
          <w:color w:val="auto"/>
          <w:highlight w:val="none"/>
          <w:u w:val="single"/>
        </w:rPr>
        <w:t xml:space="preserve">                                    </w:t>
      </w:r>
    </w:p>
    <w:p w14:paraId="1B878CCE">
      <w:pPr>
        <w:pStyle w:val="14"/>
        <w:spacing w:line="360" w:lineRule="auto"/>
        <w:ind w:firstLine="420"/>
        <w:rPr>
          <w:rFonts w:ascii="Times New Roman" w:hAnsi="Times New Roman"/>
          <w:color w:val="auto"/>
          <w:highlight w:val="none"/>
          <w:u w:val="single"/>
        </w:rPr>
      </w:pPr>
      <w:r>
        <w:rPr>
          <w:rFonts w:hint="eastAsia" w:ascii="Times New Roman" w:hAnsi="Times New Roman"/>
          <w:color w:val="auto"/>
          <w:highlight w:val="none"/>
        </w:rPr>
        <w:t>法定代表人（签字）：</w:t>
      </w:r>
      <w:r>
        <w:rPr>
          <w:rFonts w:ascii="Times New Roman" w:hAnsi="Times New Roman"/>
          <w:color w:val="auto"/>
          <w:highlight w:val="none"/>
          <w:u w:val="single"/>
        </w:rPr>
        <w:t xml:space="preserve">                                </w:t>
      </w:r>
    </w:p>
    <w:p w14:paraId="3A316E03">
      <w:pPr>
        <w:pStyle w:val="14"/>
        <w:spacing w:line="360" w:lineRule="auto"/>
        <w:ind w:firstLine="420"/>
        <w:rPr>
          <w:rFonts w:ascii="Times New Roman" w:hAnsi="Times New Roman"/>
          <w:color w:val="auto"/>
          <w:highlight w:val="none"/>
          <w:u w:val="single"/>
        </w:rPr>
      </w:pPr>
    </w:p>
    <w:p w14:paraId="15564541">
      <w:pPr>
        <w:autoSpaceDE w:val="0"/>
        <w:autoSpaceDN w:val="0"/>
        <w:adjustRightInd w:val="0"/>
        <w:spacing w:line="360" w:lineRule="auto"/>
        <w:ind w:firstLine="420" w:firstLineChars="200"/>
        <w:jc w:val="left"/>
        <w:rPr>
          <w:rFonts w:ascii="宋体" w:cs="宋体"/>
          <w:color w:val="auto"/>
          <w:kern w:val="0"/>
          <w:szCs w:val="21"/>
          <w:highlight w:val="none"/>
        </w:rPr>
      </w:pPr>
      <w:r>
        <w:rPr>
          <w:rFonts w:hint="eastAsia" w:ascii="宋体" w:cs="宋体"/>
          <w:color w:val="auto"/>
          <w:kern w:val="0"/>
          <w:szCs w:val="21"/>
          <w:highlight w:val="none"/>
        </w:rPr>
        <w:t>成员二名称：</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（盖单位公章）</w:t>
      </w:r>
    </w:p>
    <w:p w14:paraId="29AB9220">
      <w:pPr>
        <w:autoSpaceDE w:val="0"/>
        <w:autoSpaceDN w:val="0"/>
        <w:adjustRightInd w:val="0"/>
        <w:spacing w:line="360" w:lineRule="auto"/>
        <w:ind w:firstLine="420" w:firstLineChars="200"/>
        <w:jc w:val="left"/>
        <w:rPr>
          <w:rFonts w:ascii="宋体" w:cs="宋体"/>
          <w:color w:val="auto"/>
          <w:kern w:val="0"/>
          <w:szCs w:val="21"/>
          <w:highlight w:val="none"/>
        </w:rPr>
      </w:pPr>
      <w:r>
        <w:rPr>
          <w:rFonts w:hint="eastAsia" w:ascii="宋体" w:cs="宋体"/>
          <w:color w:val="auto"/>
          <w:kern w:val="0"/>
          <w:szCs w:val="21"/>
          <w:highlight w:val="none"/>
        </w:rPr>
        <w:t>法定代表人或其委托代理人：</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（签字）</w:t>
      </w:r>
    </w:p>
    <w:p w14:paraId="3611A25A">
      <w:pPr>
        <w:pStyle w:val="14"/>
        <w:ind w:firstLine="420" w:firstLineChars="200"/>
        <w:rPr>
          <w:color w:val="auto"/>
          <w:highlight w:val="none"/>
        </w:rPr>
      </w:pPr>
      <w:r>
        <w:rPr>
          <w:rFonts w:hint="eastAsia"/>
          <w:color w:val="auto"/>
          <w:highlight w:val="none"/>
          <w:lang w:eastAsia="zh-CN"/>
        </w:rPr>
        <w:t>……</w:t>
      </w:r>
    </w:p>
    <w:p w14:paraId="5D8E3088">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注：</w:t>
      </w:r>
    </w:p>
    <w:p w14:paraId="32E8C971">
      <w:pPr>
        <w:spacing w:line="360" w:lineRule="auto"/>
        <w:rPr>
          <w:rFonts w:ascii="仿宋" w:hAnsi="仿宋" w:eastAsia="仿宋" w:cs="仿宋"/>
          <w:color w:val="auto"/>
          <w:szCs w:val="21"/>
          <w:highlight w:val="none"/>
        </w:rPr>
      </w:pPr>
      <w:r>
        <w:rPr>
          <w:rFonts w:hint="eastAsia" w:ascii="仿宋" w:hAnsi="仿宋" w:eastAsia="仿宋" w:cs="仿宋"/>
          <w:color w:val="auto"/>
          <w:szCs w:val="21"/>
          <w:highlight w:val="none"/>
        </w:rPr>
        <w:t>1.法定代表人和委托代理人必须在授权委托书上亲笔签名，不得使用印章、签名章或者其他电子制版签名代替，</w:t>
      </w:r>
      <w:r>
        <w:rPr>
          <w:rFonts w:hint="eastAsia" w:ascii="仿宋" w:hAnsi="仿宋" w:eastAsia="仿宋" w:cs="仿宋"/>
          <w:b/>
          <w:bCs/>
          <w:color w:val="auto"/>
          <w:szCs w:val="21"/>
          <w:highlight w:val="none"/>
        </w:rPr>
        <w:t>否则作无效投标处理</w:t>
      </w:r>
      <w:r>
        <w:rPr>
          <w:rFonts w:hint="eastAsia" w:ascii="仿宋" w:hAnsi="仿宋" w:eastAsia="仿宋" w:cs="仿宋"/>
          <w:color w:val="auto"/>
          <w:szCs w:val="21"/>
          <w:highlight w:val="none"/>
        </w:rPr>
        <w:t>；</w:t>
      </w:r>
    </w:p>
    <w:p w14:paraId="2784CD71">
      <w:pPr>
        <w:spacing w:line="360" w:lineRule="auto"/>
        <w:jc w:val="left"/>
        <w:rPr>
          <w:rFonts w:ascii="仿宋" w:hAnsi="仿宋" w:eastAsia="仿宋" w:cs="仿宋"/>
          <w:color w:val="auto"/>
          <w:szCs w:val="21"/>
          <w:highlight w:val="none"/>
        </w:rPr>
      </w:pPr>
      <w:r>
        <w:rPr>
          <w:rFonts w:hint="eastAsia" w:ascii="仿宋" w:hAnsi="仿宋" w:eastAsia="仿宋" w:cs="仿宋"/>
          <w:color w:val="auto"/>
          <w:szCs w:val="21"/>
          <w:highlight w:val="none"/>
        </w:rPr>
        <w:t>2.以联合体形式投标的，本授权委托书应由联合体牵头人的法定代表人按上述规定签署。</w:t>
      </w:r>
    </w:p>
    <w:p w14:paraId="2CCA3647">
      <w:pPr>
        <w:snapToGrid w:val="0"/>
        <w:spacing w:before="50" w:after="120" w:afterLines="50" w:line="360" w:lineRule="auto"/>
        <w:jc w:val="left"/>
        <w:rPr>
          <w:rFonts w:ascii="仿宋" w:hAnsi="仿宋" w:eastAsia="仿宋" w:cs="仿宋"/>
          <w:color w:val="auto"/>
          <w:szCs w:val="21"/>
          <w:highlight w:val="none"/>
        </w:rPr>
      </w:pPr>
      <w:r>
        <w:rPr>
          <w:rFonts w:hint="eastAsia" w:ascii="仿宋" w:hAnsi="仿宋" w:eastAsia="仿宋" w:cs="仿宋"/>
          <w:color w:val="auto"/>
          <w:szCs w:val="21"/>
          <w:highlight w:val="none"/>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64910D8B">
      <w:pPr>
        <w:snapToGrid w:val="0"/>
        <w:spacing w:before="50" w:after="120" w:afterLines="50" w:line="360" w:lineRule="auto"/>
        <w:jc w:val="left"/>
        <w:rPr>
          <w:rFonts w:ascii="仿宋" w:hAnsi="仿宋" w:eastAsia="仿宋" w:cs="仿宋"/>
          <w:color w:val="auto"/>
          <w:szCs w:val="21"/>
          <w:highlight w:val="none"/>
        </w:rPr>
      </w:pPr>
      <w:r>
        <w:rPr>
          <w:rFonts w:hint="eastAsia" w:ascii="仿宋" w:hAnsi="仿宋" w:eastAsia="仿宋" w:cs="仿宋"/>
          <w:color w:val="auto"/>
          <w:szCs w:val="21"/>
          <w:highlight w:val="none"/>
        </w:rPr>
        <w:t>4. 若为联合体投标须各方签字或盖章。</w:t>
      </w:r>
    </w:p>
    <w:p w14:paraId="2BC17FD7">
      <w:pPr>
        <w:spacing w:line="360" w:lineRule="auto"/>
        <w:rPr>
          <w:rFonts w:ascii="宋体"/>
          <w:b/>
          <w:color w:val="auto"/>
          <w:sz w:val="24"/>
          <w:highlight w:val="none"/>
        </w:rPr>
      </w:pPr>
    </w:p>
    <w:p w14:paraId="395215A0">
      <w:pPr>
        <w:spacing w:line="360" w:lineRule="auto"/>
        <w:rPr>
          <w:b/>
          <w:color w:val="auto"/>
          <w:sz w:val="24"/>
          <w:highlight w:val="none"/>
        </w:rPr>
      </w:pPr>
      <w:r>
        <w:rPr>
          <w:rFonts w:hint="eastAsia" w:ascii="宋体"/>
          <w:b/>
          <w:color w:val="auto"/>
          <w:sz w:val="24"/>
          <w:highlight w:val="none"/>
        </w:rPr>
        <w:t>附件：</w:t>
      </w:r>
    </w:p>
    <w:tbl>
      <w:tblPr>
        <w:tblStyle w:val="35"/>
        <w:tblpPr w:leftFromText="180" w:rightFromText="180" w:vertAnchor="text" w:horzAnchor="margin" w:tblpY="263"/>
        <w:tblW w:w="88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0"/>
      </w:tblGrid>
      <w:tr w14:paraId="47005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6" w:hRule="atLeast"/>
        </w:trPr>
        <w:tc>
          <w:tcPr>
            <w:tcW w:w="8860" w:type="dxa"/>
            <w:tcBorders>
              <w:top w:val="single" w:color="auto" w:sz="4" w:space="0"/>
              <w:left w:val="single" w:color="auto" w:sz="4" w:space="0"/>
              <w:bottom w:val="single" w:color="auto" w:sz="4" w:space="0"/>
              <w:right w:val="single" w:color="auto" w:sz="4" w:space="0"/>
            </w:tcBorders>
          </w:tcPr>
          <w:p w14:paraId="1D146FA6">
            <w:pPr>
              <w:spacing w:line="360" w:lineRule="auto"/>
              <w:rPr>
                <w:rFonts w:ascii="宋体"/>
                <w:b/>
                <w:color w:val="auto"/>
                <w:sz w:val="24"/>
                <w:highlight w:val="none"/>
              </w:rPr>
            </w:pPr>
          </w:p>
          <w:p w14:paraId="340BE296">
            <w:pPr>
              <w:spacing w:line="360" w:lineRule="auto"/>
              <w:rPr>
                <w:rFonts w:ascii="宋体"/>
                <w:b/>
                <w:color w:val="auto"/>
                <w:sz w:val="24"/>
                <w:highlight w:val="none"/>
              </w:rPr>
            </w:pPr>
            <w:r>
              <w:rPr>
                <w:rFonts w:hint="eastAsia" w:ascii="宋体"/>
                <w:b/>
                <w:color w:val="auto"/>
                <w:sz w:val="24"/>
                <w:highlight w:val="none"/>
              </w:rPr>
              <w:t>全权代表身份证复印件</w:t>
            </w:r>
            <w:r>
              <w:rPr>
                <w:rFonts w:hint="eastAsia" w:ascii="宋体"/>
                <w:b/>
                <w:color w:val="auto"/>
                <w:sz w:val="24"/>
                <w:highlight w:val="none"/>
                <w:lang w:eastAsia="zh-CN"/>
              </w:rPr>
              <w:t>粘贴</w:t>
            </w:r>
            <w:r>
              <w:rPr>
                <w:rFonts w:hint="eastAsia" w:ascii="宋体"/>
                <w:b/>
                <w:color w:val="auto"/>
                <w:sz w:val="24"/>
                <w:highlight w:val="none"/>
              </w:rPr>
              <w:t>处（正、反面）</w:t>
            </w:r>
          </w:p>
        </w:tc>
      </w:tr>
    </w:tbl>
    <w:p w14:paraId="745F3E06">
      <w:pPr>
        <w:snapToGrid w:val="0"/>
        <w:spacing w:before="50" w:after="120" w:afterLines="50" w:line="360" w:lineRule="auto"/>
        <w:jc w:val="left"/>
        <w:rPr>
          <w:rFonts w:ascii="仿宋_GB2312" w:hAnsi="仿宋_GB2312" w:eastAsia="仿宋_GB2312" w:cs="仿宋_GB2312"/>
          <w:color w:val="auto"/>
          <w:szCs w:val="21"/>
          <w:highlight w:val="none"/>
        </w:rPr>
      </w:pPr>
    </w:p>
    <w:p w14:paraId="04DB7228">
      <w:pPr>
        <w:snapToGrid w:val="0"/>
        <w:spacing w:before="120" w:beforeLines="50" w:after="50"/>
        <w:ind w:firstLine="566" w:firstLineChars="236"/>
        <w:jc w:val="center"/>
        <w:rPr>
          <w:rFonts w:ascii="宋体" w:hAnsi="宋体"/>
          <w:color w:val="auto"/>
          <w:highlight w:val="none"/>
        </w:rPr>
      </w:pPr>
      <w:r>
        <w:rPr>
          <w:rFonts w:hint="eastAsia" w:ascii="宋体" w:hAnsi="宋体"/>
          <w:color w:val="auto"/>
          <w:sz w:val="24"/>
          <w:highlight w:val="none"/>
        </w:rPr>
        <w:t xml:space="preserve"> </w:t>
      </w:r>
      <w:r>
        <w:rPr>
          <w:rFonts w:hint="eastAsia" w:ascii="宋体" w:hAnsi="宋体"/>
          <w:color w:val="auto"/>
          <w:sz w:val="24"/>
          <w:highlight w:val="none"/>
        </w:rPr>
        <w:br w:type="page"/>
      </w:r>
    </w:p>
    <w:p w14:paraId="71B71350">
      <w:pPr>
        <w:jc w:val="center"/>
        <w:rPr>
          <w:b/>
          <w:bCs/>
          <w:color w:val="auto"/>
          <w:sz w:val="30"/>
          <w:szCs w:val="30"/>
          <w:highlight w:val="none"/>
        </w:rPr>
      </w:pPr>
      <w:r>
        <w:rPr>
          <w:rFonts w:hint="eastAsia"/>
          <w:b/>
          <w:bCs/>
          <w:color w:val="auto"/>
          <w:sz w:val="30"/>
          <w:szCs w:val="30"/>
          <w:highlight w:val="none"/>
        </w:rPr>
        <w:t>四、商务条款偏离表</w:t>
      </w:r>
    </w:p>
    <w:p w14:paraId="176CD967">
      <w:pPr>
        <w:jc w:val="center"/>
        <w:rPr>
          <w:rFonts w:ascii="宋体" w:hAnsi="宋体"/>
          <w:b/>
          <w:color w:val="auto"/>
          <w:sz w:val="24"/>
          <w:szCs w:val="20"/>
          <w:highlight w:val="none"/>
        </w:rPr>
      </w:pPr>
      <w:r>
        <w:rPr>
          <w:rFonts w:hint="eastAsia" w:ascii="宋体" w:hAnsi="宋体"/>
          <w:color w:val="auto"/>
          <w:sz w:val="30"/>
          <w:szCs w:val="20"/>
          <w:highlight w:val="none"/>
          <w:lang w:eastAsia="zh-CN"/>
        </w:rPr>
        <w:t>（</w:t>
      </w:r>
      <w:r>
        <w:rPr>
          <w:rFonts w:hint="eastAsia" w:ascii="宋体" w:hAnsi="宋体"/>
          <w:color w:val="auto"/>
          <w:sz w:val="30"/>
          <w:szCs w:val="20"/>
          <w:highlight w:val="none"/>
        </w:rPr>
        <w:t>注：按项目需求表具体项目修改</w:t>
      </w:r>
      <w:r>
        <w:rPr>
          <w:rFonts w:hint="eastAsia" w:ascii="宋体" w:hAnsi="宋体"/>
          <w:color w:val="auto"/>
          <w:sz w:val="30"/>
          <w:szCs w:val="20"/>
          <w:highlight w:val="none"/>
          <w:lang w:eastAsia="zh-CN"/>
        </w:rPr>
        <w:t>）</w:t>
      </w:r>
    </w:p>
    <w:p w14:paraId="45DD0947">
      <w:pPr>
        <w:snapToGrid w:val="0"/>
        <w:spacing w:before="50"/>
        <w:jc w:val="left"/>
        <w:rPr>
          <w:rFonts w:ascii="宋体" w:hAnsi="宋体"/>
          <w:color w:val="auto"/>
          <w:sz w:val="24"/>
          <w:highlight w:val="none"/>
        </w:rPr>
      </w:pPr>
    </w:p>
    <w:p w14:paraId="4BB9BFDC">
      <w:pPr>
        <w:pStyle w:val="14"/>
        <w:spacing w:line="360" w:lineRule="auto"/>
        <w:ind w:left="-424" w:leftChars="-202" w:firstLine="846"/>
        <w:rPr>
          <w:rFonts w:hAnsi="宋体"/>
          <w:color w:val="auto"/>
          <w:sz w:val="24"/>
          <w:szCs w:val="24"/>
          <w:highlight w:val="none"/>
        </w:rPr>
      </w:pPr>
      <w:r>
        <w:rPr>
          <w:rFonts w:hint="eastAsia" w:ascii="Times New Roman" w:hAnsi="Times New Roman"/>
          <w:color w:val="auto"/>
          <w:highlight w:val="none"/>
        </w:rPr>
        <w:t>请逐条对应本项目招标文件第二章“服务需求一览表”中“商务条款”的要求，详细填写相应的具体内容。“偏离说明”一栏应当选择“正偏离”、“负偏离”或“无偏离”进行填写。</w:t>
      </w:r>
    </w:p>
    <w:tbl>
      <w:tblPr>
        <w:tblStyle w:val="35"/>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568"/>
        <w:gridCol w:w="2705"/>
        <w:gridCol w:w="2516"/>
      </w:tblGrid>
      <w:tr w14:paraId="5898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vAlign w:val="center"/>
          </w:tcPr>
          <w:p w14:paraId="3002374F">
            <w:pPr>
              <w:jc w:val="center"/>
              <w:rPr>
                <w:rFonts w:ascii="宋体" w:hAnsi="宋体"/>
                <w:color w:val="auto"/>
                <w:szCs w:val="21"/>
                <w:highlight w:val="none"/>
              </w:rPr>
            </w:pPr>
            <w:r>
              <w:rPr>
                <w:rFonts w:hint="eastAsia" w:ascii="宋体" w:hAnsi="宋体"/>
                <w:color w:val="auto"/>
                <w:szCs w:val="21"/>
                <w:highlight w:val="none"/>
              </w:rPr>
              <w:t>项号</w:t>
            </w:r>
          </w:p>
        </w:tc>
        <w:tc>
          <w:tcPr>
            <w:tcW w:w="3568" w:type="dxa"/>
            <w:tcBorders>
              <w:top w:val="single" w:color="auto" w:sz="4" w:space="0"/>
              <w:left w:val="single" w:color="auto" w:sz="4" w:space="0"/>
              <w:bottom w:val="single" w:color="auto" w:sz="4" w:space="0"/>
              <w:right w:val="single" w:color="auto" w:sz="4" w:space="0"/>
            </w:tcBorders>
            <w:noWrap/>
            <w:vAlign w:val="center"/>
          </w:tcPr>
          <w:p w14:paraId="6010AA1D">
            <w:pPr>
              <w:jc w:val="center"/>
              <w:rPr>
                <w:rFonts w:ascii="宋体" w:hAnsi="宋体"/>
                <w:color w:val="auto"/>
                <w:szCs w:val="21"/>
                <w:highlight w:val="none"/>
              </w:rPr>
            </w:pPr>
            <w:r>
              <w:rPr>
                <w:rFonts w:hint="eastAsia" w:ascii="宋体" w:hAnsi="宋体"/>
                <w:color w:val="auto"/>
                <w:szCs w:val="21"/>
                <w:highlight w:val="none"/>
              </w:rPr>
              <w:t>招标文件的商务需求</w:t>
            </w:r>
          </w:p>
        </w:tc>
        <w:tc>
          <w:tcPr>
            <w:tcW w:w="2705" w:type="dxa"/>
            <w:tcBorders>
              <w:top w:val="single" w:color="auto" w:sz="4" w:space="0"/>
              <w:left w:val="single" w:color="auto" w:sz="4" w:space="0"/>
              <w:right w:val="single" w:color="auto" w:sz="4" w:space="0"/>
            </w:tcBorders>
            <w:vAlign w:val="center"/>
          </w:tcPr>
          <w:p w14:paraId="7A5B0142">
            <w:pPr>
              <w:jc w:val="center"/>
              <w:rPr>
                <w:rFonts w:ascii="宋体" w:hAnsi="宋体"/>
                <w:color w:val="auto"/>
                <w:szCs w:val="21"/>
                <w:highlight w:val="none"/>
              </w:rPr>
            </w:pPr>
            <w:r>
              <w:rPr>
                <w:rFonts w:hint="eastAsia" w:ascii="宋体" w:hAnsi="宋体"/>
                <w:color w:val="auto"/>
                <w:szCs w:val="21"/>
                <w:highlight w:val="none"/>
              </w:rPr>
              <w:t>投标文件承诺的商务条款</w:t>
            </w:r>
          </w:p>
        </w:tc>
        <w:tc>
          <w:tcPr>
            <w:tcW w:w="2516" w:type="dxa"/>
            <w:tcBorders>
              <w:top w:val="single" w:color="auto" w:sz="4" w:space="0"/>
              <w:left w:val="single" w:color="auto" w:sz="4" w:space="0"/>
              <w:right w:val="single" w:color="auto" w:sz="4" w:space="0"/>
            </w:tcBorders>
            <w:vAlign w:val="center"/>
          </w:tcPr>
          <w:p w14:paraId="104C424E">
            <w:pPr>
              <w:jc w:val="center"/>
              <w:rPr>
                <w:rFonts w:ascii="宋体" w:hAnsi="宋体"/>
                <w:color w:val="auto"/>
                <w:szCs w:val="21"/>
                <w:highlight w:val="none"/>
              </w:rPr>
            </w:pPr>
            <w:r>
              <w:rPr>
                <w:rFonts w:hint="eastAsia" w:ascii="宋体" w:hAnsi="宋体"/>
                <w:color w:val="auto"/>
                <w:szCs w:val="21"/>
                <w:highlight w:val="none"/>
              </w:rPr>
              <w:t>偏离说明</w:t>
            </w:r>
          </w:p>
        </w:tc>
      </w:tr>
      <w:tr w14:paraId="0CAF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6B4AA417">
            <w:pPr>
              <w:spacing w:line="340" w:lineRule="exact"/>
              <w:rPr>
                <w:rFonts w:ascii="宋体" w:hAnsi="宋体"/>
                <w:color w:val="auto"/>
                <w:szCs w:val="21"/>
                <w:highlight w:val="none"/>
              </w:rPr>
            </w:pPr>
            <w:r>
              <w:rPr>
                <w:rFonts w:hint="eastAsia" w:ascii="宋体" w:hAnsi="宋体"/>
                <w:color w:val="auto"/>
                <w:szCs w:val="21"/>
                <w:highlight w:val="none"/>
              </w:rPr>
              <w:t>一</w:t>
            </w:r>
          </w:p>
        </w:tc>
        <w:tc>
          <w:tcPr>
            <w:tcW w:w="3568" w:type="dxa"/>
            <w:tcBorders>
              <w:top w:val="single" w:color="auto" w:sz="4" w:space="0"/>
              <w:left w:val="single" w:color="auto" w:sz="4" w:space="0"/>
              <w:bottom w:val="single" w:color="auto" w:sz="4" w:space="0"/>
              <w:right w:val="single" w:color="auto" w:sz="4" w:space="0"/>
            </w:tcBorders>
            <w:noWrap/>
          </w:tcPr>
          <w:p w14:paraId="2985F853">
            <w:pPr>
              <w:rPr>
                <w:rFonts w:ascii="宋体" w:hAnsi="宋体"/>
                <w:color w:val="auto"/>
                <w:szCs w:val="21"/>
                <w:highlight w:val="none"/>
              </w:rPr>
            </w:pPr>
            <w:r>
              <w:rPr>
                <w:rFonts w:hint="eastAsia" w:ascii="宋体" w:hAnsi="宋体"/>
                <w:color w:val="auto"/>
                <w:szCs w:val="21"/>
                <w:highlight w:val="none"/>
              </w:rPr>
              <w:t>1  ……</w:t>
            </w:r>
          </w:p>
        </w:tc>
        <w:tc>
          <w:tcPr>
            <w:tcW w:w="2705" w:type="dxa"/>
            <w:tcBorders>
              <w:top w:val="single" w:color="auto" w:sz="4" w:space="0"/>
              <w:left w:val="single" w:color="auto" w:sz="4" w:space="0"/>
              <w:right w:val="single" w:color="auto" w:sz="4" w:space="0"/>
            </w:tcBorders>
          </w:tcPr>
          <w:p w14:paraId="13944645">
            <w:pPr>
              <w:rPr>
                <w:rFonts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right w:val="single" w:color="auto" w:sz="4" w:space="0"/>
            </w:tcBorders>
          </w:tcPr>
          <w:p w14:paraId="3A588ECC">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726AF7C1">
            <w:pPr>
              <w:spacing w:line="300" w:lineRule="exact"/>
              <w:rPr>
                <w:rFonts w:ascii="宋体" w:hAnsi="宋体"/>
                <w:color w:val="auto"/>
                <w:szCs w:val="21"/>
                <w:highlight w:val="none"/>
              </w:rPr>
            </w:pPr>
          </w:p>
        </w:tc>
      </w:tr>
      <w:tr w14:paraId="33D8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4A2E3AB0">
            <w:pPr>
              <w:spacing w:line="340" w:lineRule="exact"/>
              <w:rPr>
                <w:rFonts w:ascii="宋体" w:hAnsi="宋体"/>
                <w:color w:val="auto"/>
                <w:szCs w:val="21"/>
                <w:highlight w:val="none"/>
              </w:rPr>
            </w:pPr>
          </w:p>
        </w:tc>
        <w:tc>
          <w:tcPr>
            <w:tcW w:w="3568" w:type="dxa"/>
            <w:tcBorders>
              <w:top w:val="single" w:color="auto" w:sz="4" w:space="0"/>
              <w:left w:val="single" w:color="auto" w:sz="4" w:space="0"/>
              <w:bottom w:val="single" w:color="auto" w:sz="4" w:space="0"/>
              <w:right w:val="single" w:color="auto" w:sz="4" w:space="0"/>
            </w:tcBorders>
            <w:noWrap/>
          </w:tcPr>
          <w:p w14:paraId="6A8E4182">
            <w:pPr>
              <w:spacing w:line="340" w:lineRule="exact"/>
              <w:rPr>
                <w:rFonts w:ascii="宋体" w:hAnsi="宋体"/>
                <w:color w:val="auto"/>
                <w:szCs w:val="21"/>
                <w:highlight w:val="none"/>
              </w:rPr>
            </w:pPr>
            <w:r>
              <w:rPr>
                <w:rFonts w:hint="eastAsia" w:ascii="宋体" w:hAnsi="宋体"/>
                <w:color w:val="auto"/>
                <w:szCs w:val="21"/>
                <w:highlight w:val="none"/>
              </w:rPr>
              <w:t>2  ……</w:t>
            </w:r>
          </w:p>
          <w:p w14:paraId="6E7414AE">
            <w:pPr>
              <w:spacing w:line="340" w:lineRule="exact"/>
              <w:rPr>
                <w:rFonts w:ascii="宋体" w:hAnsi="宋体"/>
                <w:color w:val="auto"/>
                <w:szCs w:val="21"/>
                <w:highlight w:val="none"/>
              </w:rPr>
            </w:pPr>
          </w:p>
        </w:tc>
        <w:tc>
          <w:tcPr>
            <w:tcW w:w="2705" w:type="dxa"/>
            <w:tcBorders>
              <w:left w:val="single" w:color="auto" w:sz="4" w:space="0"/>
              <w:right w:val="single" w:color="auto" w:sz="4" w:space="0"/>
            </w:tcBorders>
          </w:tcPr>
          <w:p w14:paraId="764A4C19">
            <w:pPr>
              <w:spacing w:line="340" w:lineRule="exact"/>
              <w:rPr>
                <w:rFonts w:ascii="宋体" w:hAnsi="宋体"/>
                <w:color w:val="auto"/>
                <w:szCs w:val="21"/>
                <w:highlight w:val="none"/>
              </w:rPr>
            </w:pPr>
            <w:r>
              <w:rPr>
                <w:rFonts w:hint="eastAsia" w:ascii="宋体" w:hAnsi="宋体"/>
                <w:color w:val="auto"/>
                <w:szCs w:val="21"/>
                <w:highlight w:val="none"/>
              </w:rPr>
              <w:t>2  ……</w:t>
            </w:r>
          </w:p>
          <w:p w14:paraId="1B5642B6">
            <w:pPr>
              <w:spacing w:line="300" w:lineRule="exact"/>
              <w:rPr>
                <w:rFonts w:ascii="宋体" w:hAnsi="宋体"/>
                <w:color w:val="auto"/>
                <w:szCs w:val="21"/>
                <w:highlight w:val="none"/>
              </w:rPr>
            </w:pPr>
          </w:p>
        </w:tc>
        <w:tc>
          <w:tcPr>
            <w:tcW w:w="2516" w:type="dxa"/>
            <w:tcBorders>
              <w:left w:val="single" w:color="auto" w:sz="4" w:space="0"/>
              <w:right w:val="single" w:color="auto" w:sz="4" w:space="0"/>
            </w:tcBorders>
          </w:tcPr>
          <w:p w14:paraId="5749FBAF">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4C4951EC">
            <w:pPr>
              <w:spacing w:line="300" w:lineRule="exact"/>
              <w:rPr>
                <w:rFonts w:ascii="宋体" w:hAnsi="宋体"/>
                <w:color w:val="auto"/>
                <w:szCs w:val="21"/>
                <w:highlight w:val="none"/>
              </w:rPr>
            </w:pPr>
          </w:p>
        </w:tc>
      </w:tr>
      <w:tr w14:paraId="3D5C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1B679378">
            <w:pPr>
              <w:spacing w:line="340" w:lineRule="exact"/>
              <w:rPr>
                <w:rFonts w:ascii="宋体" w:hAnsi="宋体"/>
                <w:color w:val="auto"/>
                <w:szCs w:val="21"/>
                <w:highlight w:val="none"/>
              </w:rPr>
            </w:pPr>
          </w:p>
        </w:tc>
        <w:tc>
          <w:tcPr>
            <w:tcW w:w="3568" w:type="dxa"/>
            <w:tcBorders>
              <w:top w:val="single" w:color="auto" w:sz="4" w:space="0"/>
              <w:left w:val="single" w:color="auto" w:sz="4" w:space="0"/>
              <w:bottom w:val="single" w:color="auto" w:sz="4" w:space="0"/>
              <w:right w:val="single" w:color="auto" w:sz="4" w:space="0"/>
            </w:tcBorders>
            <w:noWrap/>
          </w:tcPr>
          <w:p w14:paraId="6F9131A4">
            <w:pPr>
              <w:spacing w:line="340" w:lineRule="exact"/>
              <w:rPr>
                <w:rFonts w:ascii="宋体" w:hAnsi="宋体"/>
                <w:color w:val="auto"/>
                <w:szCs w:val="21"/>
                <w:highlight w:val="none"/>
              </w:rPr>
            </w:pPr>
            <w:r>
              <w:rPr>
                <w:rFonts w:hint="eastAsia" w:ascii="宋体" w:hAnsi="宋体"/>
                <w:color w:val="auto"/>
                <w:szCs w:val="21"/>
                <w:highlight w:val="none"/>
              </w:rPr>
              <w:t>3  ……</w:t>
            </w:r>
          </w:p>
          <w:p w14:paraId="302A529F">
            <w:pPr>
              <w:spacing w:line="340" w:lineRule="exact"/>
              <w:rPr>
                <w:rFonts w:ascii="宋体" w:hAnsi="宋体"/>
                <w:color w:val="auto"/>
                <w:szCs w:val="21"/>
                <w:highlight w:val="none"/>
              </w:rPr>
            </w:pPr>
          </w:p>
        </w:tc>
        <w:tc>
          <w:tcPr>
            <w:tcW w:w="2705" w:type="dxa"/>
            <w:tcBorders>
              <w:left w:val="single" w:color="auto" w:sz="4" w:space="0"/>
              <w:right w:val="single" w:color="auto" w:sz="4" w:space="0"/>
            </w:tcBorders>
          </w:tcPr>
          <w:p w14:paraId="62B062EB">
            <w:pPr>
              <w:spacing w:line="340" w:lineRule="exact"/>
              <w:rPr>
                <w:rFonts w:ascii="宋体" w:hAnsi="宋体"/>
                <w:color w:val="auto"/>
                <w:szCs w:val="21"/>
                <w:highlight w:val="none"/>
              </w:rPr>
            </w:pPr>
            <w:r>
              <w:rPr>
                <w:rFonts w:hint="eastAsia" w:ascii="宋体" w:hAnsi="宋体"/>
                <w:color w:val="auto"/>
                <w:szCs w:val="21"/>
                <w:highlight w:val="none"/>
              </w:rPr>
              <w:t>3  ……</w:t>
            </w:r>
          </w:p>
          <w:p w14:paraId="23CFC450">
            <w:pPr>
              <w:spacing w:line="300" w:lineRule="exact"/>
              <w:rPr>
                <w:rFonts w:ascii="宋体" w:hAnsi="宋体"/>
                <w:color w:val="auto"/>
                <w:szCs w:val="21"/>
                <w:highlight w:val="none"/>
              </w:rPr>
            </w:pPr>
          </w:p>
        </w:tc>
        <w:tc>
          <w:tcPr>
            <w:tcW w:w="2516" w:type="dxa"/>
            <w:tcBorders>
              <w:left w:val="single" w:color="auto" w:sz="4" w:space="0"/>
              <w:right w:val="single" w:color="auto" w:sz="4" w:space="0"/>
            </w:tcBorders>
          </w:tcPr>
          <w:p w14:paraId="74AAFCF6">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5EB769A5">
            <w:pPr>
              <w:spacing w:line="300" w:lineRule="exact"/>
              <w:rPr>
                <w:rFonts w:ascii="宋体" w:hAnsi="宋体"/>
                <w:color w:val="auto"/>
                <w:szCs w:val="21"/>
                <w:highlight w:val="none"/>
              </w:rPr>
            </w:pPr>
          </w:p>
        </w:tc>
      </w:tr>
      <w:tr w14:paraId="2EA27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28FBA466">
            <w:pPr>
              <w:spacing w:line="340" w:lineRule="exact"/>
              <w:rPr>
                <w:rFonts w:ascii="宋体" w:hAnsi="宋体"/>
                <w:color w:val="auto"/>
                <w:szCs w:val="21"/>
                <w:highlight w:val="none"/>
              </w:rPr>
            </w:pPr>
          </w:p>
        </w:tc>
        <w:tc>
          <w:tcPr>
            <w:tcW w:w="3568" w:type="dxa"/>
            <w:tcBorders>
              <w:top w:val="single" w:color="auto" w:sz="4" w:space="0"/>
              <w:left w:val="single" w:color="auto" w:sz="4" w:space="0"/>
              <w:bottom w:val="single" w:color="auto" w:sz="4" w:space="0"/>
              <w:right w:val="single" w:color="auto" w:sz="4" w:space="0"/>
            </w:tcBorders>
            <w:noWrap/>
          </w:tcPr>
          <w:p w14:paraId="58DEABA7">
            <w:pPr>
              <w:spacing w:line="340" w:lineRule="exact"/>
              <w:rPr>
                <w:rFonts w:ascii="宋体" w:hAnsi="宋体"/>
                <w:color w:val="auto"/>
                <w:szCs w:val="21"/>
                <w:highlight w:val="none"/>
              </w:rPr>
            </w:pPr>
            <w:r>
              <w:rPr>
                <w:rFonts w:hint="eastAsia" w:ascii="宋体" w:hAnsi="宋体"/>
                <w:color w:val="auto"/>
                <w:szCs w:val="21"/>
                <w:highlight w:val="none"/>
              </w:rPr>
              <w:t>……</w:t>
            </w:r>
          </w:p>
        </w:tc>
        <w:tc>
          <w:tcPr>
            <w:tcW w:w="2705" w:type="dxa"/>
            <w:tcBorders>
              <w:left w:val="single" w:color="auto" w:sz="4" w:space="0"/>
              <w:bottom w:val="single" w:color="auto" w:sz="4" w:space="0"/>
              <w:right w:val="single" w:color="auto" w:sz="4" w:space="0"/>
            </w:tcBorders>
          </w:tcPr>
          <w:p w14:paraId="716C1442">
            <w:pPr>
              <w:spacing w:line="300" w:lineRule="exact"/>
              <w:rPr>
                <w:rFonts w:ascii="宋体" w:hAnsi="宋体"/>
                <w:color w:val="auto"/>
                <w:szCs w:val="21"/>
                <w:highlight w:val="none"/>
              </w:rPr>
            </w:pPr>
            <w:r>
              <w:rPr>
                <w:rFonts w:hint="eastAsia" w:ascii="宋体" w:hAnsi="宋体"/>
                <w:color w:val="auto"/>
                <w:szCs w:val="21"/>
                <w:highlight w:val="none"/>
              </w:rPr>
              <w:t>……</w:t>
            </w:r>
          </w:p>
        </w:tc>
        <w:tc>
          <w:tcPr>
            <w:tcW w:w="2516" w:type="dxa"/>
            <w:tcBorders>
              <w:left w:val="single" w:color="auto" w:sz="4" w:space="0"/>
              <w:bottom w:val="single" w:color="auto" w:sz="4" w:space="0"/>
              <w:right w:val="single" w:color="auto" w:sz="4" w:space="0"/>
            </w:tcBorders>
          </w:tcPr>
          <w:p w14:paraId="5A522C13">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1D71B7BC">
            <w:pPr>
              <w:spacing w:line="300" w:lineRule="exact"/>
              <w:rPr>
                <w:rFonts w:ascii="宋体" w:hAnsi="宋体"/>
                <w:color w:val="auto"/>
                <w:szCs w:val="21"/>
                <w:highlight w:val="none"/>
              </w:rPr>
            </w:pPr>
          </w:p>
        </w:tc>
      </w:tr>
      <w:tr w14:paraId="5589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28DCA8EF">
            <w:pPr>
              <w:spacing w:line="340" w:lineRule="exact"/>
              <w:rPr>
                <w:rFonts w:ascii="宋体" w:hAnsi="宋体"/>
                <w:color w:val="auto"/>
                <w:szCs w:val="21"/>
                <w:highlight w:val="none"/>
              </w:rPr>
            </w:pPr>
            <w:r>
              <w:rPr>
                <w:rFonts w:hint="eastAsia" w:ascii="宋体" w:hAnsi="宋体"/>
                <w:color w:val="auto"/>
                <w:szCs w:val="21"/>
                <w:highlight w:val="none"/>
              </w:rPr>
              <w:t>二</w:t>
            </w:r>
          </w:p>
        </w:tc>
        <w:tc>
          <w:tcPr>
            <w:tcW w:w="3568" w:type="dxa"/>
            <w:tcBorders>
              <w:top w:val="single" w:color="auto" w:sz="4" w:space="0"/>
              <w:left w:val="single" w:color="auto" w:sz="4" w:space="0"/>
              <w:bottom w:val="single" w:color="auto" w:sz="4" w:space="0"/>
              <w:right w:val="single" w:color="auto" w:sz="4" w:space="0"/>
            </w:tcBorders>
            <w:noWrap/>
          </w:tcPr>
          <w:p w14:paraId="3449ADA5">
            <w:pPr>
              <w:rPr>
                <w:rFonts w:ascii="宋体" w:hAnsi="宋体"/>
                <w:color w:val="auto"/>
                <w:szCs w:val="21"/>
                <w:highlight w:val="none"/>
              </w:rPr>
            </w:pPr>
            <w:r>
              <w:rPr>
                <w:rFonts w:hint="eastAsia" w:ascii="宋体" w:hAnsi="宋体"/>
                <w:color w:val="auto"/>
                <w:szCs w:val="21"/>
                <w:highlight w:val="none"/>
              </w:rPr>
              <w:t>1  ……</w:t>
            </w:r>
          </w:p>
        </w:tc>
        <w:tc>
          <w:tcPr>
            <w:tcW w:w="2705" w:type="dxa"/>
            <w:tcBorders>
              <w:top w:val="single" w:color="auto" w:sz="4" w:space="0"/>
              <w:left w:val="single" w:color="auto" w:sz="4" w:space="0"/>
              <w:right w:val="single" w:color="auto" w:sz="4" w:space="0"/>
            </w:tcBorders>
          </w:tcPr>
          <w:p w14:paraId="09975E19">
            <w:pPr>
              <w:rPr>
                <w:rFonts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right w:val="single" w:color="auto" w:sz="4" w:space="0"/>
            </w:tcBorders>
          </w:tcPr>
          <w:p w14:paraId="0F019FAE">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4C578B56">
            <w:pPr>
              <w:spacing w:line="300" w:lineRule="exact"/>
              <w:rPr>
                <w:rFonts w:ascii="宋体" w:hAnsi="宋体"/>
                <w:color w:val="auto"/>
                <w:szCs w:val="21"/>
                <w:highlight w:val="none"/>
              </w:rPr>
            </w:pPr>
          </w:p>
        </w:tc>
      </w:tr>
      <w:tr w14:paraId="6210A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0B93B1A9">
            <w:pPr>
              <w:spacing w:line="340" w:lineRule="exact"/>
              <w:rPr>
                <w:rFonts w:ascii="宋体" w:hAnsi="宋体"/>
                <w:color w:val="auto"/>
                <w:szCs w:val="21"/>
                <w:highlight w:val="none"/>
              </w:rPr>
            </w:pPr>
          </w:p>
        </w:tc>
        <w:tc>
          <w:tcPr>
            <w:tcW w:w="3568" w:type="dxa"/>
            <w:tcBorders>
              <w:top w:val="single" w:color="auto" w:sz="4" w:space="0"/>
              <w:left w:val="single" w:color="auto" w:sz="4" w:space="0"/>
              <w:bottom w:val="single" w:color="auto" w:sz="4" w:space="0"/>
              <w:right w:val="single" w:color="auto" w:sz="4" w:space="0"/>
            </w:tcBorders>
            <w:noWrap/>
          </w:tcPr>
          <w:p w14:paraId="3C135080">
            <w:pPr>
              <w:spacing w:line="340" w:lineRule="exact"/>
              <w:rPr>
                <w:rFonts w:ascii="宋体" w:hAnsi="宋体"/>
                <w:color w:val="auto"/>
                <w:szCs w:val="21"/>
                <w:highlight w:val="none"/>
              </w:rPr>
            </w:pPr>
            <w:r>
              <w:rPr>
                <w:rFonts w:hint="eastAsia" w:ascii="宋体" w:hAnsi="宋体"/>
                <w:color w:val="auto"/>
                <w:szCs w:val="21"/>
                <w:highlight w:val="none"/>
              </w:rPr>
              <w:t>2  ……</w:t>
            </w:r>
          </w:p>
          <w:p w14:paraId="4C040981">
            <w:pPr>
              <w:spacing w:line="340" w:lineRule="exact"/>
              <w:rPr>
                <w:rFonts w:ascii="宋体" w:hAnsi="宋体"/>
                <w:color w:val="auto"/>
                <w:szCs w:val="21"/>
                <w:highlight w:val="none"/>
              </w:rPr>
            </w:pPr>
          </w:p>
        </w:tc>
        <w:tc>
          <w:tcPr>
            <w:tcW w:w="2705" w:type="dxa"/>
            <w:tcBorders>
              <w:left w:val="single" w:color="auto" w:sz="4" w:space="0"/>
              <w:right w:val="single" w:color="auto" w:sz="4" w:space="0"/>
            </w:tcBorders>
          </w:tcPr>
          <w:p w14:paraId="51ED6CE2">
            <w:pPr>
              <w:spacing w:line="340" w:lineRule="exact"/>
              <w:rPr>
                <w:rFonts w:ascii="宋体" w:hAnsi="宋体"/>
                <w:color w:val="auto"/>
                <w:szCs w:val="21"/>
                <w:highlight w:val="none"/>
              </w:rPr>
            </w:pPr>
            <w:r>
              <w:rPr>
                <w:rFonts w:hint="eastAsia" w:ascii="宋体" w:hAnsi="宋体"/>
                <w:color w:val="auto"/>
                <w:szCs w:val="21"/>
                <w:highlight w:val="none"/>
              </w:rPr>
              <w:t>2  ……</w:t>
            </w:r>
          </w:p>
          <w:p w14:paraId="1C76FDD5">
            <w:pPr>
              <w:spacing w:line="300" w:lineRule="exact"/>
              <w:rPr>
                <w:rFonts w:ascii="宋体" w:hAnsi="宋体"/>
                <w:color w:val="auto"/>
                <w:szCs w:val="21"/>
                <w:highlight w:val="none"/>
              </w:rPr>
            </w:pPr>
          </w:p>
        </w:tc>
        <w:tc>
          <w:tcPr>
            <w:tcW w:w="2516" w:type="dxa"/>
            <w:tcBorders>
              <w:left w:val="single" w:color="auto" w:sz="4" w:space="0"/>
              <w:right w:val="single" w:color="auto" w:sz="4" w:space="0"/>
            </w:tcBorders>
          </w:tcPr>
          <w:p w14:paraId="1BF4A527">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13709BAB">
            <w:pPr>
              <w:spacing w:line="300" w:lineRule="exact"/>
              <w:rPr>
                <w:rFonts w:ascii="宋体" w:hAnsi="宋体"/>
                <w:color w:val="auto"/>
                <w:szCs w:val="21"/>
                <w:highlight w:val="none"/>
              </w:rPr>
            </w:pPr>
          </w:p>
        </w:tc>
      </w:tr>
      <w:tr w14:paraId="0758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33267A29">
            <w:pPr>
              <w:spacing w:line="340" w:lineRule="exact"/>
              <w:rPr>
                <w:rFonts w:ascii="宋体" w:hAnsi="宋体"/>
                <w:color w:val="auto"/>
                <w:szCs w:val="21"/>
                <w:highlight w:val="none"/>
              </w:rPr>
            </w:pPr>
          </w:p>
        </w:tc>
        <w:tc>
          <w:tcPr>
            <w:tcW w:w="3568" w:type="dxa"/>
            <w:tcBorders>
              <w:top w:val="single" w:color="auto" w:sz="4" w:space="0"/>
              <w:left w:val="single" w:color="auto" w:sz="4" w:space="0"/>
              <w:bottom w:val="single" w:color="auto" w:sz="4" w:space="0"/>
              <w:right w:val="single" w:color="auto" w:sz="4" w:space="0"/>
            </w:tcBorders>
            <w:noWrap/>
          </w:tcPr>
          <w:p w14:paraId="662946C4">
            <w:pPr>
              <w:spacing w:line="340" w:lineRule="exact"/>
              <w:rPr>
                <w:rFonts w:ascii="宋体" w:hAnsi="宋体"/>
                <w:color w:val="auto"/>
                <w:szCs w:val="21"/>
                <w:highlight w:val="none"/>
              </w:rPr>
            </w:pPr>
            <w:r>
              <w:rPr>
                <w:rFonts w:hint="eastAsia" w:ascii="宋体" w:hAnsi="宋体"/>
                <w:color w:val="auto"/>
                <w:szCs w:val="21"/>
                <w:highlight w:val="none"/>
              </w:rPr>
              <w:t>3  ……</w:t>
            </w:r>
          </w:p>
          <w:p w14:paraId="588CBF2B">
            <w:pPr>
              <w:spacing w:line="340" w:lineRule="exact"/>
              <w:rPr>
                <w:rFonts w:ascii="宋体" w:hAnsi="宋体"/>
                <w:color w:val="auto"/>
                <w:szCs w:val="21"/>
                <w:highlight w:val="none"/>
              </w:rPr>
            </w:pPr>
          </w:p>
        </w:tc>
        <w:tc>
          <w:tcPr>
            <w:tcW w:w="2705" w:type="dxa"/>
            <w:tcBorders>
              <w:left w:val="single" w:color="auto" w:sz="4" w:space="0"/>
              <w:right w:val="single" w:color="auto" w:sz="4" w:space="0"/>
            </w:tcBorders>
          </w:tcPr>
          <w:p w14:paraId="2A8EB907">
            <w:pPr>
              <w:spacing w:line="340" w:lineRule="exact"/>
              <w:rPr>
                <w:rFonts w:ascii="宋体" w:hAnsi="宋体"/>
                <w:color w:val="auto"/>
                <w:szCs w:val="21"/>
                <w:highlight w:val="none"/>
              </w:rPr>
            </w:pPr>
            <w:r>
              <w:rPr>
                <w:rFonts w:hint="eastAsia" w:ascii="宋体" w:hAnsi="宋体"/>
                <w:color w:val="auto"/>
                <w:szCs w:val="21"/>
                <w:highlight w:val="none"/>
              </w:rPr>
              <w:t>3  ……</w:t>
            </w:r>
          </w:p>
          <w:p w14:paraId="405D044E">
            <w:pPr>
              <w:spacing w:line="300" w:lineRule="exact"/>
              <w:rPr>
                <w:rFonts w:ascii="宋体" w:hAnsi="宋体"/>
                <w:color w:val="auto"/>
                <w:szCs w:val="21"/>
                <w:highlight w:val="none"/>
              </w:rPr>
            </w:pPr>
          </w:p>
        </w:tc>
        <w:tc>
          <w:tcPr>
            <w:tcW w:w="2516" w:type="dxa"/>
            <w:tcBorders>
              <w:left w:val="single" w:color="auto" w:sz="4" w:space="0"/>
              <w:right w:val="single" w:color="auto" w:sz="4" w:space="0"/>
            </w:tcBorders>
          </w:tcPr>
          <w:p w14:paraId="4B7AF81B">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478D007F">
            <w:pPr>
              <w:spacing w:line="300" w:lineRule="exact"/>
              <w:rPr>
                <w:rFonts w:ascii="宋体" w:hAnsi="宋体"/>
                <w:color w:val="auto"/>
                <w:szCs w:val="21"/>
                <w:highlight w:val="none"/>
              </w:rPr>
            </w:pPr>
          </w:p>
        </w:tc>
      </w:tr>
      <w:tr w14:paraId="4EB3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7618FA0D">
            <w:pPr>
              <w:spacing w:line="340" w:lineRule="exact"/>
              <w:rPr>
                <w:rFonts w:ascii="宋体" w:hAnsi="宋体"/>
                <w:color w:val="auto"/>
                <w:szCs w:val="21"/>
                <w:highlight w:val="none"/>
              </w:rPr>
            </w:pPr>
          </w:p>
        </w:tc>
        <w:tc>
          <w:tcPr>
            <w:tcW w:w="3568" w:type="dxa"/>
            <w:tcBorders>
              <w:top w:val="single" w:color="auto" w:sz="4" w:space="0"/>
              <w:left w:val="single" w:color="auto" w:sz="4" w:space="0"/>
              <w:bottom w:val="single" w:color="auto" w:sz="4" w:space="0"/>
              <w:right w:val="single" w:color="auto" w:sz="4" w:space="0"/>
            </w:tcBorders>
            <w:noWrap/>
          </w:tcPr>
          <w:p w14:paraId="373DC78C">
            <w:pPr>
              <w:spacing w:line="340" w:lineRule="exact"/>
              <w:rPr>
                <w:rFonts w:ascii="宋体" w:hAnsi="宋体"/>
                <w:color w:val="auto"/>
                <w:szCs w:val="21"/>
                <w:highlight w:val="none"/>
              </w:rPr>
            </w:pPr>
            <w:r>
              <w:rPr>
                <w:rFonts w:hint="eastAsia" w:ascii="宋体" w:hAnsi="宋体"/>
                <w:color w:val="auto"/>
                <w:szCs w:val="21"/>
                <w:highlight w:val="none"/>
              </w:rPr>
              <w:t>……</w:t>
            </w:r>
          </w:p>
        </w:tc>
        <w:tc>
          <w:tcPr>
            <w:tcW w:w="2705" w:type="dxa"/>
            <w:tcBorders>
              <w:left w:val="single" w:color="auto" w:sz="4" w:space="0"/>
              <w:bottom w:val="single" w:color="auto" w:sz="4" w:space="0"/>
              <w:right w:val="single" w:color="auto" w:sz="4" w:space="0"/>
            </w:tcBorders>
          </w:tcPr>
          <w:p w14:paraId="581D2564">
            <w:pPr>
              <w:spacing w:line="300" w:lineRule="exact"/>
              <w:rPr>
                <w:rFonts w:ascii="宋体" w:hAnsi="宋体"/>
                <w:color w:val="auto"/>
                <w:szCs w:val="21"/>
                <w:highlight w:val="none"/>
              </w:rPr>
            </w:pPr>
            <w:r>
              <w:rPr>
                <w:rFonts w:hint="eastAsia" w:ascii="宋体" w:hAnsi="宋体"/>
                <w:color w:val="auto"/>
                <w:szCs w:val="21"/>
                <w:highlight w:val="none"/>
              </w:rPr>
              <w:t>……</w:t>
            </w:r>
          </w:p>
        </w:tc>
        <w:tc>
          <w:tcPr>
            <w:tcW w:w="2516" w:type="dxa"/>
            <w:tcBorders>
              <w:left w:val="single" w:color="auto" w:sz="4" w:space="0"/>
              <w:bottom w:val="single" w:color="auto" w:sz="4" w:space="0"/>
              <w:right w:val="single" w:color="auto" w:sz="4" w:space="0"/>
            </w:tcBorders>
          </w:tcPr>
          <w:p w14:paraId="71305DDE">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678E071B">
            <w:pPr>
              <w:spacing w:line="300" w:lineRule="exact"/>
              <w:rPr>
                <w:rFonts w:ascii="宋体" w:hAnsi="宋体"/>
                <w:color w:val="auto"/>
                <w:szCs w:val="21"/>
                <w:highlight w:val="none"/>
              </w:rPr>
            </w:pPr>
          </w:p>
        </w:tc>
      </w:tr>
      <w:tr w14:paraId="1D6F8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577F04BF">
            <w:pPr>
              <w:spacing w:line="340" w:lineRule="exact"/>
              <w:rPr>
                <w:rFonts w:ascii="宋体" w:hAnsi="宋体"/>
                <w:color w:val="auto"/>
                <w:szCs w:val="21"/>
                <w:highlight w:val="none"/>
              </w:rPr>
            </w:pPr>
            <w:r>
              <w:rPr>
                <w:rFonts w:hint="eastAsia" w:ascii="宋体" w:hAnsi="宋体"/>
                <w:color w:val="auto"/>
                <w:szCs w:val="21"/>
                <w:highlight w:val="none"/>
              </w:rPr>
              <w:t>……</w:t>
            </w:r>
          </w:p>
        </w:tc>
        <w:tc>
          <w:tcPr>
            <w:tcW w:w="3568" w:type="dxa"/>
            <w:tcBorders>
              <w:top w:val="single" w:color="auto" w:sz="4" w:space="0"/>
              <w:left w:val="single" w:color="auto" w:sz="4" w:space="0"/>
              <w:bottom w:val="single" w:color="auto" w:sz="4" w:space="0"/>
              <w:right w:val="single" w:color="auto" w:sz="4" w:space="0"/>
            </w:tcBorders>
            <w:noWrap/>
          </w:tcPr>
          <w:p w14:paraId="3EE60880">
            <w:pPr>
              <w:rPr>
                <w:rFonts w:ascii="宋体" w:hAnsi="宋体"/>
                <w:color w:val="auto"/>
                <w:szCs w:val="21"/>
                <w:highlight w:val="none"/>
              </w:rPr>
            </w:pPr>
            <w:r>
              <w:rPr>
                <w:rFonts w:hint="eastAsia" w:ascii="宋体" w:hAnsi="宋体"/>
                <w:color w:val="auto"/>
                <w:szCs w:val="21"/>
                <w:highlight w:val="none"/>
              </w:rPr>
              <w:t>1  ……</w:t>
            </w:r>
          </w:p>
        </w:tc>
        <w:tc>
          <w:tcPr>
            <w:tcW w:w="2705" w:type="dxa"/>
            <w:tcBorders>
              <w:top w:val="single" w:color="auto" w:sz="4" w:space="0"/>
              <w:left w:val="single" w:color="auto" w:sz="4" w:space="0"/>
              <w:right w:val="single" w:color="auto" w:sz="4" w:space="0"/>
            </w:tcBorders>
          </w:tcPr>
          <w:p w14:paraId="19E0ECAC">
            <w:pPr>
              <w:rPr>
                <w:rFonts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right w:val="single" w:color="auto" w:sz="4" w:space="0"/>
            </w:tcBorders>
          </w:tcPr>
          <w:p w14:paraId="64E4319D">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2150378B">
            <w:pPr>
              <w:spacing w:line="300" w:lineRule="exact"/>
              <w:rPr>
                <w:rFonts w:ascii="宋体" w:hAnsi="宋体"/>
                <w:color w:val="auto"/>
                <w:szCs w:val="21"/>
                <w:highlight w:val="none"/>
              </w:rPr>
            </w:pPr>
          </w:p>
        </w:tc>
      </w:tr>
      <w:tr w14:paraId="5FE6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5B424DA5">
            <w:pPr>
              <w:spacing w:line="340" w:lineRule="exact"/>
              <w:rPr>
                <w:rFonts w:ascii="宋体" w:hAnsi="宋体"/>
                <w:color w:val="auto"/>
                <w:szCs w:val="21"/>
                <w:highlight w:val="none"/>
              </w:rPr>
            </w:pPr>
          </w:p>
        </w:tc>
        <w:tc>
          <w:tcPr>
            <w:tcW w:w="3568" w:type="dxa"/>
            <w:tcBorders>
              <w:top w:val="single" w:color="auto" w:sz="4" w:space="0"/>
              <w:left w:val="single" w:color="auto" w:sz="4" w:space="0"/>
              <w:bottom w:val="single" w:color="auto" w:sz="4" w:space="0"/>
              <w:right w:val="single" w:color="auto" w:sz="4" w:space="0"/>
            </w:tcBorders>
            <w:noWrap/>
          </w:tcPr>
          <w:p w14:paraId="19A98B22">
            <w:pPr>
              <w:spacing w:line="340" w:lineRule="exact"/>
              <w:rPr>
                <w:rFonts w:ascii="宋体" w:hAnsi="宋体"/>
                <w:color w:val="auto"/>
                <w:szCs w:val="21"/>
                <w:highlight w:val="none"/>
              </w:rPr>
            </w:pPr>
            <w:r>
              <w:rPr>
                <w:rFonts w:hint="eastAsia" w:ascii="宋体" w:hAnsi="宋体"/>
                <w:color w:val="auto"/>
                <w:szCs w:val="21"/>
                <w:highlight w:val="none"/>
              </w:rPr>
              <w:t>2  ……</w:t>
            </w:r>
          </w:p>
          <w:p w14:paraId="184B692D">
            <w:pPr>
              <w:spacing w:line="340" w:lineRule="exact"/>
              <w:rPr>
                <w:rFonts w:ascii="宋体" w:hAnsi="宋体"/>
                <w:color w:val="auto"/>
                <w:szCs w:val="21"/>
                <w:highlight w:val="none"/>
              </w:rPr>
            </w:pPr>
          </w:p>
        </w:tc>
        <w:tc>
          <w:tcPr>
            <w:tcW w:w="2705" w:type="dxa"/>
            <w:tcBorders>
              <w:left w:val="single" w:color="auto" w:sz="4" w:space="0"/>
              <w:right w:val="single" w:color="auto" w:sz="4" w:space="0"/>
            </w:tcBorders>
          </w:tcPr>
          <w:p w14:paraId="200EA450">
            <w:pPr>
              <w:spacing w:line="340" w:lineRule="exact"/>
              <w:rPr>
                <w:rFonts w:ascii="宋体" w:hAnsi="宋体"/>
                <w:color w:val="auto"/>
                <w:szCs w:val="21"/>
                <w:highlight w:val="none"/>
              </w:rPr>
            </w:pPr>
            <w:r>
              <w:rPr>
                <w:rFonts w:hint="eastAsia" w:ascii="宋体" w:hAnsi="宋体"/>
                <w:color w:val="auto"/>
                <w:szCs w:val="21"/>
                <w:highlight w:val="none"/>
              </w:rPr>
              <w:t>2  ……</w:t>
            </w:r>
          </w:p>
          <w:p w14:paraId="6CC2570B">
            <w:pPr>
              <w:spacing w:line="300" w:lineRule="exact"/>
              <w:rPr>
                <w:rFonts w:ascii="宋体" w:hAnsi="宋体"/>
                <w:color w:val="auto"/>
                <w:szCs w:val="21"/>
                <w:highlight w:val="none"/>
              </w:rPr>
            </w:pPr>
          </w:p>
        </w:tc>
        <w:tc>
          <w:tcPr>
            <w:tcW w:w="2516" w:type="dxa"/>
            <w:tcBorders>
              <w:left w:val="single" w:color="auto" w:sz="4" w:space="0"/>
              <w:right w:val="single" w:color="auto" w:sz="4" w:space="0"/>
            </w:tcBorders>
          </w:tcPr>
          <w:p w14:paraId="769233DC">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61DC6A4B">
            <w:pPr>
              <w:spacing w:line="300" w:lineRule="exact"/>
              <w:rPr>
                <w:rFonts w:ascii="宋体" w:hAnsi="宋体"/>
                <w:color w:val="auto"/>
                <w:szCs w:val="21"/>
                <w:highlight w:val="none"/>
              </w:rPr>
            </w:pPr>
          </w:p>
        </w:tc>
      </w:tr>
      <w:tr w14:paraId="60658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2E3ADF44">
            <w:pPr>
              <w:spacing w:line="340" w:lineRule="exact"/>
              <w:rPr>
                <w:rFonts w:ascii="宋体" w:hAnsi="宋体"/>
                <w:color w:val="auto"/>
                <w:szCs w:val="21"/>
                <w:highlight w:val="none"/>
              </w:rPr>
            </w:pPr>
          </w:p>
        </w:tc>
        <w:tc>
          <w:tcPr>
            <w:tcW w:w="3568" w:type="dxa"/>
            <w:tcBorders>
              <w:top w:val="single" w:color="auto" w:sz="4" w:space="0"/>
              <w:left w:val="single" w:color="auto" w:sz="4" w:space="0"/>
              <w:bottom w:val="single" w:color="auto" w:sz="4" w:space="0"/>
              <w:right w:val="single" w:color="auto" w:sz="4" w:space="0"/>
            </w:tcBorders>
            <w:noWrap/>
          </w:tcPr>
          <w:p w14:paraId="239408C0">
            <w:pPr>
              <w:spacing w:line="340" w:lineRule="exact"/>
              <w:rPr>
                <w:rFonts w:ascii="宋体" w:hAnsi="宋体"/>
                <w:color w:val="auto"/>
                <w:szCs w:val="21"/>
                <w:highlight w:val="none"/>
              </w:rPr>
            </w:pPr>
            <w:r>
              <w:rPr>
                <w:rFonts w:hint="eastAsia" w:ascii="宋体" w:hAnsi="宋体"/>
                <w:color w:val="auto"/>
                <w:szCs w:val="21"/>
                <w:highlight w:val="none"/>
              </w:rPr>
              <w:t>3  ……</w:t>
            </w:r>
          </w:p>
          <w:p w14:paraId="01206773">
            <w:pPr>
              <w:spacing w:line="340" w:lineRule="exact"/>
              <w:rPr>
                <w:rFonts w:ascii="宋体" w:hAnsi="宋体"/>
                <w:color w:val="auto"/>
                <w:szCs w:val="21"/>
                <w:highlight w:val="none"/>
              </w:rPr>
            </w:pPr>
          </w:p>
        </w:tc>
        <w:tc>
          <w:tcPr>
            <w:tcW w:w="2705" w:type="dxa"/>
            <w:tcBorders>
              <w:left w:val="single" w:color="auto" w:sz="4" w:space="0"/>
              <w:right w:val="single" w:color="auto" w:sz="4" w:space="0"/>
            </w:tcBorders>
          </w:tcPr>
          <w:p w14:paraId="532D5502">
            <w:pPr>
              <w:spacing w:line="340" w:lineRule="exact"/>
              <w:rPr>
                <w:rFonts w:ascii="宋体" w:hAnsi="宋体"/>
                <w:color w:val="auto"/>
                <w:szCs w:val="21"/>
                <w:highlight w:val="none"/>
              </w:rPr>
            </w:pPr>
            <w:r>
              <w:rPr>
                <w:rFonts w:hint="eastAsia" w:ascii="宋体" w:hAnsi="宋体"/>
                <w:color w:val="auto"/>
                <w:szCs w:val="21"/>
                <w:highlight w:val="none"/>
              </w:rPr>
              <w:t>3  ……</w:t>
            </w:r>
          </w:p>
          <w:p w14:paraId="0D230A58">
            <w:pPr>
              <w:spacing w:line="300" w:lineRule="exact"/>
              <w:rPr>
                <w:rFonts w:ascii="宋体" w:hAnsi="宋体"/>
                <w:color w:val="auto"/>
                <w:szCs w:val="21"/>
                <w:highlight w:val="none"/>
              </w:rPr>
            </w:pPr>
          </w:p>
        </w:tc>
        <w:tc>
          <w:tcPr>
            <w:tcW w:w="2516" w:type="dxa"/>
            <w:tcBorders>
              <w:left w:val="single" w:color="auto" w:sz="4" w:space="0"/>
              <w:right w:val="single" w:color="auto" w:sz="4" w:space="0"/>
            </w:tcBorders>
          </w:tcPr>
          <w:p w14:paraId="14507E08">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6EFFA4E3">
            <w:pPr>
              <w:spacing w:line="300" w:lineRule="exact"/>
              <w:rPr>
                <w:rFonts w:ascii="宋体" w:hAnsi="宋体"/>
                <w:color w:val="auto"/>
                <w:szCs w:val="21"/>
                <w:highlight w:val="none"/>
              </w:rPr>
            </w:pPr>
          </w:p>
        </w:tc>
      </w:tr>
      <w:tr w14:paraId="7CC8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3273E2E7">
            <w:pPr>
              <w:spacing w:line="340" w:lineRule="exact"/>
              <w:rPr>
                <w:rFonts w:ascii="宋体" w:hAnsi="宋体"/>
                <w:color w:val="auto"/>
                <w:szCs w:val="21"/>
                <w:highlight w:val="none"/>
              </w:rPr>
            </w:pPr>
          </w:p>
        </w:tc>
        <w:tc>
          <w:tcPr>
            <w:tcW w:w="3568" w:type="dxa"/>
            <w:tcBorders>
              <w:top w:val="single" w:color="auto" w:sz="4" w:space="0"/>
              <w:left w:val="single" w:color="auto" w:sz="4" w:space="0"/>
              <w:bottom w:val="single" w:color="auto" w:sz="4" w:space="0"/>
              <w:right w:val="single" w:color="auto" w:sz="4" w:space="0"/>
            </w:tcBorders>
            <w:noWrap/>
          </w:tcPr>
          <w:p w14:paraId="22D494FB">
            <w:pPr>
              <w:spacing w:line="340" w:lineRule="exact"/>
              <w:rPr>
                <w:rFonts w:ascii="宋体" w:hAnsi="宋体"/>
                <w:color w:val="auto"/>
                <w:szCs w:val="21"/>
                <w:highlight w:val="none"/>
              </w:rPr>
            </w:pPr>
            <w:r>
              <w:rPr>
                <w:rFonts w:hint="eastAsia" w:ascii="宋体" w:hAnsi="宋体"/>
                <w:color w:val="auto"/>
                <w:szCs w:val="21"/>
                <w:highlight w:val="none"/>
              </w:rPr>
              <w:t>……</w:t>
            </w:r>
          </w:p>
        </w:tc>
        <w:tc>
          <w:tcPr>
            <w:tcW w:w="2705" w:type="dxa"/>
            <w:tcBorders>
              <w:left w:val="single" w:color="auto" w:sz="4" w:space="0"/>
              <w:bottom w:val="single" w:color="auto" w:sz="4" w:space="0"/>
              <w:right w:val="single" w:color="auto" w:sz="4" w:space="0"/>
            </w:tcBorders>
          </w:tcPr>
          <w:p w14:paraId="50642B96">
            <w:pPr>
              <w:spacing w:line="300" w:lineRule="exact"/>
              <w:rPr>
                <w:rFonts w:ascii="宋体" w:hAnsi="宋体"/>
                <w:color w:val="auto"/>
                <w:szCs w:val="21"/>
                <w:highlight w:val="none"/>
              </w:rPr>
            </w:pPr>
            <w:r>
              <w:rPr>
                <w:rFonts w:hint="eastAsia" w:ascii="宋体" w:hAnsi="宋体"/>
                <w:color w:val="auto"/>
                <w:szCs w:val="21"/>
                <w:highlight w:val="none"/>
              </w:rPr>
              <w:t>……</w:t>
            </w:r>
          </w:p>
        </w:tc>
        <w:tc>
          <w:tcPr>
            <w:tcW w:w="2516" w:type="dxa"/>
            <w:tcBorders>
              <w:left w:val="single" w:color="auto" w:sz="4" w:space="0"/>
              <w:bottom w:val="single" w:color="auto" w:sz="4" w:space="0"/>
              <w:right w:val="single" w:color="auto" w:sz="4" w:space="0"/>
            </w:tcBorders>
          </w:tcPr>
          <w:p w14:paraId="2DE9017E">
            <w:pPr>
              <w:spacing w:line="300" w:lineRule="exact"/>
              <w:rPr>
                <w:rFonts w:ascii="宋体" w:hAnsi="宋体"/>
                <w:color w:val="auto"/>
                <w:szCs w:val="21"/>
                <w:highlight w:val="none"/>
              </w:rPr>
            </w:pPr>
            <w:r>
              <w:rPr>
                <w:rFonts w:hint="eastAsia" w:ascii="宋体" w:hAnsi="宋体"/>
                <w:color w:val="auto"/>
                <w:szCs w:val="21"/>
                <w:highlight w:val="none"/>
              </w:rPr>
              <w:t>正偏离（负偏离或无偏离）</w:t>
            </w:r>
          </w:p>
          <w:p w14:paraId="5EEB1D1B">
            <w:pPr>
              <w:spacing w:line="300" w:lineRule="exact"/>
              <w:rPr>
                <w:rFonts w:ascii="宋体" w:hAnsi="宋体"/>
                <w:color w:val="auto"/>
                <w:szCs w:val="21"/>
                <w:highlight w:val="none"/>
              </w:rPr>
            </w:pPr>
          </w:p>
        </w:tc>
      </w:tr>
      <w:tr w14:paraId="4749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343A9A96">
            <w:pPr>
              <w:spacing w:line="340" w:lineRule="exact"/>
              <w:rPr>
                <w:rFonts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分标（此处有分标时填写具体分标号，无分标时填写“无”）</w:t>
            </w:r>
          </w:p>
        </w:tc>
      </w:tr>
    </w:tbl>
    <w:p w14:paraId="5CFFEBE2">
      <w:pPr>
        <w:pStyle w:val="14"/>
        <w:spacing w:line="360" w:lineRule="auto"/>
        <w:ind w:left="-708" w:leftChars="-337"/>
        <w:rPr>
          <w:rFonts w:hAnsi="宋体" w:cs="宋体"/>
          <w:color w:val="auto"/>
          <w:highlight w:val="none"/>
        </w:rPr>
      </w:pPr>
    </w:p>
    <w:p w14:paraId="610922A1">
      <w:pPr>
        <w:pStyle w:val="14"/>
        <w:spacing w:line="360" w:lineRule="auto"/>
        <w:ind w:left="-708" w:leftChars="-337"/>
        <w:rPr>
          <w:rFonts w:hAnsi="宋体" w:cs="宋体"/>
          <w:color w:val="auto"/>
          <w:highlight w:val="none"/>
        </w:rPr>
      </w:pPr>
      <w:r>
        <w:rPr>
          <w:rFonts w:hint="eastAsia" w:hAnsi="宋体" w:cs="宋体"/>
          <w:color w:val="auto"/>
          <w:highlight w:val="none"/>
        </w:rPr>
        <w:t>注：</w:t>
      </w:r>
    </w:p>
    <w:p w14:paraId="3682590C">
      <w:pPr>
        <w:pStyle w:val="14"/>
        <w:spacing w:line="360" w:lineRule="auto"/>
        <w:ind w:left="-708" w:leftChars="-337" w:firstLine="420" w:firstLineChars="200"/>
        <w:rPr>
          <w:rFonts w:hAnsi="宋体" w:cs="宋体"/>
          <w:color w:val="auto"/>
          <w:highlight w:val="none"/>
        </w:rPr>
      </w:pPr>
      <w:r>
        <w:rPr>
          <w:rFonts w:hint="eastAsia" w:hAnsi="宋体" w:cs="宋体"/>
          <w:color w:val="auto"/>
          <w:highlight w:val="none"/>
        </w:rPr>
        <w:t>1.表格内容均需按要求填写并盖章，不得留空</w:t>
      </w:r>
      <w:r>
        <w:rPr>
          <w:rFonts w:hint="eastAsia" w:hAnsi="宋体" w:cs="宋体"/>
          <w:b/>
          <w:bCs/>
          <w:color w:val="auto"/>
          <w:highlight w:val="none"/>
        </w:rPr>
        <w:t>，否则按投标无效处理</w:t>
      </w:r>
      <w:r>
        <w:rPr>
          <w:rFonts w:hint="eastAsia" w:hAnsi="宋体" w:cs="宋体"/>
          <w:color w:val="auto"/>
          <w:highlight w:val="none"/>
        </w:rPr>
        <w:t>。</w:t>
      </w:r>
    </w:p>
    <w:p w14:paraId="419F040A">
      <w:pPr>
        <w:pStyle w:val="14"/>
        <w:spacing w:line="360" w:lineRule="auto"/>
        <w:ind w:left="-603" w:leftChars="-287" w:firstLine="315" w:firstLineChars="150"/>
        <w:rPr>
          <w:rFonts w:hAnsi="宋体" w:cs="宋体"/>
          <w:color w:val="auto"/>
          <w:highlight w:val="none"/>
        </w:rPr>
      </w:pPr>
      <w:r>
        <w:rPr>
          <w:rFonts w:hint="eastAsia" w:hAnsi="宋体" w:cs="宋体"/>
          <w:color w:val="auto"/>
          <w:highlight w:val="none"/>
        </w:rPr>
        <w:t>2.当投标文件的商务内容低于招标文件要求时，投标人应当如实写明“负偏离”，否则视为虚假应标。</w:t>
      </w:r>
    </w:p>
    <w:p w14:paraId="0C6AD5F1">
      <w:pPr>
        <w:pStyle w:val="14"/>
        <w:spacing w:line="360" w:lineRule="auto"/>
        <w:ind w:left="-708" w:leftChars="-337" w:firstLine="420" w:firstLineChars="200"/>
        <w:rPr>
          <w:rFonts w:hAnsi="宋体" w:cs="宋体"/>
          <w:color w:val="auto"/>
          <w:highlight w:val="none"/>
        </w:rPr>
      </w:pPr>
      <w:r>
        <w:rPr>
          <w:rFonts w:hint="eastAsia" w:hAnsi="宋体" w:cs="宋体"/>
          <w:color w:val="auto"/>
          <w:szCs w:val="21"/>
          <w:highlight w:val="none"/>
        </w:rPr>
        <w:t>3.采购需求中带“▲”及“★”的条款，也要分别在本表“投标文件的商务需求”、“投标文件承诺的商务条款”中标记。</w:t>
      </w:r>
    </w:p>
    <w:p w14:paraId="799E3E03">
      <w:pPr>
        <w:snapToGrid w:val="0"/>
        <w:spacing w:before="50" w:after="50"/>
        <w:rPr>
          <w:rFonts w:ascii="宋体" w:hAnsi="宋体"/>
          <w:color w:val="auto"/>
          <w:sz w:val="24"/>
          <w:highlight w:val="none"/>
        </w:rPr>
      </w:pPr>
    </w:p>
    <w:p w14:paraId="46BDF386">
      <w:pPr>
        <w:snapToGrid w:val="0"/>
        <w:spacing w:line="360" w:lineRule="auto"/>
        <w:ind w:firstLine="4935" w:firstLineChars="2350"/>
        <w:rPr>
          <w:rFonts w:ascii="仿宋" w:hAnsi="仿宋" w:eastAsia="仿宋" w:cs="仿宋"/>
          <w:color w:val="auto"/>
          <w:kern w:val="0"/>
          <w:sz w:val="24"/>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kern w:val="0"/>
          <w:sz w:val="24"/>
          <w:highlight w:val="none"/>
          <w:lang w:val="zh-CN"/>
        </w:rPr>
        <w:t>投标人名称（电子签章）：</w:t>
      </w:r>
    </w:p>
    <w:p w14:paraId="00342E08">
      <w:pPr>
        <w:snapToGrid w:val="0"/>
        <w:spacing w:line="360" w:lineRule="auto"/>
        <w:ind w:firstLine="5160" w:firstLineChars="215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6CD68DEB">
      <w:pPr>
        <w:widowControl/>
        <w:jc w:val="left"/>
        <w:rPr>
          <w:rFonts w:ascii="宋体" w:hAnsi="宋体"/>
          <w:color w:val="auto"/>
          <w:szCs w:val="21"/>
          <w:highlight w:val="none"/>
        </w:rPr>
        <w:sectPr>
          <w:pgSz w:w="11906" w:h="16838"/>
          <w:pgMar w:top="1440" w:right="1797" w:bottom="1440" w:left="1797" w:header="851" w:footer="992" w:gutter="0"/>
          <w:cols w:space="720" w:num="1"/>
        </w:sectPr>
      </w:pPr>
    </w:p>
    <w:p w14:paraId="7E0F663B">
      <w:pPr>
        <w:snapToGrid w:val="0"/>
        <w:spacing w:before="165" w:beforeLines="50" w:after="50"/>
        <w:ind w:firstLine="602" w:firstLineChars="200"/>
        <w:jc w:val="center"/>
        <w:rPr>
          <w:b/>
          <w:bCs/>
          <w:color w:val="auto"/>
          <w:sz w:val="30"/>
          <w:szCs w:val="30"/>
          <w:highlight w:val="none"/>
        </w:rPr>
      </w:pPr>
      <w:r>
        <w:rPr>
          <w:rFonts w:hint="eastAsia"/>
          <w:b/>
          <w:bCs/>
          <w:color w:val="auto"/>
          <w:sz w:val="30"/>
          <w:szCs w:val="30"/>
          <w:highlight w:val="none"/>
        </w:rPr>
        <w:t>五、投标人情况介绍</w:t>
      </w:r>
    </w:p>
    <w:p w14:paraId="2FD1E962">
      <w:pPr>
        <w:spacing w:line="360" w:lineRule="auto"/>
        <w:ind w:firstLine="4048" w:firstLineChars="1687"/>
        <w:rPr>
          <w:rFonts w:ascii="仿宋_GB2312" w:hAnsi="仿宋" w:eastAsia="仿宋_GB2312" w:cs="仿宋_GB2312"/>
          <w:color w:val="auto"/>
          <w:kern w:val="0"/>
          <w:sz w:val="24"/>
          <w:highlight w:val="none"/>
        </w:rPr>
      </w:pPr>
      <w:r>
        <w:rPr>
          <w:rFonts w:hint="eastAsia" w:ascii="宋体" w:hAnsi="宋体"/>
          <w:color w:val="auto"/>
          <w:sz w:val="24"/>
          <w:highlight w:val="none"/>
        </w:rPr>
        <w:t>（格式自拟）</w:t>
      </w:r>
    </w:p>
    <w:p w14:paraId="22F3297F">
      <w:pPr>
        <w:snapToGrid w:val="0"/>
        <w:spacing w:line="360" w:lineRule="auto"/>
        <w:ind w:firstLine="4935" w:firstLineChars="2350"/>
        <w:rPr>
          <w:rFonts w:hAnsi="宋体"/>
          <w:color w:val="auto"/>
          <w:szCs w:val="21"/>
          <w:highlight w:val="none"/>
        </w:rPr>
      </w:pPr>
      <w:r>
        <w:rPr>
          <w:rFonts w:hAnsi="宋体"/>
          <w:color w:val="auto"/>
          <w:szCs w:val="21"/>
          <w:highlight w:val="none"/>
        </w:rPr>
        <w:t xml:space="preserve"> </w:t>
      </w:r>
    </w:p>
    <w:p w14:paraId="658BBF42">
      <w:pPr>
        <w:snapToGrid w:val="0"/>
        <w:spacing w:line="360" w:lineRule="auto"/>
        <w:ind w:firstLine="4935" w:firstLineChars="2350"/>
        <w:rPr>
          <w:rFonts w:hAnsi="宋体"/>
          <w:color w:val="auto"/>
          <w:szCs w:val="21"/>
          <w:highlight w:val="none"/>
        </w:rPr>
      </w:pPr>
    </w:p>
    <w:p w14:paraId="3D3523D0">
      <w:pPr>
        <w:snapToGrid w:val="0"/>
        <w:spacing w:line="360" w:lineRule="auto"/>
        <w:ind w:firstLine="4935" w:firstLineChars="2350"/>
        <w:rPr>
          <w:rFonts w:hAnsi="宋体"/>
          <w:color w:val="auto"/>
          <w:szCs w:val="21"/>
          <w:highlight w:val="none"/>
        </w:rPr>
      </w:pPr>
    </w:p>
    <w:p w14:paraId="3AABBE6D">
      <w:pPr>
        <w:snapToGrid w:val="0"/>
        <w:spacing w:line="360" w:lineRule="auto"/>
        <w:ind w:firstLine="4935" w:firstLineChars="2350"/>
        <w:rPr>
          <w:rFonts w:ascii="仿宋" w:hAnsi="仿宋" w:eastAsia="仿宋" w:cs="仿宋"/>
          <w:color w:val="auto"/>
          <w:szCs w:val="21"/>
          <w:highlight w:val="none"/>
        </w:rPr>
      </w:pPr>
    </w:p>
    <w:p w14:paraId="69B52999">
      <w:pPr>
        <w:snapToGrid w:val="0"/>
        <w:spacing w:line="360" w:lineRule="auto"/>
        <w:ind w:firstLine="4935" w:firstLineChars="2350"/>
        <w:rPr>
          <w:rFonts w:ascii="仿宋" w:hAnsi="仿宋" w:eastAsia="仿宋" w:cs="仿宋"/>
          <w:color w:val="auto"/>
          <w:kern w:val="0"/>
          <w:sz w:val="24"/>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kern w:val="0"/>
          <w:sz w:val="24"/>
          <w:highlight w:val="none"/>
          <w:lang w:val="zh-CN"/>
        </w:rPr>
        <w:t>投标人名称（电子签章）：</w:t>
      </w:r>
    </w:p>
    <w:p w14:paraId="6609AFCA">
      <w:pPr>
        <w:snapToGrid w:val="0"/>
        <w:spacing w:line="360" w:lineRule="auto"/>
        <w:ind w:firstLine="5160" w:firstLineChars="215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1CA9D717">
      <w:pPr>
        <w:snapToGrid w:val="0"/>
        <w:spacing w:before="165" w:beforeLines="50" w:after="50"/>
        <w:ind w:firstLine="602" w:firstLineChars="200"/>
        <w:jc w:val="center"/>
        <w:rPr>
          <w:rFonts w:ascii="仿宋" w:hAnsi="仿宋" w:eastAsia="仿宋" w:cs="仿宋"/>
          <w:b/>
          <w:bCs/>
          <w:color w:val="auto"/>
          <w:sz w:val="30"/>
          <w:szCs w:val="30"/>
          <w:highlight w:val="none"/>
        </w:rPr>
      </w:pPr>
    </w:p>
    <w:p w14:paraId="3AAD46C0">
      <w:pPr>
        <w:widowControl/>
        <w:jc w:val="left"/>
        <w:rPr>
          <w:rFonts w:ascii="仿宋" w:hAnsi="仿宋" w:eastAsia="仿宋" w:cs="仿宋"/>
          <w:b/>
          <w:bCs/>
          <w:color w:val="auto"/>
          <w:sz w:val="30"/>
          <w:szCs w:val="30"/>
          <w:highlight w:val="none"/>
        </w:rPr>
        <w:sectPr>
          <w:pgSz w:w="11906" w:h="16838"/>
          <w:pgMar w:top="1134" w:right="1134" w:bottom="1134" w:left="1134" w:header="720" w:footer="720" w:gutter="0"/>
          <w:cols w:space="720" w:num="1"/>
          <w:docGrid w:type="lines" w:linePitch="331" w:charSpace="0"/>
        </w:sectPr>
      </w:pPr>
    </w:p>
    <w:p w14:paraId="248012D6">
      <w:pPr>
        <w:snapToGrid w:val="0"/>
        <w:spacing w:before="165" w:beforeLines="50" w:after="50"/>
        <w:ind w:firstLine="602" w:firstLineChars="200"/>
        <w:jc w:val="center"/>
        <w:rPr>
          <w:b/>
          <w:bCs/>
          <w:color w:val="auto"/>
          <w:sz w:val="30"/>
          <w:szCs w:val="30"/>
          <w:highlight w:val="none"/>
        </w:rPr>
      </w:pPr>
      <w:r>
        <w:rPr>
          <w:rFonts w:hint="eastAsia"/>
          <w:b/>
          <w:bCs/>
          <w:color w:val="auto"/>
          <w:sz w:val="30"/>
          <w:szCs w:val="30"/>
          <w:highlight w:val="none"/>
        </w:rPr>
        <w:t>六、投标人类似的业绩证明文件（如有要求）</w:t>
      </w:r>
    </w:p>
    <w:p w14:paraId="605F6279">
      <w:pPr>
        <w:pStyle w:val="26"/>
        <w:snapToGrid w:val="0"/>
        <w:ind w:left="480" w:hanging="480"/>
        <w:rPr>
          <w:rFonts w:ascii="宋体" w:hAnsi="宋体"/>
          <w:color w:val="auto"/>
          <w:sz w:val="24"/>
          <w:highlight w:val="none"/>
        </w:rPr>
      </w:pPr>
    </w:p>
    <w:p w14:paraId="4651A7C7">
      <w:pPr>
        <w:pStyle w:val="26"/>
        <w:snapToGrid w:val="0"/>
        <w:ind w:left="0" w:firstLine="0" w:firstLineChars="0"/>
        <w:rPr>
          <w:rFonts w:ascii="宋体" w:hAnsi="宋体"/>
          <w:color w:val="auto"/>
          <w:sz w:val="24"/>
          <w:highlight w:val="none"/>
        </w:rPr>
      </w:pPr>
    </w:p>
    <w:p w14:paraId="459E65BE">
      <w:pPr>
        <w:autoSpaceDE w:val="0"/>
        <w:autoSpaceDN w:val="0"/>
        <w:spacing w:line="360" w:lineRule="auto"/>
        <w:ind w:firstLine="120"/>
        <w:rPr>
          <w:rFonts w:ascii="仿宋" w:hAnsi="仿宋" w:eastAsia="仿宋" w:cs="仿宋"/>
          <w:color w:val="auto"/>
          <w:sz w:val="24"/>
          <w:highlight w:val="none"/>
        </w:rPr>
      </w:pPr>
      <w:r>
        <w:rPr>
          <w:rFonts w:hint="eastAsia" w:ascii="仿宋" w:hAnsi="仿宋" w:eastAsia="仿宋" w:cs="仿宋"/>
          <w:b/>
          <w:color w:val="auto"/>
          <w:sz w:val="24"/>
          <w:highlight w:val="none"/>
        </w:rPr>
        <w:t xml:space="preserve">附表 </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相关项目业绩一览表（投标人同类项目合同复印件、用户验收报告、用户评价意见格式自拟）</w:t>
      </w:r>
    </w:p>
    <w:tbl>
      <w:tblPr>
        <w:tblStyle w:val="35"/>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2A8DD0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68B20BCD">
            <w:pPr>
              <w:snapToGrid w:val="0"/>
              <w:jc w:val="center"/>
              <w:rPr>
                <w:rFonts w:ascii="宋体" w:hAnsi="宋体"/>
                <w:color w:val="auto"/>
                <w:sz w:val="24"/>
                <w:highlight w:val="none"/>
              </w:rPr>
            </w:pPr>
            <w:r>
              <w:rPr>
                <w:rFonts w:hint="eastAsia" w:ascii="宋体" w:hAnsi="宋体"/>
                <w:color w:val="auto"/>
                <w:sz w:val="24"/>
                <w:highlight w:val="none"/>
              </w:rPr>
              <w:t>采购人名称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117BB940">
            <w:pPr>
              <w:snapToGrid w:val="0"/>
              <w:jc w:val="center"/>
              <w:rPr>
                <w:rFonts w:ascii="宋体" w:hAnsi="宋体"/>
                <w:color w:val="auto"/>
                <w:sz w:val="24"/>
                <w:highlight w:val="none"/>
              </w:rPr>
            </w:pPr>
            <w:r>
              <w:rPr>
                <w:rFonts w:hint="eastAsia" w:ascii="宋体" w:hAnsi="宋体"/>
                <w:color w:val="auto"/>
                <w:sz w:val="24"/>
                <w:highlight w:val="none"/>
              </w:rPr>
              <w:t>项目名称</w:t>
            </w:r>
          </w:p>
        </w:tc>
        <w:tc>
          <w:tcPr>
            <w:tcW w:w="1715" w:type="dxa"/>
            <w:vMerge w:val="restart"/>
            <w:tcBorders>
              <w:top w:val="single" w:color="auto" w:sz="4" w:space="0"/>
              <w:left w:val="single" w:color="auto" w:sz="4" w:space="0"/>
              <w:bottom w:val="single" w:color="auto" w:sz="4" w:space="0"/>
              <w:right w:val="single" w:color="auto" w:sz="4" w:space="0"/>
            </w:tcBorders>
            <w:vAlign w:val="center"/>
          </w:tcPr>
          <w:p w14:paraId="527E96CE">
            <w:pPr>
              <w:snapToGrid w:val="0"/>
              <w:jc w:val="center"/>
              <w:rPr>
                <w:rFonts w:ascii="宋体" w:hAnsi="宋体"/>
                <w:color w:val="auto"/>
                <w:sz w:val="24"/>
                <w:highlight w:val="none"/>
              </w:rPr>
            </w:pPr>
            <w:r>
              <w:rPr>
                <w:rFonts w:hint="eastAsia" w:ascii="宋体" w:hAnsi="宋体"/>
                <w:color w:val="auto"/>
                <w:sz w:val="24"/>
                <w:highlight w:val="none"/>
              </w:rPr>
              <w:t>合同</w:t>
            </w:r>
          </w:p>
          <w:p w14:paraId="5D6C2C69">
            <w:pPr>
              <w:snapToGrid w:val="0"/>
              <w:jc w:val="center"/>
              <w:rPr>
                <w:rFonts w:ascii="宋体" w:hAnsi="宋体"/>
                <w:color w:val="auto"/>
                <w:sz w:val="24"/>
                <w:highlight w:val="none"/>
              </w:rPr>
            </w:pPr>
            <w:r>
              <w:rPr>
                <w:rFonts w:hint="eastAsia" w:ascii="宋体" w:hAnsi="宋体"/>
                <w:color w:val="auto"/>
                <w:sz w:val="24"/>
                <w:highlight w:val="none"/>
              </w:rPr>
              <w:t>金额</w:t>
            </w:r>
          </w:p>
          <w:p w14:paraId="19F08E3D">
            <w:pPr>
              <w:snapToGrid w:val="0"/>
              <w:jc w:val="center"/>
              <w:rPr>
                <w:rFonts w:ascii="宋体" w:hAnsi="宋体"/>
                <w:color w:val="auto"/>
                <w:sz w:val="24"/>
                <w:highlight w:val="none"/>
              </w:rPr>
            </w:pPr>
            <w:r>
              <w:rPr>
                <w:rFonts w:hint="eastAsia" w:ascii="宋体" w:hAnsi="宋体"/>
                <w:color w:val="auto"/>
                <w:sz w:val="24"/>
                <w:highlight w:val="none"/>
              </w:rPr>
              <w:t>（万元）</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3C8D88AF">
            <w:pPr>
              <w:snapToGrid w:val="0"/>
              <w:jc w:val="center"/>
              <w:rPr>
                <w:rFonts w:ascii="宋体" w:hAnsi="宋体"/>
                <w:color w:val="auto"/>
                <w:sz w:val="24"/>
                <w:highlight w:val="none"/>
              </w:rPr>
            </w:pPr>
            <w:r>
              <w:rPr>
                <w:rFonts w:hint="eastAsia" w:ascii="宋体" w:hAnsi="宋体"/>
                <w:color w:val="auto"/>
                <w:sz w:val="24"/>
                <w:highlight w:val="none"/>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1CC18934">
            <w:pPr>
              <w:snapToGrid w:val="0"/>
              <w:jc w:val="center"/>
              <w:rPr>
                <w:rFonts w:ascii="宋体" w:hAnsi="宋体"/>
                <w:color w:val="auto"/>
                <w:sz w:val="24"/>
                <w:highlight w:val="none"/>
              </w:rPr>
            </w:pPr>
            <w:r>
              <w:rPr>
                <w:rFonts w:hint="eastAsia" w:ascii="宋体" w:hAnsi="宋体"/>
                <w:color w:val="auto"/>
                <w:sz w:val="24"/>
                <w:highlight w:val="none"/>
              </w:rPr>
              <w:t>采购人联系人及</w:t>
            </w:r>
          </w:p>
          <w:p w14:paraId="47B94B62">
            <w:pPr>
              <w:snapToGrid w:val="0"/>
              <w:jc w:val="center"/>
              <w:rPr>
                <w:rFonts w:ascii="宋体" w:hAnsi="宋体"/>
                <w:color w:val="auto"/>
                <w:sz w:val="24"/>
                <w:highlight w:val="none"/>
              </w:rPr>
            </w:pPr>
            <w:r>
              <w:rPr>
                <w:rFonts w:hint="eastAsia" w:ascii="宋体" w:hAnsi="宋体"/>
                <w:color w:val="auto"/>
                <w:sz w:val="24"/>
                <w:highlight w:val="none"/>
              </w:rPr>
              <w:t>联系电话</w:t>
            </w:r>
          </w:p>
        </w:tc>
      </w:tr>
      <w:tr w14:paraId="09FC80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7"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1D9719FB">
            <w:pPr>
              <w:widowControl/>
              <w:jc w:val="left"/>
              <w:rPr>
                <w:rFonts w:ascii="宋体" w:hAnsi="宋体"/>
                <w:color w:val="auto"/>
                <w:sz w:val="24"/>
                <w:highlight w:val="none"/>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48CC8222">
            <w:pPr>
              <w:widowControl/>
              <w:jc w:val="left"/>
              <w:rPr>
                <w:rFonts w:ascii="宋体" w:hAnsi="宋体"/>
                <w:color w:val="auto"/>
                <w:sz w:val="24"/>
                <w:highlight w:val="none"/>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68A924EC">
            <w:pPr>
              <w:widowControl/>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3BFA5205">
            <w:pPr>
              <w:snapToGrid w:val="0"/>
              <w:spacing w:line="240" w:lineRule="exact"/>
              <w:jc w:val="center"/>
              <w:rPr>
                <w:rFonts w:ascii="宋体" w:hAnsi="宋体"/>
                <w:color w:val="auto"/>
                <w:sz w:val="24"/>
                <w:highlight w:val="none"/>
              </w:rPr>
            </w:pPr>
            <w:r>
              <w:rPr>
                <w:rFonts w:hint="eastAsia" w:ascii="宋体" w:hAnsi="宋体"/>
                <w:color w:val="auto"/>
                <w:sz w:val="24"/>
                <w:highlight w:val="none"/>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0D294CF5">
            <w:pPr>
              <w:snapToGrid w:val="0"/>
              <w:spacing w:line="240" w:lineRule="exact"/>
              <w:jc w:val="center"/>
              <w:rPr>
                <w:rFonts w:ascii="宋体" w:hAnsi="宋体"/>
                <w:color w:val="auto"/>
                <w:sz w:val="24"/>
                <w:highlight w:val="none"/>
              </w:rPr>
            </w:pPr>
            <w:r>
              <w:rPr>
                <w:rFonts w:hint="eastAsia" w:ascii="宋体" w:hAnsi="宋体"/>
                <w:color w:val="auto"/>
                <w:sz w:val="24"/>
                <w:highlight w:val="none"/>
              </w:rPr>
              <w:t>验收报告</w:t>
            </w:r>
          </w:p>
        </w:tc>
        <w:tc>
          <w:tcPr>
            <w:tcW w:w="1418" w:type="dxa"/>
            <w:tcBorders>
              <w:top w:val="single" w:color="auto" w:sz="4" w:space="0"/>
              <w:left w:val="single" w:color="auto" w:sz="4" w:space="0"/>
              <w:bottom w:val="single" w:color="auto" w:sz="4" w:space="0"/>
              <w:right w:val="single" w:color="auto" w:sz="4" w:space="0"/>
            </w:tcBorders>
            <w:vAlign w:val="center"/>
          </w:tcPr>
          <w:p w14:paraId="0479FCE5">
            <w:pPr>
              <w:snapToGrid w:val="0"/>
              <w:spacing w:line="240" w:lineRule="exact"/>
              <w:jc w:val="center"/>
              <w:rPr>
                <w:rFonts w:ascii="宋体" w:hAnsi="宋体"/>
                <w:color w:val="auto"/>
                <w:sz w:val="24"/>
                <w:highlight w:val="none"/>
              </w:rPr>
            </w:pPr>
            <w:r>
              <w:rPr>
                <w:rFonts w:hint="eastAsia" w:ascii="宋体" w:hAnsi="宋体"/>
                <w:color w:val="auto"/>
                <w:sz w:val="24"/>
                <w:highlight w:val="none"/>
              </w:rPr>
              <w:t>用户评价</w:t>
            </w: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56E77EE8">
            <w:pPr>
              <w:widowControl/>
              <w:jc w:val="left"/>
              <w:rPr>
                <w:rFonts w:ascii="宋体" w:hAnsi="宋体"/>
                <w:color w:val="auto"/>
                <w:sz w:val="24"/>
                <w:highlight w:val="none"/>
              </w:rPr>
            </w:pPr>
          </w:p>
        </w:tc>
      </w:tr>
      <w:tr w14:paraId="333233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14:paraId="36D85A0D">
            <w:pPr>
              <w:snapToGrid w:val="0"/>
              <w:spacing w:line="240" w:lineRule="exact"/>
              <w:jc w:val="left"/>
              <w:rPr>
                <w:rFonts w:ascii="宋体" w:hAnsi="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250366E3">
            <w:pPr>
              <w:snapToGrid w:val="0"/>
              <w:spacing w:line="240" w:lineRule="exact"/>
              <w:jc w:val="left"/>
              <w:rPr>
                <w:rFonts w:ascii="宋体" w:hAnsi="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0E8ED4DB">
            <w:pPr>
              <w:snapToGrid w:val="0"/>
              <w:spacing w:line="240" w:lineRule="exact"/>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1888867D">
            <w:pPr>
              <w:snapToGrid w:val="0"/>
              <w:spacing w:line="240" w:lineRule="exact"/>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489C3457">
            <w:pPr>
              <w:snapToGrid w:val="0"/>
              <w:spacing w:line="240" w:lineRule="exact"/>
              <w:jc w:val="left"/>
              <w:rPr>
                <w:rFonts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2B90B9A9">
            <w:pPr>
              <w:snapToGrid w:val="0"/>
              <w:spacing w:line="240" w:lineRule="exact"/>
              <w:jc w:val="left"/>
              <w:rPr>
                <w:rFonts w:ascii="宋体" w:hAnsi="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6A2F49E1">
            <w:pPr>
              <w:snapToGrid w:val="0"/>
              <w:spacing w:line="240" w:lineRule="exact"/>
              <w:jc w:val="left"/>
              <w:rPr>
                <w:rFonts w:ascii="宋体" w:hAnsi="宋体"/>
                <w:color w:val="auto"/>
                <w:sz w:val="24"/>
                <w:highlight w:val="none"/>
              </w:rPr>
            </w:pPr>
          </w:p>
        </w:tc>
      </w:tr>
      <w:tr w14:paraId="686AA5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27EE8B85">
            <w:pPr>
              <w:snapToGrid w:val="0"/>
              <w:spacing w:before="50" w:after="165" w:afterLines="50" w:line="400" w:lineRule="exact"/>
              <w:jc w:val="left"/>
              <w:rPr>
                <w:rFonts w:ascii="宋体" w:hAnsi="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056B34E0">
            <w:pPr>
              <w:snapToGrid w:val="0"/>
              <w:spacing w:before="50" w:after="165" w:afterLines="50" w:line="400" w:lineRule="exact"/>
              <w:jc w:val="left"/>
              <w:rPr>
                <w:rFonts w:ascii="宋体" w:hAnsi="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7CD83AC1">
            <w:pPr>
              <w:snapToGrid w:val="0"/>
              <w:spacing w:before="50" w:after="165" w:afterLines="50" w:line="400" w:lineRule="exact"/>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0E5305F6">
            <w:pPr>
              <w:snapToGrid w:val="0"/>
              <w:spacing w:before="50" w:after="165" w:afterLines="50" w:line="400" w:lineRule="exact"/>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2186DFC">
            <w:pPr>
              <w:snapToGrid w:val="0"/>
              <w:spacing w:before="50" w:after="165" w:afterLines="50" w:line="400" w:lineRule="exact"/>
              <w:jc w:val="left"/>
              <w:rPr>
                <w:rFonts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1E401831">
            <w:pPr>
              <w:snapToGrid w:val="0"/>
              <w:spacing w:before="50" w:after="165" w:afterLines="50" w:line="400" w:lineRule="exact"/>
              <w:jc w:val="left"/>
              <w:rPr>
                <w:rFonts w:ascii="宋体" w:hAnsi="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1BECD9C2">
            <w:pPr>
              <w:snapToGrid w:val="0"/>
              <w:spacing w:before="50" w:after="165" w:afterLines="50" w:line="400" w:lineRule="exact"/>
              <w:jc w:val="left"/>
              <w:rPr>
                <w:rFonts w:ascii="宋体" w:hAnsi="宋体"/>
                <w:color w:val="auto"/>
                <w:sz w:val="24"/>
                <w:highlight w:val="none"/>
              </w:rPr>
            </w:pPr>
          </w:p>
        </w:tc>
      </w:tr>
      <w:tr w14:paraId="192D4C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5E6261D1">
            <w:pPr>
              <w:snapToGrid w:val="0"/>
              <w:spacing w:before="50" w:after="165" w:afterLines="50" w:line="400" w:lineRule="exact"/>
              <w:jc w:val="left"/>
              <w:rPr>
                <w:rFonts w:ascii="宋体" w:hAnsi="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7F4F80D0">
            <w:pPr>
              <w:snapToGrid w:val="0"/>
              <w:spacing w:before="50" w:after="165" w:afterLines="50" w:line="400" w:lineRule="exact"/>
              <w:jc w:val="left"/>
              <w:rPr>
                <w:rFonts w:ascii="宋体" w:hAnsi="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280DAF5D">
            <w:pPr>
              <w:snapToGrid w:val="0"/>
              <w:spacing w:before="50" w:after="165" w:afterLines="50" w:line="400" w:lineRule="exact"/>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300D49BE">
            <w:pPr>
              <w:snapToGrid w:val="0"/>
              <w:spacing w:before="50" w:after="165" w:afterLines="50" w:line="400" w:lineRule="exact"/>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08D2D864">
            <w:pPr>
              <w:snapToGrid w:val="0"/>
              <w:spacing w:before="50" w:after="165" w:afterLines="50" w:line="400" w:lineRule="exact"/>
              <w:jc w:val="left"/>
              <w:rPr>
                <w:rFonts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1BC42A0E">
            <w:pPr>
              <w:snapToGrid w:val="0"/>
              <w:spacing w:before="50" w:after="165" w:afterLines="50" w:line="400" w:lineRule="exact"/>
              <w:jc w:val="left"/>
              <w:rPr>
                <w:rFonts w:ascii="宋体" w:hAnsi="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4F8E17A1">
            <w:pPr>
              <w:snapToGrid w:val="0"/>
              <w:spacing w:before="50" w:after="165" w:afterLines="50" w:line="400" w:lineRule="exact"/>
              <w:jc w:val="left"/>
              <w:rPr>
                <w:rFonts w:ascii="宋体" w:hAnsi="宋体"/>
                <w:color w:val="auto"/>
                <w:sz w:val="24"/>
                <w:highlight w:val="none"/>
              </w:rPr>
            </w:pPr>
          </w:p>
        </w:tc>
      </w:tr>
      <w:tr w14:paraId="369AD9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79D658B4">
            <w:pPr>
              <w:snapToGrid w:val="0"/>
              <w:spacing w:before="50" w:after="165" w:afterLines="50" w:line="400" w:lineRule="exact"/>
              <w:jc w:val="left"/>
              <w:rPr>
                <w:rFonts w:ascii="宋体" w:hAnsi="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2F15ECF3">
            <w:pPr>
              <w:snapToGrid w:val="0"/>
              <w:spacing w:before="50" w:after="165" w:afterLines="50" w:line="400" w:lineRule="exact"/>
              <w:jc w:val="left"/>
              <w:rPr>
                <w:rFonts w:ascii="宋体" w:hAnsi="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772FEDFB">
            <w:pPr>
              <w:snapToGrid w:val="0"/>
              <w:spacing w:before="50" w:after="165" w:afterLines="50" w:line="400" w:lineRule="exact"/>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04C9AFDF">
            <w:pPr>
              <w:snapToGrid w:val="0"/>
              <w:spacing w:before="50" w:after="165" w:afterLines="50" w:line="400" w:lineRule="exact"/>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486CB0E3">
            <w:pPr>
              <w:snapToGrid w:val="0"/>
              <w:spacing w:before="50" w:after="165" w:afterLines="50" w:line="400" w:lineRule="exact"/>
              <w:jc w:val="left"/>
              <w:rPr>
                <w:rFonts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0CCADB1F">
            <w:pPr>
              <w:snapToGrid w:val="0"/>
              <w:spacing w:before="50" w:after="165" w:afterLines="50" w:line="400" w:lineRule="exact"/>
              <w:jc w:val="left"/>
              <w:rPr>
                <w:rFonts w:ascii="宋体" w:hAnsi="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5D44E1E4">
            <w:pPr>
              <w:snapToGrid w:val="0"/>
              <w:spacing w:before="50" w:after="165" w:afterLines="50" w:line="400" w:lineRule="exact"/>
              <w:jc w:val="left"/>
              <w:rPr>
                <w:rFonts w:ascii="宋体" w:hAnsi="宋体"/>
                <w:color w:val="auto"/>
                <w:sz w:val="24"/>
                <w:highlight w:val="none"/>
              </w:rPr>
            </w:pPr>
          </w:p>
        </w:tc>
      </w:tr>
      <w:tr w14:paraId="1E0EEC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6D93C5CB">
            <w:pPr>
              <w:snapToGrid w:val="0"/>
              <w:spacing w:before="50" w:after="165" w:afterLines="50" w:line="400" w:lineRule="exact"/>
              <w:jc w:val="left"/>
              <w:rPr>
                <w:rFonts w:ascii="宋体" w:hAnsi="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5917FA79">
            <w:pPr>
              <w:snapToGrid w:val="0"/>
              <w:spacing w:before="50" w:after="165" w:afterLines="50" w:line="400" w:lineRule="exact"/>
              <w:jc w:val="left"/>
              <w:rPr>
                <w:rFonts w:ascii="宋体" w:hAnsi="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07F0EC5F">
            <w:pPr>
              <w:snapToGrid w:val="0"/>
              <w:spacing w:before="50" w:after="165" w:afterLines="50" w:line="400" w:lineRule="exact"/>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40A8A804">
            <w:pPr>
              <w:snapToGrid w:val="0"/>
              <w:spacing w:before="50" w:after="165" w:afterLines="50" w:line="400" w:lineRule="exact"/>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1428170">
            <w:pPr>
              <w:snapToGrid w:val="0"/>
              <w:spacing w:before="50" w:after="165" w:afterLines="50" w:line="400" w:lineRule="exact"/>
              <w:jc w:val="left"/>
              <w:rPr>
                <w:rFonts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0F6C7351">
            <w:pPr>
              <w:snapToGrid w:val="0"/>
              <w:spacing w:before="50" w:after="165" w:afterLines="50" w:line="400" w:lineRule="exact"/>
              <w:jc w:val="left"/>
              <w:rPr>
                <w:rFonts w:ascii="宋体" w:hAnsi="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4E90A4CB">
            <w:pPr>
              <w:snapToGrid w:val="0"/>
              <w:spacing w:before="50" w:after="165" w:afterLines="50" w:line="400" w:lineRule="exact"/>
              <w:jc w:val="left"/>
              <w:rPr>
                <w:rFonts w:ascii="宋体" w:hAnsi="宋体"/>
                <w:color w:val="auto"/>
                <w:sz w:val="24"/>
                <w:highlight w:val="none"/>
              </w:rPr>
            </w:pPr>
          </w:p>
        </w:tc>
      </w:tr>
    </w:tbl>
    <w:p w14:paraId="3D9B2030">
      <w:pPr>
        <w:pStyle w:val="14"/>
        <w:spacing w:line="360" w:lineRule="auto"/>
        <w:ind w:left="72"/>
        <w:rPr>
          <w:rFonts w:ascii="Times New Roman" w:hAnsi="Times New Roman"/>
          <w:color w:val="auto"/>
          <w:highlight w:val="none"/>
        </w:rPr>
      </w:pPr>
      <w:r>
        <w:rPr>
          <w:rFonts w:hint="eastAsia" w:ascii="Times New Roman" w:hAnsi="Times New Roman"/>
          <w:color w:val="auto"/>
          <w:highlight w:val="none"/>
        </w:rPr>
        <w:t>注：投标人可按上述的格式自行编制，须随表提交相应的合同复印件和用户单位验收证明并注明所在投标人商务技术文件页码。</w:t>
      </w:r>
    </w:p>
    <w:p w14:paraId="032E9BC5">
      <w:pPr>
        <w:snapToGrid w:val="0"/>
        <w:spacing w:line="360" w:lineRule="auto"/>
        <w:ind w:firstLine="4935" w:firstLineChars="2350"/>
        <w:rPr>
          <w:rFonts w:hAnsi="宋体"/>
          <w:color w:val="auto"/>
          <w:szCs w:val="21"/>
          <w:highlight w:val="none"/>
        </w:rPr>
      </w:pPr>
      <w:r>
        <w:rPr>
          <w:rFonts w:hAnsi="宋体"/>
          <w:color w:val="auto"/>
          <w:szCs w:val="21"/>
          <w:highlight w:val="none"/>
        </w:rPr>
        <w:t xml:space="preserve"> </w:t>
      </w:r>
    </w:p>
    <w:p w14:paraId="2E1A8F3D">
      <w:pPr>
        <w:snapToGrid w:val="0"/>
        <w:spacing w:line="360" w:lineRule="auto"/>
        <w:ind w:firstLine="4935" w:firstLineChars="2350"/>
        <w:rPr>
          <w:rFonts w:hAnsi="宋体"/>
          <w:color w:val="auto"/>
          <w:szCs w:val="21"/>
          <w:highlight w:val="none"/>
        </w:rPr>
      </w:pPr>
    </w:p>
    <w:p w14:paraId="4BF5D341">
      <w:pPr>
        <w:snapToGrid w:val="0"/>
        <w:spacing w:line="360" w:lineRule="auto"/>
        <w:ind w:firstLine="10080" w:firstLineChars="4800"/>
        <w:rPr>
          <w:rFonts w:ascii="仿宋" w:hAnsi="仿宋" w:eastAsia="仿宋" w:cs="仿宋"/>
          <w:color w:val="auto"/>
          <w:kern w:val="0"/>
          <w:sz w:val="24"/>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kern w:val="0"/>
          <w:sz w:val="24"/>
          <w:highlight w:val="none"/>
          <w:lang w:val="zh-CN"/>
        </w:rPr>
        <w:t>投标人名称（电子签章）：</w:t>
      </w:r>
    </w:p>
    <w:p w14:paraId="30B64905">
      <w:pPr>
        <w:snapToGrid w:val="0"/>
        <w:spacing w:line="360" w:lineRule="auto"/>
        <w:ind w:firstLine="10320" w:firstLineChars="43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5C1C0793">
      <w:pPr>
        <w:widowControl/>
        <w:spacing w:line="360" w:lineRule="auto"/>
        <w:jc w:val="left"/>
        <w:rPr>
          <w:rFonts w:ascii="仿宋" w:hAnsi="仿宋" w:eastAsia="仿宋" w:cs="仿宋"/>
          <w:color w:val="auto"/>
          <w:kern w:val="0"/>
          <w:sz w:val="24"/>
          <w:highlight w:val="none"/>
          <w:lang w:val="zh-CN"/>
        </w:rPr>
        <w:sectPr>
          <w:pgSz w:w="16838" w:h="11906" w:orient="landscape"/>
          <w:pgMar w:top="1134" w:right="1134" w:bottom="1134" w:left="1134" w:header="720" w:footer="720" w:gutter="0"/>
          <w:cols w:space="720" w:num="1"/>
          <w:docGrid w:type="lines" w:linePitch="331" w:charSpace="0"/>
        </w:sectPr>
      </w:pPr>
    </w:p>
    <w:p w14:paraId="3A5B8C89">
      <w:pPr>
        <w:pStyle w:val="14"/>
        <w:jc w:val="center"/>
        <w:outlineLvl w:val="1"/>
        <w:rPr>
          <w:rFonts w:hAnsi="宋体"/>
          <w:b/>
          <w:bCs/>
          <w:color w:val="auto"/>
          <w:sz w:val="28"/>
          <w:szCs w:val="28"/>
          <w:highlight w:val="none"/>
        </w:rPr>
      </w:pPr>
      <w:bookmarkStart w:id="33" w:name="_Toc30615"/>
      <w:r>
        <w:rPr>
          <w:rFonts w:hint="eastAsia" w:hAnsi="宋体"/>
          <w:b/>
          <w:bCs/>
          <w:color w:val="auto"/>
          <w:sz w:val="28"/>
          <w:szCs w:val="28"/>
          <w:highlight w:val="none"/>
        </w:rPr>
        <w:t>第四节 技术文件格式</w:t>
      </w:r>
      <w:bookmarkEnd w:id="33"/>
    </w:p>
    <w:p w14:paraId="652B4074">
      <w:pPr>
        <w:snapToGrid w:val="0"/>
        <w:spacing w:before="165" w:beforeLines="50" w:after="50"/>
        <w:rPr>
          <w:rFonts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电子投标文件</w:t>
      </w:r>
    </w:p>
    <w:p w14:paraId="4754966E">
      <w:pPr>
        <w:snapToGrid w:val="0"/>
        <w:spacing w:before="165" w:beforeLines="50" w:after="50"/>
        <w:rPr>
          <w:rFonts w:ascii="宋体" w:hAnsi="宋体"/>
          <w:color w:val="auto"/>
          <w:sz w:val="24"/>
          <w:szCs w:val="20"/>
          <w:highlight w:val="none"/>
        </w:rPr>
      </w:pPr>
    </w:p>
    <w:p w14:paraId="131BD035">
      <w:pPr>
        <w:snapToGrid w:val="0"/>
        <w:spacing w:before="165" w:beforeLines="50" w:after="50"/>
        <w:jc w:val="center"/>
        <w:rPr>
          <w:rFonts w:ascii="宋体" w:hAnsi="宋体"/>
          <w:b/>
          <w:bCs/>
          <w:color w:val="auto"/>
          <w:sz w:val="32"/>
          <w:szCs w:val="32"/>
          <w:highlight w:val="none"/>
        </w:rPr>
      </w:pPr>
    </w:p>
    <w:p w14:paraId="2D0F375B">
      <w:pPr>
        <w:snapToGrid w:val="0"/>
        <w:spacing w:before="165" w:beforeLines="50" w:after="50"/>
        <w:jc w:val="center"/>
        <w:rPr>
          <w:rFonts w:ascii="宋体" w:hAnsi="宋体"/>
          <w:b/>
          <w:bCs/>
          <w:color w:val="auto"/>
          <w:sz w:val="32"/>
          <w:szCs w:val="32"/>
          <w:highlight w:val="none"/>
        </w:rPr>
      </w:pPr>
    </w:p>
    <w:p w14:paraId="3BCB5714">
      <w:pPr>
        <w:snapToGrid w:val="0"/>
        <w:spacing w:before="165" w:beforeLines="50" w:after="50"/>
        <w:jc w:val="center"/>
        <w:rPr>
          <w:rFonts w:ascii="宋体" w:hAnsi="宋体"/>
          <w:b/>
          <w:bCs/>
          <w:color w:val="auto"/>
          <w:sz w:val="32"/>
          <w:szCs w:val="32"/>
          <w:highlight w:val="none"/>
        </w:rPr>
      </w:pPr>
    </w:p>
    <w:p w14:paraId="02D87CE0">
      <w:pPr>
        <w:snapToGrid w:val="0"/>
        <w:spacing w:before="165" w:beforeLines="50" w:after="50"/>
        <w:jc w:val="center"/>
        <w:rPr>
          <w:rFonts w:ascii="宋体" w:hAnsi="宋体"/>
          <w:b/>
          <w:bCs/>
          <w:color w:val="auto"/>
          <w:sz w:val="32"/>
          <w:szCs w:val="32"/>
          <w:highlight w:val="none"/>
        </w:rPr>
      </w:pPr>
      <w:r>
        <w:rPr>
          <w:rFonts w:hint="eastAsia" w:ascii="宋体" w:hAnsi="宋体"/>
          <w:b/>
          <w:bCs/>
          <w:color w:val="auto"/>
          <w:sz w:val="32"/>
          <w:szCs w:val="32"/>
          <w:highlight w:val="none"/>
        </w:rPr>
        <w:t>技术文件（封面）</w:t>
      </w:r>
    </w:p>
    <w:p w14:paraId="463B5259">
      <w:pPr>
        <w:snapToGrid w:val="0"/>
        <w:spacing w:before="165" w:beforeLines="50" w:after="50"/>
        <w:rPr>
          <w:rFonts w:ascii="宋体" w:hAnsi="宋体"/>
          <w:bCs/>
          <w:color w:val="auto"/>
          <w:sz w:val="24"/>
          <w:szCs w:val="20"/>
          <w:highlight w:val="none"/>
        </w:rPr>
      </w:pPr>
    </w:p>
    <w:p w14:paraId="6CD30A48">
      <w:pPr>
        <w:snapToGrid w:val="0"/>
        <w:spacing w:before="165" w:beforeLines="50" w:after="50" w:line="400" w:lineRule="exact"/>
        <w:ind w:firstLine="360" w:firstLineChars="150"/>
        <w:rPr>
          <w:rFonts w:ascii="宋体" w:hAnsi="宋体"/>
          <w:bCs/>
          <w:color w:val="auto"/>
          <w:sz w:val="24"/>
          <w:szCs w:val="20"/>
          <w:highlight w:val="none"/>
        </w:rPr>
      </w:pPr>
      <w:r>
        <w:rPr>
          <w:rFonts w:hint="eastAsia" w:ascii="宋体" w:hAnsi="宋体"/>
          <w:bCs/>
          <w:color w:val="auto"/>
          <w:sz w:val="24"/>
          <w:highlight w:val="none"/>
        </w:rPr>
        <w:t>项目名称：宾阳县县域公共就业服务能力提升项目</w:t>
      </w:r>
    </w:p>
    <w:p w14:paraId="773E56DA">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项目编号：</w:t>
      </w:r>
      <w:r>
        <w:rPr>
          <w:color w:val="auto"/>
          <w:highlight w:val="none"/>
        </w:rPr>
        <w:fldChar w:fldCharType="begin"/>
      </w:r>
      <w:r>
        <w:rPr>
          <w:color w:val="auto"/>
          <w:highlight w:val="none"/>
        </w:rPr>
        <w:instrText xml:space="preserve"> HYPERLINK "https://www.gcy.zfcg.gxzf.gov.cn/gaea/api/project/flow/redirect?projectId=7228427269057806418&amp;newUrl=https://www.gcy.zfcg.gxzf.gov.cn/micro-app-back-index/blank?_flow_type_=agency&amp;_flow_projectId_=7228427269057806418&amp;_jump_page_type_=project_procurement_management_flow&amp;_app_=zcy.procurement&amp;oldUrl=https://www.gcy.zfcg.gxzf.gov.cn/project-center/_procurement_/project-result-detail/7228427269057806418&amp;utm=web-project-center-front.42c12ca3.0.0.90a2dec0b62a11f084b5c3fd09c47019" \t "https://www.gcy.zfcg.gxzf.gov.cn/project-center/_procurement_/self-project/_blank" </w:instrText>
      </w:r>
      <w:r>
        <w:rPr>
          <w:color w:val="auto"/>
          <w:highlight w:val="none"/>
        </w:rPr>
        <w:fldChar w:fldCharType="separate"/>
      </w:r>
      <w:r>
        <w:rPr>
          <w:rFonts w:hint="eastAsia" w:ascii="宋体" w:hAnsi="宋体"/>
          <w:bCs/>
          <w:color w:val="auto"/>
          <w:sz w:val="24"/>
          <w:highlight w:val="none"/>
        </w:rPr>
        <w:t>NNZC2026-G3-260135-JDZB</w:t>
      </w:r>
      <w:r>
        <w:rPr>
          <w:rFonts w:hint="eastAsia" w:ascii="宋体" w:hAnsi="宋体"/>
          <w:bCs/>
          <w:color w:val="auto"/>
          <w:sz w:val="24"/>
          <w:highlight w:val="none"/>
        </w:rPr>
        <w:fldChar w:fldCharType="end"/>
      </w:r>
      <w:r>
        <w:rPr>
          <w:rFonts w:hint="eastAsia" w:ascii="宋体" w:hAnsi="宋体"/>
          <w:bCs/>
          <w:color w:val="auto"/>
          <w:sz w:val="24"/>
          <w:highlight w:val="none"/>
        </w:rPr>
        <w:t xml:space="preserve">        </w:t>
      </w:r>
    </w:p>
    <w:p w14:paraId="2D96DC36">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所投分标：</w:t>
      </w:r>
    </w:p>
    <w:p w14:paraId="0F8AD691">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投标人名称：</w:t>
      </w:r>
    </w:p>
    <w:p w14:paraId="5C562F13">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投标人地址：</w:t>
      </w:r>
    </w:p>
    <w:p w14:paraId="7158C0CB">
      <w:pPr>
        <w:snapToGrid w:val="0"/>
        <w:spacing w:before="165" w:beforeLines="50" w:after="50"/>
        <w:ind w:firstLine="645"/>
        <w:jc w:val="center"/>
        <w:rPr>
          <w:rFonts w:ascii="宋体" w:hAnsi="宋体"/>
          <w:color w:val="auto"/>
          <w:sz w:val="24"/>
          <w:highlight w:val="none"/>
        </w:rPr>
      </w:pPr>
      <w:r>
        <w:rPr>
          <w:rFonts w:hint="eastAsia" w:ascii="宋体" w:hAnsi="宋体"/>
          <w:color w:val="auto"/>
          <w:sz w:val="24"/>
          <w:highlight w:val="none"/>
        </w:rPr>
        <w:t xml:space="preserve">                        年    月    日</w:t>
      </w:r>
    </w:p>
    <w:p w14:paraId="74E9243A">
      <w:pPr>
        <w:snapToGrid w:val="0"/>
        <w:spacing w:before="165" w:beforeLines="50" w:after="50"/>
        <w:ind w:firstLine="645"/>
        <w:jc w:val="center"/>
        <w:rPr>
          <w:rFonts w:ascii="宋体" w:hAnsi="宋体"/>
          <w:color w:val="auto"/>
          <w:sz w:val="24"/>
          <w:szCs w:val="20"/>
          <w:highlight w:val="none"/>
        </w:rPr>
      </w:pPr>
    </w:p>
    <w:p w14:paraId="2F1FC845">
      <w:pPr>
        <w:jc w:val="center"/>
        <w:rPr>
          <w:rFonts w:ascii="仿宋_GB2312" w:hAnsi="仿宋" w:eastAsia="仿宋_GB2312" w:cs="仿宋_GB2312"/>
          <w:b/>
          <w:color w:val="auto"/>
          <w:kern w:val="0"/>
          <w:sz w:val="28"/>
          <w:szCs w:val="28"/>
          <w:highlight w:val="none"/>
        </w:rPr>
      </w:pPr>
      <w:r>
        <w:rPr>
          <w:rFonts w:hint="eastAsia" w:ascii="宋体" w:hAnsi="宋体"/>
          <w:b/>
          <w:bCs/>
          <w:color w:val="auto"/>
          <w:sz w:val="24"/>
          <w:highlight w:val="none"/>
        </w:rPr>
        <w:br w:type="page"/>
      </w:r>
      <w:r>
        <w:rPr>
          <w:rFonts w:hint="eastAsia" w:ascii="仿宋_GB2312" w:hAnsi="仿宋" w:eastAsia="仿宋_GB2312" w:cs="仿宋_GB2312"/>
          <w:b/>
          <w:color w:val="auto"/>
          <w:kern w:val="0"/>
          <w:sz w:val="28"/>
          <w:szCs w:val="28"/>
          <w:highlight w:val="none"/>
        </w:rPr>
        <w:t>技术文件目录</w:t>
      </w:r>
    </w:p>
    <w:p w14:paraId="7152DB00">
      <w:pPr>
        <w:pStyle w:val="101"/>
        <w:spacing w:line="360" w:lineRule="auto"/>
        <w:rPr>
          <w:rFonts w:ascii="仿宋" w:eastAsia="仿宋" w:cs="仿宋"/>
          <w:color w:val="auto"/>
          <w:highlight w:val="none"/>
        </w:rPr>
      </w:pPr>
      <w:r>
        <w:rPr>
          <w:rFonts w:hint="eastAsia" w:ascii="仿宋" w:eastAsia="仿宋" w:cs="仿宋"/>
          <w:color w:val="auto"/>
          <w:highlight w:val="none"/>
        </w:rPr>
        <w:t>一、服务需求偏离表…………………………………………………（页码）</w:t>
      </w:r>
    </w:p>
    <w:p w14:paraId="12A88A56">
      <w:pPr>
        <w:pStyle w:val="101"/>
        <w:spacing w:line="360" w:lineRule="auto"/>
        <w:rPr>
          <w:rFonts w:ascii="仿宋" w:eastAsia="仿宋" w:cs="仿宋"/>
          <w:color w:val="auto"/>
          <w:highlight w:val="none"/>
        </w:rPr>
      </w:pPr>
      <w:r>
        <w:rPr>
          <w:rFonts w:hint="eastAsia" w:ascii="仿宋" w:eastAsia="仿宋" w:cs="仿宋"/>
          <w:color w:val="auto"/>
          <w:highlight w:val="none"/>
        </w:rPr>
        <w:t>二、筹备方案………………………………………………………………（页码）</w:t>
      </w:r>
    </w:p>
    <w:p w14:paraId="66CFB81E">
      <w:pPr>
        <w:pStyle w:val="101"/>
        <w:spacing w:line="360" w:lineRule="auto"/>
        <w:rPr>
          <w:rFonts w:ascii="仿宋" w:eastAsia="仿宋" w:cs="仿宋"/>
          <w:color w:val="auto"/>
          <w:highlight w:val="none"/>
        </w:rPr>
      </w:pPr>
      <w:r>
        <w:rPr>
          <w:rFonts w:hint="eastAsia" w:ascii="仿宋" w:eastAsia="仿宋" w:cs="仿宋"/>
          <w:color w:val="auto"/>
          <w:highlight w:val="none"/>
        </w:rPr>
        <w:t>三、运营服务方案………………………………</w:t>
      </w:r>
      <w:r>
        <w:rPr>
          <w:rFonts w:hint="eastAsia" w:ascii="仿宋" w:eastAsia="仿宋" w:cs="仿宋"/>
          <w:color w:val="auto"/>
          <w:highlight w:val="none"/>
          <w:lang w:val="zh-CN"/>
        </w:rPr>
        <w:t>………</w:t>
      </w:r>
      <w:r>
        <w:rPr>
          <w:rFonts w:hint="eastAsia" w:ascii="仿宋" w:eastAsia="仿宋" w:cs="仿宋"/>
          <w:color w:val="auto"/>
          <w:highlight w:val="none"/>
        </w:rPr>
        <w:t>…………………（页码）</w:t>
      </w:r>
    </w:p>
    <w:p w14:paraId="49D73D8D">
      <w:pPr>
        <w:pStyle w:val="101"/>
        <w:spacing w:line="360" w:lineRule="auto"/>
        <w:rPr>
          <w:rFonts w:ascii="仿宋" w:eastAsia="仿宋" w:cs="仿宋"/>
          <w:color w:val="auto"/>
          <w:highlight w:val="none"/>
        </w:rPr>
      </w:pPr>
      <w:r>
        <w:rPr>
          <w:rFonts w:hint="eastAsia" w:ascii="仿宋" w:eastAsia="仿宋" w:cs="仿宋"/>
          <w:color w:val="auto"/>
          <w:highlight w:val="none"/>
        </w:rPr>
        <w:t>四、服务质量与服务保证…………………………………………………（页码）</w:t>
      </w:r>
    </w:p>
    <w:p w14:paraId="61611E37">
      <w:pPr>
        <w:pStyle w:val="101"/>
        <w:spacing w:line="360" w:lineRule="auto"/>
        <w:rPr>
          <w:rFonts w:ascii="仿宋" w:eastAsia="仿宋" w:cs="仿宋"/>
          <w:color w:val="auto"/>
          <w:highlight w:val="none"/>
        </w:rPr>
      </w:pPr>
      <w:r>
        <w:rPr>
          <w:rFonts w:hint="eastAsia" w:ascii="仿宋" w:eastAsia="仿宋" w:cs="仿宋"/>
          <w:color w:val="auto"/>
          <w:highlight w:val="none"/>
        </w:rPr>
        <w:t>五、</w:t>
      </w:r>
      <w:r>
        <w:rPr>
          <w:rFonts w:hint="eastAsia" w:ascii="仿宋" w:eastAsia="仿宋" w:cs="仿宋"/>
          <w:color w:val="auto"/>
          <w:highlight w:val="none"/>
          <w:lang w:val="zh-CN"/>
        </w:rPr>
        <w:t>项目实施人员一览表………………………………</w:t>
      </w:r>
      <w:r>
        <w:rPr>
          <w:rFonts w:hint="eastAsia" w:ascii="仿宋" w:eastAsia="仿宋" w:cs="仿宋"/>
          <w:color w:val="auto"/>
          <w:highlight w:val="none"/>
        </w:rPr>
        <w:t>………………………（页码）</w:t>
      </w:r>
    </w:p>
    <w:p w14:paraId="65D11592">
      <w:pPr>
        <w:pStyle w:val="101"/>
        <w:spacing w:line="360" w:lineRule="auto"/>
        <w:rPr>
          <w:rFonts w:ascii="仿宋" w:eastAsia="仿宋" w:cs="仿宋"/>
          <w:color w:val="auto"/>
          <w:highlight w:val="none"/>
        </w:rPr>
      </w:pPr>
      <w:r>
        <w:rPr>
          <w:rFonts w:hint="eastAsia" w:ascii="仿宋" w:eastAsia="仿宋" w:cs="仿宋"/>
          <w:color w:val="auto"/>
          <w:highlight w:val="none"/>
        </w:rPr>
        <w:t>六、售后服务方案</w:t>
      </w:r>
      <w:r>
        <w:rPr>
          <w:rFonts w:hint="eastAsia" w:ascii="仿宋" w:eastAsia="仿宋" w:cs="仿宋"/>
          <w:color w:val="auto"/>
          <w:highlight w:val="none"/>
          <w:lang w:val="zh-CN"/>
        </w:rPr>
        <w:t>………………………………</w:t>
      </w:r>
      <w:r>
        <w:rPr>
          <w:rFonts w:hint="eastAsia" w:ascii="仿宋" w:eastAsia="仿宋" w:cs="仿宋"/>
          <w:color w:val="auto"/>
          <w:highlight w:val="none"/>
        </w:rPr>
        <w:t>………………………（页码）</w:t>
      </w:r>
    </w:p>
    <w:p w14:paraId="213569F8">
      <w:pPr>
        <w:pStyle w:val="101"/>
        <w:spacing w:line="360" w:lineRule="auto"/>
        <w:rPr>
          <w:rFonts w:ascii="仿宋" w:eastAsia="仿宋" w:cs="仿宋"/>
          <w:color w:val="auto"/>
          <w:highlight w:val="none"/>
        </w:rPr>
      </w:pPr>
      <w:r>
        <w:rPr>
          <w:rFonts w:hint="eastAsia" w:ascii="仿宋" w:eastAsia="仿宋" w:cs="仿宋"/>
          <w:color w:val="auto"/>
          <w:highlight w:val="none"/>
        </w:rPr>
        <w:t>七、认为需要的其他技术文件或说明（如有）</w:t>
      </w:r>
      <w:r>
        <w:rPr>
          <w:rFonts w:hint="eastAsia" w:ascii="仿宋" w:eastAsia="仿宋" w:cs="仿宋"/>
          <w:color w:val="auto"/>
          <w:highlight w:val="none"/>
          <w:lang w:val="zh-CN"/>
        </w:rPr>
        <w:t>………………………………</w:t>
      </w:r>
      <w:r>
        <w:rPr>
          <w:rFonts w:hint="eastAsia" w:ascii="仿宋" w:eastAsia="仿宋" w:cs="仿宋"/>
          <w:color w:val="auto"/>
          <w:highlight w:val="none"/>
        </w:rPr>
        <w:t>（页码）</w:t>
      </w:r>
    </w:p>
    <w:p w14:paraId="192F0019">
      <w:pPr>
        <w:pStyle w:val="101"/>
        <w:spacing w:line="360" w:lineRule="auto"/>
        <w:rPr>
          <w:rFonts w:ascii="仿宋" w:eastAsia="仿宋" w:cs="仿宋"/>
          <w:color w:val="auto"/>
          <w:highlight w:val="none"/>
        </w:rPr>
      </w:pPr>
    </w:p>
    <w:p w14:paraId="3B2390FB">
      <w:pPr>
        <w:spacing w:line="360" w:lineRule="auto"/>
        <w:rPr>
          <w:rFonts w:ascii="仿宋" w:hAnsi="仿宋" w:eastAsia="仿宋" w:cs="仿宋"/>
          <w:b/>
          <w:bCs/>
          <w:color w:val="auto"/>
          <w:sz w:val="24"/>
          <w:highlight w:val="none"/>
        </w:rPr>
      </w:pPr>
      <w:r>
        <w:rPr>
          <w:rFonts w:hint="eastAsia" w:ascii="仿宋" w:hAnsi="仿宋" w:eastAsia="仿宋" w:cs="仿宋"/>
          <w:b/>
          <w:bCs/>
          <w:color w:val="auto"/>
          <w:sz w:val="24"/>
          <w:highlight w:val="none"/>
        </w:rPr>
        <w:t>注：以上目录是基本格式要求，各投标人可根据自身情况进一步向下增加内容或细化。</w:t>
      </w:r>
    </w:p>
    <w:p w14:paraId="5E7DB51D">
      <w:pPr>
        <w:snapToGrid w:val="0"/>
        <w:spacing w:before="165" w:beforeLines="50" w:after="50"/>
        <w:ind w:left="143" w:leftChars="68" w:firstLine="472" w:firstLineChars="196"/>
        <w:jc w:val="left"/>
        <w:rPr>
          <w:rFonts w:ascii="仿宋" w:hAnsi="仿宋" w:eastAsia="仿宋" w:cs="仿宋"/>
          <w:b/>
          <w:color w:val="auto"/>
          <w:sz w:val="24"/>
          <w:highlight w:val="none"/>
        </w:rPr>
      </w:pPr>
    </w:p>
    <w:p w14:paraId="179A01C3">
      <w:pPr>
        <w:snapToGrid w:val="0"/>
        <w:spacing w:before="165" w:beforeLines="50" w:after="50"/>
        <w:ind w:left="143" w:leftChars="68" w:firstLine="472" w:firstLineChars="196"/>
        <w:jc w:val="left"/>
        <w:rPr>
          <w:rFonts w:ascii="宋体" w:hAnsi="宋体"/>
          <w:b/>
          <w:color w:val="auto"/>
          <w:sz w:val="24"/>
          <w:highlight w:val="none"/>
        </w:rPr>
      </w:pPr>
      <w:r>
        <w:rPr>
          <w:rFonts w:hint="eastAsia" w:ascii="仿宋" w:hAnsi="仿宋" w:eastAsia="仿宋" w:cs="仿宋"/>
          <w:b/>
          <w:color w:val="auto"/>
          <w:sz w:val="24"/>
          <w:highlight w:val="none"/>
        </w:rPr>
        <w:br w:type="page"/>
      </w:r>
      <w:r>
        <w:rPr>
          <w:rFonts w:hint="eastAsia" w:ascii="宋体" w:hAnsi="宋体"/>
          <w:b/>
          <w:color w:val="auto"/>
          <w:sz w:val="24"/>
          <w:highlight w:val="none"/>
        </w:rPr>
        <w:t xml:space="preserve"> </w:t>
      </w:r>
    </w:p>
    <w:p w14:paraId="0A4262B8">
      <w:pPr>
        <w:pStyle w:val="14"/>
        <w:spacing w:line="500" w:lineRule="exact"/>
        <w:jc w:val="center"/>
        <w:rPr>
          <w:rFonts w:ascii="Times New Roman" w:hAnsi="Times New Roman"/>
          <w:b/>
          <w:bCs/>
          <w:color w:val="auto"/>
          <w:sz w:val="30"/>
          <w:szCs w:val="30"/>
          <w:highlight w:val="none"/>
        </w:rPr>
      </w:pPr>
      <w:r>
        <w:rPr>
          <w:rFonts w:hint="eastAsia" w:ascii="Times New Roman" w:hAnsi="Times New Roman"/>
          <w:b/>
          <w:bCs/>
          <w:color w:val="auto"/>
          <w:sz w:val="30"/>
          <w:szCs w:val="30"/>
          <w:highlight w:val="none"/>
        </w:rPr>
        <w:t>一、服务需求偏离表</w:t>
      </w:r>
    </w:p>
    <w:p w14:paraId="2FD1EE42">
      <w:pPr>
        <w:pStyle w:val="14"/>
        <w:spacing w:line="440" w:lineRule="exact"/>
        <w:ind w:firstLine="420" w:firstLineChars="200"/>
        <w:rPr>
          <w:color w:val="auto"/>
          <w:highlight w:val="none"/>
        </w:rPr>
      </w:pPr>
    </w:p>
    <w:p w14:paraId="23AE2369">
      <w:pPr>
        <w:pStyle w:val="14"/>
        <w:spacing w:line="600" w:lineRule="exact"/>
        <w:ind w:firstLine="480" w:firstLineChars="200"/>
        <w:rPr>
          <w:rFonts w:hAnsi="宋体"/>
          <w:color w:val="auto"/>
          <w:sz w:val="24"/>
          <w:szCs w:val="24"/>
          <w:highlight w:val="none"/>
        </w:rPr>
      </w:pPr>
      <w:r>
        <w:rPr>
          <w:rFonts w:hint="eastAsia" w:hAnsi="宋体"/>
          <w:color w:val="auto"/>
          <w:sz w:val="24"/>
          <w:szCs w:val="24"/>
          <w:highlight w:val="none"/>
        </w:rPr>
        <w:t>请根据所投服务的实际技术参数，</w:t>
      </w:r>
      <w:r>
        <w:rPr>
          <w:rFonts w:hint="eastAsia" w:hAnsi="宋体"/>
          <w:b/>
          <w:color w:val="auto"/>
          <w:sz w:val="28"/>
          <w:szCs w:val="28"/>
          <w:highlight w:val="none"/>
        </w:rPr>
        <w:t>逐条对应</w:t>
      </w:r>
      <w:r>
        <w:rPr>
          <w:rFonts w:hint="eastAsia" w:hAnsi="宋体"/>
          <w:color w:val="auto"/>
          <w:sz w:val="24"/>
          <w:szCs w:val="24"/>
          <w:highlight w:val="none"/>
        </w:rPr>
        <w:t>本项目招标文件第二章“服务需求一览表”中的</w:t>
      </w:r>
      <w:r>
        <w:rPr>
          <w:rFonts w:hint="eastAsia" w:hAnsi="宋体"/>
          <w:b/>
          <w:color w:val="auto"/>
          <w:sz w:val="28"/>
          <w:szCs w:val="28"/>
          <w:highlight w:val="none"/>
        </w:rPr>
        <w:t>技术服务要求</w:t>
      </w:r>
      <w:r>
        <w:rPr>
          <w:rFonts w:hint="eastAsia" w:hAnsi="宋体"/>
          <w:color w:val="auto"/>
          <w:sz w:val="24"/>
          <w:szCs w:val="24"/>
          <w:highlight w:val="none"/>
        </w:rPr>
        <w:t>详细填写相应的具体内容。“偏离说明”一栏应当选择“正偏离”、“负偏离”或“无偏离”进行填写。</w:t>
      </w:r>
    </w:p>
    <w:tbl>
      <w:tblPr>
        <w:tblStyle w:val="35"/>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2D422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6A9126EB">
            <w:pPr>
              <w:rPr>
                <w:rFonts w:ascii="宋体" w:hAnsi="宋体"/>
                <w:color w:val="auto"/>
                <w:szCs w:val="21"/>
                <w:highlight w:val="none"/>
              </w:rPr>
            </w:pPr>
            <w:r>
              <w:rPr>
                <w:rFonts w:hint="eastAsia" w:ascii="宋体" w:hAnsi="宋体"/>
                <w:color w:val="auto"/>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5D8EF2EA">
            <w:pPr>
              <w:jc w:val="center"/>
              <w:rPr>
                <w:rFonts w:ascii="宋体" w:hAnsi="宋体"/>
                <w:color w:val="auto"/>
                <w:szCs w:val="21"/>
                <w:highlight w:val="none"/>
              </w:rPr>
            </w:pPr>
            <w:r>
              <w:rPr>
                <w:rFonts w:hint="eastAsia" w:ascii="宋体" w:hAnsi="宋体"/>
                <w:color w:val="auto"/>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5009EA47">
            <w:pPr>
              <w:jc w:val="center"/>
              <w:rPr>
                <w:rFonts w:ascii="宋体" w:hAnsi="宋体"/>
                <w:color w:val="auto"/>
                <w:szCs w:val="21"/>
                <w:highlight w:val="none"/>
              </w:rPr>
            </w:pPr>
            <w:r>
              <w:rPr>
                <w:rFonts w:hint="eastAsia" w:ascii="宋体" w:hAnsi="宋体"/>
                <w:color w:val="auto"/>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276D7585">
            <w:pPr>
              <w:rPr>
                <w:rFonts w:ascii="宋体" w:hAnsi="宋体"/>
                <w:color w:val="auto"/>
                <w:szCs w:val="21"/>
                <w:highlight w:val="none"/>
              </w:rPr>
            </w:pPr>
            <w:r>
              <w:rPr>
                <w:rFonts w:hint="eastAsia" w:ascii="宋体" w:hAnsi="宋体"/>
                <w:color w:val="auto"/>
                <w:szCs w:val="21"/>
                <w:highlight w:val="none"/>
              </w:rPr>
              <w:t>偏离说明</w:t>
            </w:r>
          </w:p>
        </w:tc>
      </w:tr>
      <w:tr w14:paraId="41F34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5EC485D4">
            <w:pPr>
              <w:widowControl/>
              <w:jc w:val="left"/>
              <w:rPr>
                <w:rFonts w:ascii="宋体" w:hAnsi="宋体"/>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44EFE64">
            <w:pPr>
              <w:jc w:val="center"/>
              <w:rPr>
                <w:rFonts w:ascii="宋体" w:hAnsi="宋体"/>
                <w:color w:val="auto"/>
                <w:szCs w:val="21"/>
                <w:highlight w:val="none"/>
              </w:rPr>
            </w:pPr>
            <w:r>
              <w:rPr>
                <w:rFonts w:hint="eastAsia" w:ascii="宋体" w:hAnsi="宋体"/>
                <w:color w:val="auto"/>
                <w:szCs w:val="21"/>
                <w:highlight w:val="none"/>
              </w:rPr>
              <w:t>服务名称</w:t>
            </w:r>
          </w:p>
        </w:tc>
        <w:tc>
          <w:tcPr>
            <w:tcW w:w="2310" w:type="dxa"/>
            <w:tcBorders>
              <w:top w:val="single" w:color="auto" w:sz="4" w:space="0"/>
              <w:left w:val="single" w:color="auto" w:sz="4" w:space="0"/>
              <w:bottom w:val="single" w:color="auto" w:sz="4" w:space="0"/>
              <w:right w:val="single" w:color="auto" w:sz="4" w:space="0"/>
            </w:tcBorders>
            <w:vAlign w:val="center"/>
          </w:tcPr>
          <w:p w14:paraId="55821D24">
            <w:pPr>
              <w:jc w:val="center"/>
              <w:rPr>
                <w:rFonts w:ascii="宋体" w:hAnsi="宋体"/>
                <w:color w:val="auto"/>
                <w:szCs w:val="21"/>
                <w:highlight w:val="none"/>
              </w:rPr>
            </w:pPr>
            <w:r>
              <w:rPr>
                <w:rFonts w:hint="eastAsia" w:ascii="宋体" w:hAnsi="宋体"/>
                <w:color w:val="auto"/>
                <w:szCs w:val="21"/>
                <w:highlight w:val="none"/>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7BA4CD9C">
            <w:pPr>
              <w:jc w:val="center"/>
              <w:rPr>
                <w:rFonts w:ascii="宋体" w:hAnsi="宋体"/>
                <w:color w:val="auto"/>
                <w:szCs w:val="21"/>
                <w:highlight w:val="none"/>
              </w:rPr>
            </w:pPr>
            <w:r>
              <w:rPr>
                <w:rFonts w:hint="eastAsia" w:ascii="宋体" w:hAnsi="宋体"/>
                <w:color w:val="auto"/>
                <w:szCs w:val="21"/>
                <w:highlight w:val="none"/>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7C70CA36">
            <w:pPr>
              <w:jc w:val="center"/>
              <w:rPr>
                <w:rFonts w:ascii="宋体" w:hAnsi="宋体"/>
                <w:color w:val="auto"/>
                <w:szCs w:val="21"/>
                <w:highlight w:val="none"/>
              </w:rPr>
            </w:pPr>
            <w:r>
              <w:rPr>
                <w:rFonts w:hint="eastAsia" w:ascii="宋体" w:hAnsi="宋体"/>
                <w:color w:val="auto"/>
                <w:szCs w:val="21"/>
                <w:highlight w:val="none"/>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0E0A733B">
            <w:pPr>
              <w:widowControl/>
              <w:jc w:val="left"/>
              <w:rPr>
                <w:rFonts w:ascii="宋体" w:hAnsi="宋体"/>
                <w:color w:val="auto"/>
                <w:szCs w:val="21"/>
                <w:highlight w:val="none"/>
              </w:rPr>
            </w:pPr>
          </w:p>
        </w:tc>
      </w:tr>
      <w:tr w14:paraId="4FF07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2D7AB640">
            <w:pPr>
              <w:rPr>
                <w:rFonts w:ascii="宋体" w:hAnsi="宋体"/>
                <w:color w:val="auto"/>
                <w:szCs w:val="21"/>
                <w:highlight w:val="none"/>
              </w:rPr>
            </w:pPr>
            <w:r>
              <w:rPr>
                <w:rFonts w:hint="eastAsia" w:ascii="宋体" w:hAnsi="宋体"/>
                <w:color w:val="auto"/>
                <w:szCs w:val="21"/>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57AE84BF">
            <w:pPr>
              <w:rPr>
                <w:rFonts w:ascii="宋体" w:hAnsi="宋体"/>
                <w:color w:val="auto"/>
                <w:szCs w:val="21"/>
                <w:highlight w:val="none"/>
              </w:rPr>
            </w:pPr>
            <w:r>
              <w:rPr>
                <w:rFonts w:hint="eastAsia" w:ascii="宋体" w:hAnsi="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5D2788DF">
            <w:pPr>
              <w:rPr>
                <w:rFonts w:ascii="宋体" w:hAnsi="宋体"/>
                <w:color w:val="auto"/>
                <w:szCs w:val="21"/>
                <w:highlight w:val="none"/>
              </w:rPr>
            </w:pPr>
            <w:r>
              <w:rPr>
                <w:rFonts w:hint="eastAsia" w:ascii="宋体" w:hAnsi="宋体"/>
                <w:color w:val="auto"/>
                <w:szCs w:val="21"/>
                <w:highlight w:val="none"/>
              </w:rPr>
              <w:t>1  ……</w:t>
            </w:r>
          </w:p>
          <w:p w14:paraId="50BACC05">
            <w:pPr>
              <w:rPr>
                <w:rFonts w:ascii="宋体" w:hAnsi="宋体"/>
                <w:color w:val="auto"/>
                <w:szCs w:val="21"/>
                <w:highlight w:val="none"/>
              </w:rPr>
            </w:pPr>
            <w:r>
              <w:rPr>
                <w:rFonts w:hint="eastAsia" w:ascii="宋体" w:hAnsi="宋体"/>
                <w:color w:val="auto"/>
                <w:szCs w:val="21"/>
                <w:highlight w:val="none"/>
              </w:rPr>
              <w:t>2  ……</w:t>
            </w:r>
          </w:p>
          <w:p w14:paraId="2931C312">
            <w:pPr>
              <w:rPr>
                <w:rFonts w:ascii="宋体" w:hAnsi="宋体"/>
                <w:color w:val="auto"/>
                <w:szCs w:val="21"/>
                <w:highlight w:val="none"/>
              </w:rPr>
            </w:pPr>
            <w:r>
              <w:rPr>
                <w:rFonts w:hint="eastAsia" w:ascii="宋体" w:hAnsi="宋体"/>
                <w:color w:val="auto"/>
                <w:szCs w:val="21"/>
                <w:highlight w:val="none"/>
              </w:rPr>
              <w:t>3  ……</w:t>
            </w:r>
          </w:p>
          <w:p w14:paraId="7515488D">
            <w:pPr>
              <w:rPr>
                <w:rFonts w:ascii="宋体" w:hAnsi="宋体"/>
                <w:color w:val="auto"/>
                <w:szCs w:val="21"/>
                <w:highlight w:val="none"/>
              </w:rPr>
            </w:pPr>
            <w:r>
              <w:rPr>
                <w:rFonts w:hint="eastAsia" w:ascii="宋体" w:hAnsi="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4C8D4035">
            <w:pPr>
              <w:rPr>
                <w:rFonts w:ascii="宋体" w:hAnsi="宋体"/>
                <w:color w:val="auto"/>
                <w:szCs w:val="21"/>
                <w:highlight w:val="none"/>
              </w:rPr>
            </w:pPr>
            <w:r>
              <w:rPr>
                <w:rFonts w:hint="eastAsia" w:ascii="宋体" w:hAnsi="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61E51C2D">
            <w:pPr>
              <w:rPr>
                <w:rFonts w:ascii="宋体" w:hAnsi="宋体"/>
                <w:color w:val="auto"/>
                <w:szCs w:val="21"/>
                <w:highlight w:val="none"/>
              </w:rPr>
            </w:pPr>
            <w:r>
              <w:rPr>
                <w:rFonts w:hint="eastAsia" w:ascii="宋体" w:hAnsi="宋体"/>
                <w:color w:val="auto"/>
                <w:szCs w:val="21"/>
                <w:highlight w:val="none"/>
              </w:rPr>
              <w:t>1  ……</w:t>
            </w:r>
          </w:p>
          <w:p w14:paraId="2D76CBE8">
            <w:pPr>
              <w:rPr>
                <w:rFonts w:ascii="宋体" w:hAnsi="宋体"/>
                <w:color w:val="auto"/>
                <w:szCs w:val="21"/>
                <w:highlight w:val="none"/>
              </w:rPr>
            </w:pPr>
            <w:r>
              <w:rPr>
                <w:rFonts w:hint="eastAsia" w:ascii="宋体" w:hAnsi="宋体"/>
                <w:color w:val="auto"/>
                <w:szCs w:val="21"/>
                <w:highlight w:val="none"/>
              </w:rPr>
              <w:t>2  ……</w:t>
            </w:r>
          </w:p>
          <w:p w14:paraId="417949CA">
            <w:pPr>
              <w:rPr>
                <w:rFonts w:ascii="宋体" w:hAnsi="宋体"/>
                <w:color w:val="auto"/>
                <w:szCs w:val="21"/>
                <w:highlight w:val="none"/>
              </w:rPr>
            </w:pPr>
            <w:r>
              <w:rPr>
                <w:rFonts w:hint="eastAsia" w:ascii="宋体" w:hAnsi="宋体"/>
                <w:color w:val="auto"/>
                <w:szCs w:val="21"/>
                <w:highlight w:val="none"/>
              </w:rPr>
              <w:t>3  ……</w:t>
            </w:r>
          </w:p>
          <w:p w14:paraId="6510A14C">
            <w:pPr>
              <w:rPr>
                <w:rFonts w:ascii="宋体" w:hAnsi="宋体"/>
                <w:color w:val="auto"/>
                <w:szCs w:val="21"/>
                <w:highlight w:val="none"/>
              </w:rPr>
            </w:pPr>
            <w:r>
              <w:rPr>
                <w:rFonts w:hint="eastAsia" w:ascii="宋体" w:hAnsi="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4A08D56C">
            <w:pPr>
              <w:rPr>
                <w:rFonts w:ascii="宋体" w:hAnsi="宋体"/>
                <w:color w:val="auto"/>
                <w:szCs w:val="21"/>
                <w:highlight w:val="none"/>
              </w:rPr>
            </w:pPr>
            <w:r>
              <w:rPr>
                <w:rFonts w:hint="eastAsia" w:ascii="宋体" w:hAnsi="宋体"/>
                <w:color w:val="auto"/>
                <w:szCs w:val="21"/>
                <w:highlight w:val="none"/>
              </w:rPr>
              <w:t>正偏离（负偏离或无偏离）</w:t>
            </w:r>
          </w:p>
        </w:tc>
      </w:tr>
      <w:tr w14:paraId="7FA3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5627C0CE">
            <w:pPr>
              <w:rPr>
                <w:rFonts w:ascii="宋体" w:hAnsi="宋体"/>
                <w:color w:val="auto"/>
                <w:szCs w:val="21"/>
                <w:highlight w:val="none"/>
              </w:rPr>
            </w:pPr>
            <w:r>
              <w:rPr>
                <w:rFonts w:hint="eastAsia" w:ascii="宋体" w:hAnsi="宋体"/>
                <w:color w:val="auto"/>
                <w:szCs w:val="21"/>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4E1C80D7">
            <w:pPr>
              <w:rPr>
                <w:rFonts w:ascii="宋体" w:hAnsi="宋体"/>
                <w:color w:val="auto"/>
                <w:szCs w:val="21"/>
                <w:highlight w:val="none"/>
              </w:rPr>
            </w:pPr>
            <w:r>
              <w:rPr>
                <w:rFonts w:hint="eastAsia" w:ascii="宋体" w:hAnsi="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3687A86D">
            <w:pPr>
              <w:rPr>
                <w:rFonts w:ascii="宋体" w:hAnsi="宋体"/>
                <w:color w:val="auto"/>
                <w:szCs w:val="21"/>
                <w:highlight w:val="none"/>
              </w:rPr>
            </w:pPr>
            <w:r>
              <w:rPr>
                <w:rFonts w:hint="eastAsia" w:ascii="宋体" w:hAnsi="宋体"/>
                <w:color w:val="auto"/>
                <w:szCs w:val="21"/>
                <w:highlight w:val="none"/>
              </w:rPr>
              <w:t>1  ……</w:t>
            </w:r>
          </w:p>
          <w:p w14:paraId="0D551BCB">
            <w:pPr>
              <w:rPr>
                <w:rFonts w:ascii="宋体" w:hAnsi="宋体"/>
                <w:color w:val="auto"/>
                <w:szCs w:val="21"/>
                <w:highlight w:val="none"/>
              </w:rPr>
            </w:pPr>
            <w:r>
              <w:rPr>
                <w:rFonts w:hint="eastAsia" w:ascii="宋体" w:hAnsi="宋体"/>
                <w:color w:val="auto"/>
                <w:szCs w:val="21"/>
                <w:highlight w:val="none"/>
              </w:rPr>
              <w:t>2  ……</w:t>
            </w:r>
          </w:p>
          <w:p w14:paraId="1517E515">
            <w:pPr>
              <w:rPr>
                <w:rFonts w:ascii="宋体" w:hAnsi="宋体"/>
                <w:color w:val="auto"/>
                <w:szCs w:val="21"/>
                <w:highlight w:val="none"/>
              </w:rPr>
            </w:pPr>
            <w:r>
              <w:rPr>
                <w:rFonts w:hint="eastAsia" w:ascii="宋体" w:hAnsi="宋体"/>
                <w:color w:val="auto"/>
                <w:szCs w:val="21"/>
                <w:highlight w:val="none"/>
              </w:rPr>
              <w:t>3  ……</w:t>
            </w:r>
          </w:p>
          <w:p w14:paraId="50BC2228">
            <w:pPr>
              <w:rPr>
                <w:rFonts w:ascii="宋体" w:hAnsi="宋体"/>
                <w:color w:val="auto"/>
                <w:szCs w:val="21"/>
                <w:highlight w:val="none"/>
              </w:rPr>
            </w:pPr>
            <w:r>
              <w:rPr>
                <w:rFonts w:hint="eastAsia" w:ascii="宋体" w:hAnsi="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5C7735F7">
            <w:pPr>
              <w:rPr>
                <w:rFonts w:ascii="宋体" w:hAnsi="宋体"/>
                <w:color w:val="auto"/>
                <w:szCs w:val="21"/>
                <w:highlight w:val="none"/>
              </w:rPr>
            </w:pPr>
            <w:r>
              <w:rPr>
                <w:rFonts w:hint="eastAsia" w:ascii="宋体" w:hAnsi="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645E31F9">
            <w:pPr>
              <w:rPr>
                <w:rFonts w:ascii="宋体" w:hAnsi="宋体"/>
                <w:color w:val="auto"/>
                <w:szCs w:val="21"/>
                <w:highlight w:val="none"/>
              </w:rPr>
            </w:pPr>
            <w:r>
              <w:rPr>
                <w:rFonts w:hint="eastAsia" w:ascii="宋体" w:hAnsi="宋体"/>
                <w:color w:val="auto"/>
                <w:szCs w:val="21"/>
                <w:highlight w:val="none"/>
              </w:rPr>
              <w:t>1  ……</w:t>
            </w:r>
          </w:p>
          <w:p w14:paraId="0CB01738">
            <w:pPr>
              <w:rPr>
                <w:rFonts w:ascii="宋体" w:hAnsi="宋体"/>
                <w:color w:val="auto"/>
                <w:szCs w:val="21"/>
                <w:highlight w:val="none"/>
              </w:rPr>
            </w:pPr>
            <w:r>
              <w:rPr>
                <w:rFonts w:hint="eastAsia" w:ascii="宋体" w:hAnsi="宋体"/>
                <w:color w:val="auto"/>
                <w:szCs w:val="21"/>
                <w:highlight w:val="none"/>
              </w:rPr>
              <w:t>2  ……</w:t>
            </w:r>
          </w:p>
          <w:p w14:paraId="5A777930">
            <w:pPr>
              <w:rPr>
                <w:rFonts w:ascii="宋体" w:hAnsi="宋体"/>
                <w:color w:val="auto"/>
                <w:szCs w:val="21"/>
                <w:highlight w:val="none"/>
              </w:rPr>
            </w:pPr>
            <w:r>
              <w:rPr>
                <w:rFonts w:hint="eastAsia" w:ascii="宋体" w:hAnsi="宋体"/>
                <w:color w:val="auto"/>
                <w:szCs w:val="21"/>
                <w:highlight w:val="none"/>
              </w:rPr>
              <w:t>3  ……</w:t>
            </w:r>
          </w:p>
          <w:p w14:paraId="347108F8">
            <w:pPr>
              <w:rPr>
                <w:rFonts w:ascii="宋体" w:hAnsi="宋体"/>
                <w:color w:val="auto"/>
                <w:szCs w:val="21"/>
                <w:highlight w:val="none"/>
              </w:rPr>
            </w:pPr>
            <w:r>
              <w:rPr>
                <w:rFonts w:hint="eastAsia" w:ascii="宋体" w:hAnsi="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6F71E676">
            <w:pPr>
              <w:rPr>
                <w:rFonts w:ascii="宋体" w:hAnsi="宋体"/>
                <w:color w:val="auto"/>
                <w:szCs w:val="21"/>
                <w:highlight w:val="none"/>
              </w:rPr>
            </w:pPr>
            <w:r>
              <w:rPr>
                <w:rFonts w:hint="eastAsia" w:ascii="宋体" w:hAnsi="宋体"/>
                <w:color w:val="auto"/>
                <w:szCs w:val="21"/>
                <w:highlight w:val="none"/>
              </w:rPr>
              <w:t>正偏离（负偏离或无偏离）</w:t>
            </w:r>
          </w:p>
        </w:tc>
      </w:tr>
      <w:tr w14:paraId="6BD6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634" w:type="dxa"/>
            <w:tcBorders>
              <w:top w:val="single" w:color="auto" w:sz="4" w:space="0"/>
              <w:left w:val="single" w:color="auto" w:sz="4" w:space="0"/>
              <w:bottom w:val="single" w:color="auto" w:sz="4" w:space="0"/>
              <w:right w:val="single" w:color="auto" w:sz="4" w:space="0"/>
            </w:tcBorders>
            <w:vAlign w:val="center"/>
          </w:tcPr>
          <w:p w14:paraId="31B30C95">
            <w:pPr>
              <w:rPr>
                <w:rFonts w:ascii="宋体" w:hAnsi="宋体"/>
                <w:color w:val="auto"/>
                <w:szCs w:val="21"/>
                <w:highlight w:val="none"/>
              </w:rPr>
            </w:pPr>
            <w:r>
              <w:rPr>
                <w:rFonts w:hint="eastAsia" w:ascii="宋体" w:hAnsi="宋体"/>
                <w:color w:val="auto"/>
                <w:szCs w:val="21"/>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3CF6906A">
            <w:pPr>
              <w:rPr>
                <w:rFonts w:ascii="宋体" w:hAnsi="宋体"/>
                <w:color w:val="auto"/>
                <w:szCs w:val="21"/>
                <w:highlight w:val="none"/>
              </w:rPr>
            </w:pPr>
          </w:p>
        </w:tc>
        <w:tc>
          <w:tcPr>
            <w:tcW w:w="2310" w:type="dxa"/>
            <w:tcBorders>
              <w:top w:val="single" w:color="auto" w:sz="4" w:space="0"/>
              <w:left w:val="single" w:color="auto" w:sz="4" w:space="0"/>
              <w:bottom w:val="single" w:color="auto" w:sz="4" w:space="0"/>
              <w:right w:val="single" w:color="auto" w:sz="4" w:space="0"/>
            </w:tcBorders>
            <w:vAlign w:val="center"/>
          </w:tcPr>
          <w:p w14:paraId="5A0EF5A4">
            <w:pPr>
              <w:rPr>
                <w:rFonts w:ascii="宋体" w:hAnsi="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0AF28B31">
            <w:pPr>
              <w:rPr>
                <w:rFonts w:ascii="宋体" w:hAnsi="宋体"/>
                <w:color w:val="auto"/>
                <w:szCs w:val="21"/>
                <w:highlight w:val="none"/>
              </w:rPr>
            </w:pPr>
          </w:p>
        </w:tc>
        <w:tc>
          <w:tcPr>
            <w:tcW w:w="3297" w:type="dxa"/>
            <w:tcBorders>
              <w:top w:val="single" w:color="auto" w:sz="4" w:space="0"/>
              <w:left w:val="single" w:color="auto" w:sz="4" w:space="0"/>
              <w:bottom w:val="single" w:color="auto" w:sz="4" w:space="0"/>
              <w:right w:val="single" w:color="auto" w:sz="4" w:space="0"/>
            </w:tcBorders>
            <w:vAlign w:val="center"/>
          </w:tcPr>
          <w:p w14:paraId="15D29EE2">
            <w:pPr>
              <w:rPr>
                <w:rFonts w:ascii="宋体" w:hAnsi="宋体"/>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vAlign w:val="center"/>
          </w:tcPr>
          <w:p w14:paraId="4C2613E6">
            <w:pPr>
              <w:rPr>
                <w:rFonts w:ascii="宋体" w:hAnsi="宋体"/>
                <w:color w:val="auto"/>
                <w:szCs w:val="21"/>
                <w:highlight w:val="none"/>
              </w:rPr>
            </w:pPr>
          </w:p>
        </w:tc>
      </w:tr>
    </w:tbl>
    <w:p w14:paraId="16D08EC0">
      <w:pPr>
        <w:pStyle w:val="14"/>
        <w:spacing w:line="360" w:lineRule="auto"/>
        <w:rPr>
          <w:rFonts w:hAnsi="宋体"/>
          <w:color w:val="auto"/>
          <w:szCs w:val="21"/>
          <w:highlight w:val="none"/>
        </w:rPr>
      </w:pPr>
      <w:r>
        <w:rPr>
          <w:rFonts w:hint="eastAsia" w:hAnsi="宋体"/>
          <w:color w:val="auto"/>
          <w:szCs w:val="21"/>
          <w:highlight w:val="none"/>
        </w:rPr>
        <w:t>注：</w:t>
      </w:r>
    </w:p>
    <w:p w14:paraId="5A011E36">
      <w:pPr>
        <w:pStyle w:val="14"/>
        <w:spacing w:line="360" w:lineRule="auto"/>
        <w:rPr>
          <w:rFonts w:hAnsi="宋体"/>
          <w:color w:val="auto"/>
          <w:szCs w:val="21"/>
          <w:highlight w:val="none"/>
        </w:rPr>
      </w:pPr>
      <w:r>
        <w:rPr>
          <w:rFonts w:hint="eastAsia" w:hAnsi="宋体" w:cs="宋体"/>
          <w:color w:val="auto"/>
          <w:szCs w:val="21"/>
          <w:highlight w:val="none"/>
        </w:rPr>
        <w:t>1.</w:t>
      </w:r>
      <w:r>
        <w:rPr>
          <w:rFonts w:hint="eastAsia" w:hAnsi="宋体"/>
          <w:color w:val="auto"/>
          <w:szCs w:val="21"/>
          <w:highlight w:val="none"/>
        </w:rPr>
        <w:t>表格内容均需按要求填写并盖章，不得留空</w:t>
      </w:r>
      <w:r>
        <w:rPr>
          <w:rFonts w:hint="eastAsia" w:hAnsi="宋体"/>
          <w:b/>
          <w:bCs/>
          <w:color w:val="auto"/>
          <w:szCs w:val="21"/>
          <w:highlight w:val="none"/>
        </w:rPr>
        <w:t>，否则按投标无效处理</w:t>
      </w:r>
      <w:r>
        <w:rPr>
          <w:rFonts w:hint="eastAsia" w:hAnsi="宋体"/>
          <w:color w:val="auto"/>
          <w:szCs w:val="21"/>
          <w:highlight w:val="none"/>
        </w:rPr>
        <w:t>。</w:t>
      </w:r>
    </w:p>
    <w:p w14:paraId="77F0DBE0">
      <w:pPr>
        <w:pStyle w:val="14"/>
        <w:spacing w:line="360" w:lineRule="auto"/>
        <w:rPr>
          <w:rFonts w:hAnsi="宋体"/>
          <w:color w:val="auto"/>
          <w:szCs w:val="21"/>
          <w:highlight w:val="none"/>
        </w:rPr>
      </w:pPr>
      <w:r>
        <w:rPr>
          <w:rFonts w:hint="eastAsia" w:hAnsi="宋体"/>
          <w:bCs/>
          <w:color w:val="auto"/>
          <w:szCs w:val="21"/>
          <w:highlight w:val="none"/>
        </w:rPr>
        <w:t>2.当投标文件的服务内容低于招标文件要求时，投标人应当如实写明“负偏离”，否则视为虚假应标。</w:t>
      </w:r>
    </w:p>
    <w:p w14:paraId="6E300D8B">
      <w:pPr>
        <w:pStyle w:val="14"/>
        <w:spacing w:line="360" w:lineRule="auto"/>
        <w:rPr>
          <w:color w:val="auto"/>
          <w:highlight w:val="none"/>
        </w:rPr>
      </w:pPr>
      <w:r>
        <w:rPr>
          <w:rFonts w:hint="eastAsia"/>
          <w:color w:val="auto"/>
          <w:highlight w:val="none"/>
        </w:rPr>
        <w:t>3.</w:t>
      </w:r>
      <w:r>
        <w:rPr>
          <w:rFonts w:hint="eastAsia" w:hAnsi="宋体" w:cs="宋体"/>
          <w:color w:val="auto"/>
          <w:szCs w:val="21"/>
          <w:highlight w:val="none"/>
        </w:rPr>
        <w:t>采购需求中带“▲”及“★”的条款，也要分别在本表“</w:t>
      </w:r>
      <w:r>
        <w:rPr>
          <w:rFonts w:hint="eastAsia" w:hAnsi="宋体"/>
          <w:color w:val="auto"/>
          <w:szCs w:val="21"/>
          <w:highlight w:val="none"/>
        </w:rPr>
        <w:t>服务参数</w:t>
      </w:r>
      <w:r>
        <w:rPr>
          <w:rFonts w:hint="eastAsia" w:hAnsi="宋体" w:cs="宋体"/>
          <w:color w:val="auto"/>
          <w:szCs w:val="21"/>
          <w:highlight w:val="none"/>
        </w:rPr>
        <w:t>”、“</w:t>
      </w:r>
      <w:r>
        <w:rPr>
          <w:rFonts w:hint="eastAsia" w:hAnsi="宋体"/>
          <w:color w:val="auto"/>
          <w:szCs w:val="21"/>
          <w:highlight w:val="none"/>
        </w:rPr>
        <w:t>所提供服务的内容</w:t>
      </w:r>
      <w:r>
        <w:rPr>
          <w:rFonts w:hint="eastAsia" w:hAnsi="宋体" w:cs="宋体"/>
          <w:color w:val="auto"/>
          <w:szCs w:val="21"/>
          <w:highlight w:val="none"/>
        </w:rPr>
        <w:t>”中标记。</w:t>
      </w:r>
    </w:p>
    <w:p w14:paraId="4484805C">
      <w:pPr>
        <w:snapToGrid w:val="0"/>
        <w:spacing w:line="360" w:lineRule="auto"/>
        <w:ind w:firstLine="5640" w:firstLineChars="2350"/>
        <w:rPr>
          <w:rFonts w:ascii="仿宋_GB2312" w:hAnsi="仿宋" w:eastAsia="仿宋_GB2312" w:cs="仿宋_GB2312"/>
          <w:color w:val="auto"/>
          <w:kern w:val="0"/>
          <w:sz w:val="24"/>
          <w:highlight w:val="none"/>
          <w:lang w:val="zh-CN"/>
        </w:rPr>
      </w:pPr>
    </w:p>
    <w:p w14:paraId="2A3D34CC">
      <w:pPr>
        <w:snapToGrid w:val="0"/>
        <w:spacing w:line="360" w:lineRule="auto"/>
        <w:ind w:firstLine="5640" w:firstLineChars="235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投标人名称（电子签章）：</w:t>
      </w:r>
    </w:p>
    <w:p w14:paraId="091F34C1">
      <w:pPr>
        <w:snapToGrid w:val="0"/>
        <w:spacing w:line="360" w:lineRule="auto"/>
        <w:ind w:firstLine="5640" w:firstLineChars="235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0D377DE6">
      <w:pPr>
        <w:widowControl/>
        <w:jc w:val="left"/>
        <w:rPr>
          <w:rFonts w:ascii="仿宋" w:hAnsi="仿宋" w:eastAsia="仿宋" w:cs="仿宋"/>
          <w:color w:val="auto"/>
          <w:sz w:val="30"/>
          <w:szCs w:val="20"/>
          <w:highlight w:val="none"/>
        </w:rPr>
        <w:sectPr>
          <w:pgSz w:w="11906" w:h="16838"/>
          <w:pgMar w:top="1134" w:right="1134" w:bottom="1134" w:left="1134" w:header="720" w:footer="720" w:gutter="0"/>
          <w:cols w:space="720" w:num="1"/>
          <w:docGrid w:type="lines" w:linePitch="331" w:charSpace="0"/>
        </w:sectPr>
      </w:pPr>
    </w:p>
    <w:p w14:paraId="24E5935C">
      <w:pPr>
        <w:snapToGrid w:val="0"/>
        <w:spacing w:before="165" w:beforeLines="50" w:after="50"/>
        <w:jc w:val="center"/>
        <w:rPr>
          <w:b/>
          <w:bCs/>
          <w:color w:val="auto"/>
          <w:sz w:val="30"/>
          <w:szCs w:val="30"/>
          <w:highlight w:val="none"/>
        </w:rPr>
      </w:pPr>
      <w:r>
        <w:rPr>
          <w:rFonts w:hint="eastAsia"/>
          <w:b/>
          <w:bCs/>
          <w:color w:val="auto"/>
          <w:sz w:val="30"/>
          <w:szCs w:val="30"/>
          <w:highlight w:val="none"/>
        </w:rPr>
        <w:t>二、筹备方案</w:t>
      </w:r>
    </w:p>
    <w:p w14:paraId="1652E9BF">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05DDF625">
      <w:pPr>
        <w:rPr>
          <w:rFonts w:ascii="仿宋" w:hAnsi="仿宋" w:eastAsia="仿宋" w:cs="仿宋"/>
          <w:b/>
          <w:bCs/>
          <w:color w:val="auto"/>
          <w:kern w:val="0"/>
          <w:sz w:val="24"/>
          <w:highlight w:val="none"/>
          <w:lang w:val="zh-CN"/>
        </w:rPr>
      </w:pPr>
    </w:p>
    <w:p w14:paraId="2F388DEF">
      <w:pPr>
        <w:rPr>
          <w:rFonts w:ascii="仿宋" w:hAnsi="仿宋" w:eastAsia="仿宋" w:cs="仿宋"/>
          <w:b/>
          <w:bCs/>
          <w:color w:val="auto"/>
          <w:kern w:val="0"/>
          <w:sz w:val="24"/>
          <w:highlight w:val="none"/>
          <w:lang w:val="zh-CN"/>
        </w:rPr>
      </w:pPr>
    </w:p>
    <w:p w14:paraId="27A9CEE9">
      <w:pPr>
        <w:autoSpaceDE w:val="0"/>
        <w:autoSpaceDN w:val="0"/>
        <w:spacing w:line="360" w:lineRule="auto"/>
        <w:ind w:firstLine="4440" w:firstLineChars="1850"/>
        <w:rPr>
          <w:rFonts w:ascii="仿宋" w:hAnsi="仿宋" w:eastAsia="仿宋" w:cs="仿宋"/>
          <w:color w:val="auto"/>
          <w:kern w:val="0"/>
          <w:sz w:val="24"/>
          <w:highlight w:val="none"/>
        </w:rPr>
      </w:pPr>
    </w:p>
    <w:p w14:paraId="38738641">
      <w:pPr>
        <w:pStyle w:val="60"/>
        <w:rPr>
          <w:rFonts w:ascii="仿宋" w:hAnsi="仿宋" w:eastAsia="仿宋" w:cs="仿宋"/>
          <w:color w:val="auto"/>
          <w:highlight w:val="none"/>
        </w:rPr>
      </w:pPr>
    </w:p>
    <w:p w14:paraId="42F23BA3">
      <w:pPr>
        <w:autoSpaceDE w:val="0"/>
        <w:autoSpaceDN w:val="0"/>
        <w:spacing w:line="360" w:lineRule="auto"/>
        <w:ind w:firstLine="4440" w:firstLineChars="185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投标人名称（电子签章）：</w:t>
      </w:r>
    </w:p>
    <w:p w14:paraId="61E6B5C1">
      <w:pPr>
        <w:autoSpaceDE w:val="0"/>
        <w:autoSpaceDN w:val="0"/>
        <w:spacing w:line="360" w:lineRule="auto"/>
        <w:rPr>
          <w:rFonts w:ascii="仿宋" w:hAnsi="仿宋" w:eastAsia="仿宋" w:cs="仿宋"/>
          <w:b/>
          <w:bCs/>
          <w:color w:val="auto"/>
          <w:sz w:val="32"/>
          <w:szCs w:val="32"/>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  年  月   日</w:t>
      </w:r>
    </w:p>
    <w:p w14:paraId="6AD78946">
      <w:pPr>
        <w:snapToGrid w:val="0"/>
        <w:spacing w:line="360" w:lineRule="auto"/>
        <w:ind w:firstLine="4935" w:firstLineChars="2350"/>
        <w:rPr>
          <w:rFonts w:ascii="仿宋" w:hAnsi="仿宋" w:eastAsia="仿宋" w:cs="仿宋"/>
          <w:color w:val="auto"/>
          <w:szCs w:val="21"/>
          <w:highlight w:val="none"/>
        </w:rPr>
      </w:pPr>
    </w:p>
    <w:p w14:paraId="69BA2C4D">
      <w:pPr>
        <w:snapToGrid w:val="0"/>
        <w:spacing w:line="360" w:lineRule="auto"/>
        <w:ind w:firstLine="4935" w:firstLineChars="2350"/>
        <w:rPr>
          <w:rFonts w:ascii="仿宋" w:hAnsi="仿宋" w:eastAsia="仿宋" w:cs="仿宋"/>
          <w:color w:val="auto"/>
          <w:szCs w:val="21"/>
          <w:highlight w:val="none"/>
        </w:rPr>
      </w:pPr>
    </w:p>
    <w:p w14:paraId="26427924">
      <w:pPr>
        <w:snapToGrid w:val="0"/>
        <w:spacing w:line="360" w:lineRule="auto"/>
        <w:ind w:firstLine="4935" w:firstLineChars="2350"/>
        <w:rPr>
          <w:rFonts w:ascii="仿宋" w:hAnsi="仿宋" w:eastAsia="仿宋" w:cs="仿宋"/>
          <w:color w:val="auto"/>
          <w:szCs w:val="21"/>
          <w:highlight w:val="none"/>
        </w:rPr>
      </w:pPr>
    </w:p>
    <w:p w14:paraId="5F2E1485">
      <w:pPr>
        <w:snapToGrid w:val="0"/>
        <w:spacing w:line="360" w:lineRule="auto"/>
        <w:ind w:firstLine="4935" w:firstLineChars="2350"/>
        <w:rPr>
          <w:rFonts w:hAnsi="宋体"/>
          <w:color w:val="auto"/>
          <w:szCs w:val="21"/>
          <w:highlight w:val="none"/>
        </w:rPr>
      </w:pPr>
    </w:p>
    <w:p w14:paraId="05D6263C">
      <w:pPr>
        <w:snapToGrid w:val="0"/>
        <w:spacing w:line="360" w:lineRule="auto"/>
        <w:ind w:firstLine="4935" w:firstLineChars="2350"/>
        <w:rPr>
          <w:rFonts w:hAnsi="宋体"/>
          <w:color w:val="auto"/>
          <w:szCs w:val="21"/>
          <w:highlight w:val="none"/>
        </w:rPr>
      </w:pPr>
    </w:p>
    <w:p w14:paraId="03857F34">
      <w:pPr>
        <w:snapToGrid w:val="0"/>
        <w:spacing w:line="360" w:lineRule="auto"/>
        <w:ind w:firstLine="4935" w:firstLineChars="2350"/>
        <w:rPr>
          <w:rFonts w:hAnsi="宋体"/>
          <w:color w:val="auto"/>
          <w:szCs w:val="21"/>
          <w:highlight w:val="none"/>
        </w:rPr>
      </w:pPr>
    </w:p>
    <w:p w14:paraId="336D923B">
      <w:pPr>
        <w:snapToGrid w:val="0"/>
        <w:spacing w:line="360" w:lineRule="auto"/>
        <w:ind w:firstLine="4935" w:firstLineChars="2350"/>
        <w:rPr>
          <w:rFonts w:hAnsi="宋体"/>
          <w:color w:val="auto"/>
          <w:szCs w:val="21"/>
          <w:highlight w:val="none"/>
        </w:rPr>
      </w:pPr>
    </w:p>
    <w:p w14:paraId="0D8FBEF3">
      <w:pPr>
        <w:snapToGrid w:val="0"/>
        <w:spacing w:before="165" w:beforeLines="50" w:after="50"/>
        <w:jc w:val="center"/>
        <w:rPr>
          <w:b/>
          <w:bCs/>
          <w:color w:val="auto"/>
          <w:sz w:val="30"/>
          <w:szCs w:val="30"/>
          <w:highlight w:val="none"/>
        </w:rPr>
      </w:pPr>
      <w:r>
        <w:rPr>
          <w:rFonts w:hint="eastAsia"/>
          <w:b/>
          <w:bCs/>
          <w:color w:val="auto"/>
          <w:sz w:val="30"/>
          <w:szCs w:val="30"/>
          <w:highlight w:val="none"/>
        </w:rPr>
        <w:t>三、运营服务方案</w:t>
      </w:r>
    </w:p>
    <w:p w14:paraId="5E9D17C3">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4BA5897A">
      <w:pPr>
        <w:rPr>
          <w:rFonts w:ascii="仿宋" w:hAnsi="仿宋" w:eastAsia="仿宋" w:cs="仿宋"/>
          <w:b/>
          <w:bCs/>
          <w:color w:val="auto"/>
          <w:kern w:val="0"/>
          <w:sz w:val="24"/>
          <w:highlight w:val="none"/>
          <w:lang w:val="zh-CN"/>
        </w:rPr>
      </w:pPr>
    </w:p>
    <w:p w14:paraId="2897EDE8">
      <w:pPr>
        <w:rPr>
          <w:rFonts w:ascii="仿宋" w:hAnsi="仿宋" w:eastAsia="仿宋" w:cs="仿宋"/>
          <w:b/>
          <w:bCs/>
          <w:color w:val="auto"/>
          <w:kern w:val="0"/>
          <w:sz w:val="24"/>
          <w:highlight w:val="none"/>
          <w:lang w:val="zh-CN"/>
        </w:rPr>
      </w:pPr>
    </w:p>
    <w:p w14:paraId="678E95ED">
      <w:pPr>
        <w:autoSpaceDE w:val="0"/>
        <w:autoSpaceDN w:val="0"/>
        <w:spacing w:line="360" w:lineRule="auto"/>
        <w:ind w:firstLine="4440" w:firstLineChars="1850"/>
        <w:rPr>
          <w:rFonts w:ascii="仿宋" w:hAnsi="仿宋" w:eastAsia="仿宋" w:cs="仿宋"/>
          <w:color w:val="auto"/>
          <w:kern w:val="0"/>
          <w:sz w:val="24"/>
          <w:highlight w:val="none"/>
        </w:rPr>
      </w:pPr>
    </w:p>
    <w:p w14:paraId="641A8B39">
      <w:pPr>
        <w:autoSpaceDE w:val="0"/>
        <w:autoSpaceDN w:val="0"/>
        <w:adjustRightInd w:val="0"/>
        <w:rPr>
          <w:rFonts w:ascii="仿宋" w:hAnsi="仿宋" w:eastAsia="仿宋" w:cs="仿宋"/>
          <w:color w:val="auto"/>
          <w:sz w:val="24"/>
          <w:highlight w:val="none"/>
        </w:rPr>
      </w:pPr>
    </w:p>
    <w:p w14:paraId="695BF9A6">
      <w:pPr>
        <w:autoSpaceDE w:val="0"/>
        <w:autoSpaceDN w:val="0"/>
        <w:spacing w:line="360" w:lineRule="auto"/>
        <w:ind w:firstLine="4440" w:firstLineChars="185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投标人名称（电子签章）：</w:t>
      </w:r>
    </w:p>
    <w:p w14:paraId="08853D62">
      <w:pPr>
        <w:autoSpaceDE w:val="0"/>
        <w:autoSpaceDN w:val="0"/>
        <w:spacing w:line="360" w:lineRule="auto"/>
        <w:rPr>
          <w:rFonts w:ascii="仿宋" w:hAnsi="仿宋" w:eastAsia="仿宋" w:cs="仿宋"/>
          <w:b/>
          <w:bCs/>
          <w:color w:val="auto"/>
          <w:sz w:val="32"/>
          <w:szCs w:val="32"/>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  年  月   日</w:t>
      </w:r>
    </w:p>
    <w:p w14:paraId="7A90978A">
      <w:pPr>
        <w:snapToGrid w:val="0"/>
        <w:spacing w:line="360" w:lineRule="auto"/>
        <w:ind w:firstLine="4935" w:firstLineChars="2350"/>
        <w:rPr>
          <w:rFonts w:hAnsi="宋体"/>
          <w:color w:val="auto"/>
          <w:szCs w:val="21"/>
          <w:highlight w:val="none"/>
        </w:rPr>
      </w:pPr>
    </w:p>
    <w:p w14:paraId="18127927">
      <w:pPr>
        <w:snapToGrid w:val="0"/>
        <w:spacing w:line="360" w:lineRule="auto"/>
        <w:ind w:firstLine="4935" w:firstLineChars="2350"/>
        <w:rPr>
          <w:rFonts w:hAnsi="宋体"/>
          <w:color w:val="auto"/>
          <w:szCs w:val="21"/>
          <w:highlight w:val="none"/>
        </w:rPr>
      </w:pPr>
    </w:p>
    <w:p w14:paraId="17BE95ED">
      <w:pPr>
        <w:snapToGrid w:val="0"/>
        <w:spacing w:line="360" w:lineRule="auto"/>
        <w:ind w:firstLine="4935" w:firstLineChars="2350"/>
        <w:rPr>
          <w:rFonts w:hAnsi="宋体"/>
          <w:color w:val="auto"/>
          <w:szCs w:val="21"/>
          <w:highlight w:val="none"/>
        </w:rPr>
      </w:pPr>
    </w:p>
    <w:p w14:paraId="058A66E3">
      <w:pPr>
        <w:pStyle w:val="60"/>
        <w:rPr>
          <w:rFonts w:hAnsi="宋体"/>
          <w:color w:val="auto"/>
          <w:szCs w:val="21"/>
          <w:highlight w:val="none"/>
        </w:rPr>
      </w:pPr>
    </w:p>
    <w:p w14:paraId="2999D860">
      <w:pPr>
        <w:pStyle w:val="60"/>
        <w:rPr>
          <w:rFonts w:hAnsi="宋体"/>
          <w:color w:val="auto"/>
          <w:szCs w:val="21"/>
          <w:highlight w:val="none"/>
        </w:rPr>
      </w:pPr>
    </w:p>
    <w:p w14:paraId="0E0EA069">
      <w:pPr>
        <w:pStyle w:val="60"/>
        <w:rPr>
          <w:rFonts w:hAnsi="宋体"/>
          <w:color w:val="auto"/>
          <w:szCs w:val="21"/>
          <w:highlight w:val="none"/>
        </w:rPr>
      </w:pPr>
    </w:p>
    <w:p w14:paraId="622CA533">
      <w:pPr>
        <w:pStyle w:val="60"/>
        <w:rPr>
          <w:rFonts w:hAnsi="宋体"/>
          <w:color w:val="auto"/>
          <w:szCs w:val="21"/>
          <w:highlight w:val="none"/>
        </w:rPr>
      </w:pPr>
    </w:p>
    <w:p w14:paraId="65CA7330">
      <w:pPr>
        <w:pStyle w:val="60"/>
        <w:rPr>
          <w:rFonts w:hAnsi="宋体"/>
          <w:color w:val="auto"/>
          <w:szCs w:val="21"/>
          <w:highlight w:val="none"/>
        </w:rPr>
      </w:pPr>
    </w:p>
    <w:p w14:paraId="22B1D43A">
      <w:pPr>
        <w:pStyle w:val="60"/>
        <w:rPr>
          <w:rFonts w:hAnsi="宋体"/>
          <w:color w:val="auto"/>
          <w:szCs w:val="21"/>
          <w:highlight w:val="none"/>
        </w:rPr>
      </w:pPr>
    </w:p>
    <w:p w14:paraId="1B277C1B">
      <w:pPr>
        <w:pStyle w:val="60"/>
        <w:rPr>
          <w:rFonts w:hAnsi="宋体"/>
          <w:color w:val="auto"/>
          <w:szCs w:val="21"/>
          <w:highlight w:val="none"/>
        </w:rPr>
      </w:pPr>
    </w:p>
    <w:p w14:paraId="54D0D2C7">
      <w:pPr>
        <w:pStyle w:val="60"/>
        <w:rPr>
          <w:rFonts w:hAnsi="宋体"/>
          <w:color w:val="auto"/>
          <w:szCs w:val="21"/>
          <w:highlight w:val="none"/>
        </w:rPr>
      </w:pPr>
    </w:p>
    <w:p w14:paraId="6A32F442">
      <w:pPr>
        <w:pStyle w:val="60"/>
        <w:rPr>
          <w:rFonts w:hAnsi="宋体"/>
          <w:color w:val="auto"/>
          <w:szCs w:val="21"/>
          <w:highlight w:val="none"/>
        </w:rPr>
      </w:pPr>
    </w:p>
    <w:p w14:paraId="3FD16B42">
      <w:pPr>
        <w:snapToGrid w:val="0"/>
        <w:spacing w:before="165" w:beforeLines="50" w:after="50"/>
        <w:rPr>
          <w:b/>
          <w:bCs/>
          <w:color w:val="auto"/>
          <w:sz w:val="30"/>
          <w:szCs w:val="30"/>
          <w:highlight w:val="none"/>
        </w:rPr>
      </w:pPr>
    </w:p>
    <w:p w14:paraId="600C904D">
      <w:pPr>
        <w:snapToGrid w:val="0"/>
        <w:spacing w:before="165" w:beforeLines="50" w:after="50"/>
        <w:jc w:val="center"/>
        <w:rPr>
          <w:b/>
          <w:bCs/>
          <w:color w:val="auto"/>
          <w:sz w:val="30"/>
          <w:szCs w:val="30"/>
          <w:highlight w:val="none"/>
        </w:rPr>
      </w:pPr>
      <w:r>
        <w:rPr>
          <w:rFonts w:hint="eastAsia"/>
          <w:b/>
          <w:bCs/>
          <w:color w:val="auto"/>
          <w:sz w:val="30"/>
          <w:szCs w:val="30"/>
          <w:highlight w:val="none"/>
        </w:rPr>
        <w:t>四、服务质量与服务保证</w:t>
      </w:r>
    </w:p>
    <w:p w14:paraId="5D08C532">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3481E63B">
      <w:pPr>
        <w:rPr>
          <w:rFonts w:ascii="仿宋" w:hAnsi="仿宋" w:eastAsia="仿宋" w:cs="仿宋"/>
          <w:b/>
          <w:bCs/>
          <w:color w:val="auto"/>
          <w:kern w:val="0"/>
          <w:sz w:val="24"/>
          <w:highlight w:val="none"/>
          <w:lang w:val="zh-CN"/>
        </w:rPr>
      </w:pPr>
    </w:p>
    <w:p w14:paraId="766A41D1">
      <w:pPr>
        <w:rPr>
          <w:rFonts w:ascii="仿宋" w:hAnsi="仿宋" w:eastAsia="仿宋" w:cs="仿宋"/>
          <w:b/>
          <w:bCs/>
          <w:color w:val="auto"/>
          <w:kern w:val="0"/>
          <w:sz w:val="24"/>
          <w:highlight w:val="none"/>
          <w:lang w:val="zh-CN"/>
        </w:rPr>
      </w:pPr>
    </w:p>
    <w:p w14:paraId="656BEDB4">
      <w:pPr>
        <w:autoSpaceDE w:val="0"/>
        <w:autoSpaceDN w:val="0"/>
        <w:spacing w:line="360" w:lineRule="auto"/>
        <w:ind w:firstLine="4440" w:firstLineChars="1850"/>
        <w:rPr>
          <w:rFonts w:ascii="仿宋" w:hAnsi="仿宋" w:eastAsia="仿宋" w:cs="仿宋"/>
          <w:color w:val="auto"/>
          <w:kern w:val="0"/>
          <w:sz w:val="24"/>
          <w:highlight w:val="none"/>
        </w:rPr>
      </w:pPr>
    </w:p>
    <w:p w14:paraId="788AF91D">
      <w:pPr>
        <w:autoSpaceDE w:val="0"/>
        <w:autoSpaceDN w:val="0"/>
        <w:adjustRightInd w:val="0"/>
        <w:rPr>
          <w:rFonts w:ascii="仿宋" w:hAnsi="仿宋" w:eastAsia="仿宋" w:cs="仿宋"/>
          <w:color w:val="auto"/>
          <w:sz w:val="24"/>
          <w:highlight w:val="none"/>
        </w:rPr>
      </w:pPr>
    </w:p>
    <w:p w14:paraId="0683CEDD">
      <w:pPr>
        <w:autoSpaceDE w:val="0"/>
        <w:autoSpaceDN w:val="0"/>
        <w:spacing w:line="360" w:lineRule="auto"/>
        <w:ind w:firstLine="4440" w:firstLineChars="185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投标人名称（电子签章）：</w:t>
      </w:r>
    </w:p>
    <w:p w14:paraId="09A3BB8C">
      <w:pPr>
        <w:autoSpaceDE w:val="0"/>
        <w:autoSpaceDN w:val="0"/>
        <w:spacing w:line="360" w:lineRule="auto"/>
        <w:rPr>
          <w:rFonts w:ascii="仿宋" w:hAnsi="仿宋" w:eastAsia="仿宋" w:cs="仿宋"/>
          <w:b/>
          <w:bCs/>
          <w:color w:val="auto"/>
          <w:sz w:val="32"/>
          <w:szCs w:val="32"/>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  年  月   日</w:t>
      </w:r>
    </w:p>
    <w:p w14:paraId="695E935E">
      <w:pPr>
        <w:snapToGrid w:val="0"/>
        <w:spacing w:before="165" w:beforeLines="50" w:after="50"/>
        <w:jc w:val="center"/>
        <w:rPr>
          <w:b/>
          <w:bCs/>
          <w:color w:val="auto"/>
          <w:sz w:val="30"/>
          <w:szCs w:val="30"/>
          <w:highlight w:val="none"/>
        </w:rPr>
      </w:pPr>
    </w:p>
    <w:p w14:paraId="6C486F1D">
      <w:pPr>
        <w:snapToGrid w:val="0"/>
        <w:spacing w:before="165" w:beforeLines="50" w:after="50"/>
        <w:jc w:val="center"/>
        <w:rPr>
          <w:b/>
          <w:bCs/>
          <w:color w:val="auto"/>
          <w:sz w:val="30"/>
          <w:szCs w:val="30"/>
          <w:highlight w:val="none"/>
        </w:rPr>
      </w:pPr>
    </w:p>
    <w:p w14:paraId="31DB8FF1">
      <w:pPr>
        <w:snapToGrid w:val="0"/>
        <w:spacing w:before="165" w:beforeLines="50" w:after="50"/>
        <w:jc w:val="center"/>
        <w:rPr>
          <w:b/>
          <w:bCs/>
          <w:color w:val="auto"/>
          <w:sz w:val="30"/>
          <w:szCs w:val="30"/>
          <w:highlight w:val="none"/>
        </w:rPr>
      </w:pPr>
    </w:p>
    <w:p w14:paraId="4F2DD350">
      <w:pPr>
        <w:snapToGrid w:val="0"/>
        <w:spacing w:before="165" w:beforeLines="50" w:after="50"/>
        <w:jc w:val="center"/>
        <w:rPr>
          <w:b/>
          <w:bCs/>
          <w:color w:val="auto"/>
          <w:sz w:val="30"/>
          <w:szCs w:val="30"/>
          <w:highlight w:val="none"/>
        </w:rPr>
      </w:pPr>
    </w:p>
    <w:p w14:paraId="2C1077D5">
      <w:pPr>
        <w:snapToGrid w:val="0"/>
        <w:spacing w:before="165" w:beforeLines="50" w:after="50"/>
        <w:ind w:left="142"/>
        <w:jc w:val="center"/>
        <w:rPr>
          <w:rFonts w:ascii="宋体" w:hAnsi="宋体"/>
          <w:b/>
          <w:color w:val="auto"/>
          <w:sz w:val="32"/>
          <w:szCs w:val="32"/>
          <w:highlight w:val="none"/>
        </w:rPr>
      </w:pPr>
      <w:r>
        <w:rPr>
          <w:rFonts w:hint="eastAsia" w:ascii="宋体" w:hAnsi="宋体"/>
          <w:b/>
          <w:color w:val="auto"/>
          <w:sz w:val="32"/>
          <w:szCs w:val="32"/>
          <w:highlight w:val="none"/>
        </w:rPr>
        <w:t>五、项目实施人员一览表</w:t>
      </w:r>
    </w:p>
    <w:p w14:paraId="0ED20312">
      <w:pPr>
        <w:spacing w:line="360" w:lineRule="auto"/>
        <w:jc w:val="center"/>
        <w:rPr>
          <w:rFonts w:ascii="仿宋" w:hAnsi="仿宋" w:eastAsia="仿宋" w:cs="仿宋"/>
          <w:b/>
          <w:bCs/>
          <w:color w:val="auto"/>
          <w:sz w:val="24"/>
          <w:highlight w:val="none"/>
        </w:rPr>
      </w:pPr>
      <w:r>
        <w:rPr>
          <w:rFonts w:hint="eastAsia" w:ascii="仿宋" w:hAnsi="仿宋" w:eastAsia="仿宋" w:cs="仿宋"/>
          <w:color w:val="auto"/>
          <w:sz w:val="24"/>
          <w:highlight w:val="none"/>
        </w:rPr>
        <w:t>（由投标人根据采购需求及招标文件要求编制）</w:t>
      </w:r>
    </w:p>
    <w:p w14:paraId="29CC711A">
      <w:pPr>
        <w:keepNext/>
        <w:autoSpaceDE w:val="0"/>
        <w:autoSpaceDN w:val="0"/>
        <w:spacing w:line="360" w:lineRule="auto"/>
        <w:ind w:firstLine="477"/>
        <w:rPr>
          <w:rFonts w:ascii="仿宋" w:hAnsi="仿宋" w:eastAsia="仿宋" w:cs="仿宋"/>
          <w:b/>
          <w:color w:val="auto"/>
          <w:sz w:val="24"/>
          <w:highlight w:val="none"/>
        </w:rPr>
      </w:pPr>
      <w:r>
        <w:rPr>
          <w:rFonts w:hint="eastAsia" w:ascii="仿宋" w:hAnsi="仿宋" w:eastAsia="仿宋" w:cs="仿宋"/>
          <w:b/>
          <w:color w:val="auto"/>
          <w:sz w:val="24"/>
          <w:highlight w:val="none"/>
        </w:rPr>
        <w:t>附表A</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本项目的项目经理情况表</w:t>
      </w:r>
    </w:p>
    <w:tbl>
      <w:tblPr>
        <w:tblStyle w:val="35"/>
        <w:tblW w:w="0" w:type="auto"/>
        <w:tblInd w:w="116" w:type="dxa"/>
        <w:tblLayout w:type="fixed"/>
        <w:tblCellMar>
          <w:top w:w="0" w:type="dxa"/>
          <w:left w:w="108" w:type="dxa"/>
          <w:bottom w:w="0" w:type="dxa"/>
          <w:right w:w="108" w:type="dxa"/>
        </w:tblCellMar>
      </w:tblPr>
      <w:tblGrid>
        <w:gridCol w:w="2142"/>
        <w:gridCol w:w="1337"/>
        <w:gridCol w:w="1309"/>
        <w:gridCol w:w="4310"/>
      </w:tblGrid>
      <w:tr w14:paraId="40B1F374">
        <w:tblPrEx>
          <w:tblCellMar>
            <w:top w:w="0" w:type="dxa"/>
            <w:left w:w="108" w:type="dxa"/>
            <w:bottom w:w="0" w:type="dxa"/>
            <w:right w:w="108" w:type="dxa"/>
          </w:tblCellMar>
        </w:tblPrEx>
        <w:trPr>
          <w:trHeight w:val="1532" w:hRule="atLeast"/>
        </w:trPr>
        <w:tc>
          <w:tcPr>
            <w:tcW w:w="2142" w:type="dxa"/>
            <w:tcBorders>
              <w:top w:val="single" w:color="auto" w:sz="6" w:space="0"/>
              <w:left w:val="single" w:color="auto" w:sz="6" w:space="0"/>
              <w:bottom w:val="single" w:color="auto" w:sz="6" w:space="0"/>
              <w:right w:val="single" w:color="auto" w:sz="6" w:space="0"/>
            </w:tcBorders>
            <w:vAlign w:val="center"/>
          </w:tcPr>
          <w:p w14:paraId="231BC8B1">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337" w:type="dxa"/>
            <w:tcBorders>
              <w:top w:val="single" w:color="auto" w:sz="6" w:space="0"/>
              <w:left w:val="single" w:color="auto" w:sz="6" w:space="0"/>
              <w:bottom w:val="single" w:color="auto" w:sz="6" w:space="0"/>
              <w:right w:val="single" w:color="auto" w:sz="4" w:space="0"/>
            </w:tcBorders>
            <w:shd w:val="clear" w:color="auto" w:fill="B3B3B3"/>
            <w:vAlign w:val="center"/>
          </w:tcPr>
          <w:p w14:paraId="7BEEE465">
            <w:pPr>
              <w:autoSpaceDE w:val="0"/>
              <w:autoSpaceDN w:val="0"/>
              <w:spacing w:line="360" w:lineRule="auto"/>
              <w:jc w:val="center"/>
              <w:rPr>
                <w:rFonts w:ascii="仿宋" w:hAnsi="仿宋" w:eastAsia="仿宋" w:cs="仿宋"/>
                <w:color w:val="auto"/>
                <w:sz w:val="24"/>
                <w:highlight w:val="none"/>
              </w:rPr>
            </w:pPr>
          </w:p>
        </w:tc>
        <w:tc>
          <w:tcPr>
            <w:tcW w:w="1309" w:type="dxa"/>
            <w:tcBorders>
              <w:top w:val="single" w:color="auto" w:sz="6" w:space="0"/>
              <w:left w:val="single" w:color="auto" w:sz="4" w:space="0"/>
              <w:bottom w:val="single" w:color="auto" w:sz="6" w:space="0"/>
              <w:right w:val="single" w:color="auto" w:sz="6" w:space="0"/>
            </w:tcBorders>
            <w:vAlign w:val="center"/>
          </w:tcPr>
          <w:p w14:paraId="16BCFC71">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4310" w:type="dxa"/>
            <w:tcBorders>
              <w:top w:val="single" w:color="auto" w:sz="6" w:space="0"/>
              <w:left w:val="single" w:color="auto" w:sz="6" w:space="0"/>
              <w:bottom w:val="single" w:color="auto" w:sz="6" w:space="0"/>
              <w:right w:val="single" w:color="auto" w:sz="6" w:space="0"/>
            </w:tcBorders>
            <w:vAlign w:val="center"/>
          </w:tcPr>
          <w:p w14:paraId="6B2D375E">
            <w:pPr>
              <w:autoSpaceDE w:val="0"/>
              <w:autoSpaceDN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投标截止时间前三年业绩及承担的主要工作情况，曾担任项目经理的项目应列明细</w:t>
            </w:r>
          </w:p>
        </w:tc>
      </w:tr>
      <w:tr w14:paraId="54C0B586">
        <w:tblPrEx>
          <w:tblCellMar>
            <w:top w:w="0" w:type="dxa"/>
            <w:left w:w="108" w:type="dxa"/>
            <w:bottom w:w="0" w:type="dxa"/>
            <w:right w:w="108" w:type="dxa"/>
          </w:tblCellMar>
        </w:tblPrEx>
        <w:trPr>
          <w:cantSplit/>
          <w:trHeight w:val="520" w:hRule="atLeast"/>
        </w:trPr>
        <w:tc>
          <w:tcPr>
            <w:tcW w:w="2142" w:type="dxa"/>
            <w:tcBorders>
              <w:top w:val="single" w:color="auto" w:sz="6" w:space="0"/>
              <w:left w:val="single" w:color="auto" w:sz="6" w:space="0"/>
              <w:bottom w:val="single" w:color="auto" w:sz="6" w:space="0"/>
              <w:right w:val="single" w:color="auto" w:sz="6" w:space="0"/>
            </w:tcBorders>
            <w:vAlign w:val="center"/>
          </w:tcPr>
          <w:p w14:paraId="05D58EF9">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1337" w:type="dxa"/>
            <w:tcBorders>
              <w:top w:val="single" w:color="auto" w:sz="6" w:space="0"/>
              <w:left w:val="single" w:color="auto" w:sz="6" w:space="0"/>
              <w:bottom w:val="single" w:color="auto" w:sz="6" w:space="0"/>
              <w:right w:val="single" w:color="auto" w:sz="4" w:space="0"/>
            </w:tcBorders>
            <w:vAlign w:val="center"/>
          </w:tcPr>
          <w:p w14:paraId="6CDA9429">
            <w:pPr>
              <w:autoSpaceDE w:val="0"/>
              <w:autoSpaceDN w:val="0"/>
              <w:spacing w:line="360" w:lineRule="auto"/>
              <w:jc w:val="center"/>
              <w:rPr>
                <w:rFonts w:ascii="仿宋" w:hAnsi="仿宋" w:eastAsia="仿宋" w:cs="仿宋"/>
                <w:color w:val="auto"/>
                <w:sz w:val="24"/>
                <w:highlight w:val="none"/>
              </w:rPr>
            </w:pPr>
          </w:p>
        </w:tc>
        <w:tc>
          <w:tcPr>
            <w:tcW w:w="1309" w:type="dxa"/>
            <w:tcBorders>
              <w:top w:val="single" w:color="auto" w:sz="6" w:space="0"/>
              <w:left w:val="single" w:color="auto" w:sz="4" w:space="0"/>
              <w:bottom w:val="single" w:color="auto" w:sz="6" w:space="0"/>
              <w:right w:val="single" w:color="auto" w:sz="6" w:space="0"/>
            </w:tcBorders>
            <w:shd w:val="clear" w:color="auto" w:fill="B3B3B3"/>
            <w:vAlign w:val="center"/>
          </w:tcPr>
          <w:p w14:paraId="1872E175">
            <w:pPr>
              <w:autoSpaceDE w:val="0"/>
              <w:autoSpaceDN w:val="0"/>
              <w:spacing w:line="360" w:lineRule="auto"/>
              <w:jc w:val="center"/>
              <w:rPr>
                <w:rFonts w:ascii="仿宋" w:hAnsi="仿宋" w:eastAsia="仿宋" w:cs="仿宋"/>
                <w:color w:val="auto"/>
                <w:sz w:val="24"/>
                <w:highlight w:val="none"/>
              </w:rPr>
            </w:pPr>
          </w:p>
        </w:tc>
        <w:tc>
          <w:tcPr>
            <w:tcW w:w="4310" w:type="dxa"/>
            <w:vMerge w:val="restart"/>
            <w:tcBorders>
              <w:top w:val="single" w:color="auto" w:sz="6" w:space="0"/>
              <w:left w:val="single" w:color="auto" w:sz="6" w:space="0"/>
              <w:bottom w:val="single" w:color="auto" w:sz="6" w:space="0"/>
              <w:right w:val="single" w:color="auto" w:sz="6" w:space="0"/>
            </w:tcBorders>
            <w:vAlign w:val="center"/>
          </w:tcPr>
          <w:p w14:paraId="0A400306">
            <w:pPr>
              <w:autoSpaceDE w:val="0"/>
              <w:autoSpaceDN w:val="0"/>
              <w:spacing w:line="360" w:lineRule="auto"/>
              <w:jc w:val="center"/>
              <w:rPr>
                <w:rFonts w:ascii="仿宋" w:hAnsi="仿宋" w:eastAsia="仿宋" w:cs="仿宋"/>
                <w:color w:val="auto"/>
                <w:sz w:val="24"/>
                <w:highlight w:val="none"/>
              </w:rPr>
            </w:pPr>
          </w:p>
        </w:tc>
      </w:tr>
      <w:tr w14:paraId="73B2C5A8">
        <w:tblPrEx>
          <w:tblCellMar>
            <w:top w:w="0" w:type="dxa"/>
            <w:left w:w="108" w:type="dxa"/>
            <w:bottom w:w="0" w:type="dxa"/>
            <w:right w:w="108" w:type="dxa"/>
          </w:tblCellMar>
        </w:tblPrEx>
        <w:trPr>
          <w:cantSplit/>
          <w:trHeight w:val="520" w:hRule="atLeast"/>
        </w:trPr>
        <w:tc>
          <w:tcPr>
            <w:tcW w:w="2142" w:type="dxa"/>
            <w:tcBorders>
              <w:top w:val="single" w:color="auto" w:sz="6" w:space="0"/>
              <w:left w:val="single" w:color="auto" w:sz="6" w:space="0"/>
              <w:bottom w:val="single" w:color="auto" w:sz="6" w:space="0"/>
              <w:right w:val="single" w:color="auto" w:sz="6" w:space="0"/>
            </w:tcBorders>
            <w:vAlign w:val="center"/>
          </w:tcPr>
          <w:p w14:paraId="0000C64D">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337" w:type="dxa"/>
            <w:tcBorders>
              <w:top w:val="single" w:color="auto" w:sz="6" w:space="0"/>
              <w:left w:val="single" w:color="auto" w:sz="6" w:space="0"/>
              <w:bottom w:val="single" w:color="auto" w:sz="6" w:space="0"/>
              <w:right w:val="single" w:color="auto" w:sz="4" w:space="0"/>
            </w:tcBorders>
            <w:vAlign w:val="center"/>
          </w:tcPr>
          <w:p w14:paraId="38C42BAD">
            <w:pPr>
              <w:autoSpaceDE w:val="0"/>
              <w:autoSpaceDN w:val="0"/>
              <w:spacing w:line="360" w:lineRule="auto"/>
              <w:jc w:val="center"/>
              <w:rPr>
                <w:rFonts w:ascii="仿宋" w:hAnsi="仿宋" w:eastAsia="仿宋" w:cs="仿宋"/>
                <w:color w:val="auto"/>
                <w:sz w:val="24"/>
                <w:highlight w:val="none"/>
              </w:rPr>
            </w:pPr>
          </w:p>
        </w:tc>
        <w:tc>
          <w:tcPr>
            <w:tcW w:w="1309" w:type="dxa"/>
            <w:tcBorders>
              <w:top w:val="single" w:color="auto" w:sz="6" w:space="0"/>
              <w:left w:val="single" w:color="auto" w:sz="4" w:space="0"/>
              <w:bottom w:val="single" w:color="auto" w:sz="6" w:space="0"/>
              <w:right w:val="single" w:color="auto" w:sz="6" w:space="0"/>
            </w:tcBorders>
            <w:shd w:val="clear" w:color="auto" w:fill="B3B3B3"/>
            <w:vAlign w:val="center"/>
          </w:tcPr>
          <w:p w14:paraId="58CC4C10">
            <w:pPr>
              <w:autoSpaceDE w:val="0"/>
              <w:autoSpaceDN w:val="0"/>
              <w:spacing w:line="360" w:lineRule="auto"/>
              <w:jc w:val="center"/>
              <w:rPr>
                <w:rFonts w:ascii="仿宋" w:hAnsi="仿宋" w:eastAsia="仿宋" w:cs="仿宋"/>
                <w:color w:val="auto"/>
                <w:sz w:val="24"/>
                <w:highlight w:val="none"/>
              </w:rPr>
            </w:pPr>
          </w:p>
        </w:tc>
        <w:tc>
          <w:tcPr>
            <w:tcW w:w="4310" w:type="dxa"/>
            <w:vMerge w:val="continue"/>
            <w:tcBorders>
              <w:top w:val="single" w:color="auto" w:sz="6" w:space="0"/>
              <w:left w:val="single" w:color="auto" w:sz="6" w:space="0"/>
              <w:bottom w:val="single" w:color="auto" w:sz="6" w:space="0"/>
              <w:right w:val="single" w:color="auto" w:sz="6" w:space="0"/>
            </w:tcBorders>
            <w:vAlign w:val="center"/>
          </w:tcPr>
          <w:p w14:paraId="308EDCA0">
            <w:pPr>
              <w:widowControl/>
              <w:jc w:val="left"/>
              <w:rPr>
                <w:rFonts w:ascii="仿宋" w:hAnsi="仿宋" w:eastAsia="仿宋" w:cs="仿宋"/>
                <w:color w:val="auto"/>
                <w:sz w:val="24"/>
                <w:highlight w:val="none"/>
              </w:rPr>
            </w:pPr>
          </w:p>
        </w:tc>
      </w:tr>
      <w:tr w14:paraId="74AD4DB5">
        <w:tblPrEx>
          <w:tblCellMar>
            <w:top w:w="0" w:type="dxa"/>
            <w:left w:w="108" w:type="dxa"/>
            <w:bottom w:w="0" w:type="dxa"/>
            <w:right w:w="108" w:type="dxa"/>
          </w:tblCellMar>
        </w:tblPrEx>
        <w:trPr>
          <w:cantSplit/>
          <w:trHeight w:val="520" w:hRule="atLeast"/>
        </w:trPr>
        <w:tc>
          <w:tcPr>
            <w:tcW w:w="2142" w:type="dxa"/>
            <w:tcBorders>
              <w:top w:val="single" w:color="auto" w:sz="6" w:space="0"/>
              <w:left w:val="single" w:color="auto" w:sz="6" w:space="0"/>
              <w:bottom w:val="single" w:color="auto" w:sz="6" w:space="0"/>
              <w:right w:val="single" w:color="auto" w:sz="6" w:space="0"/>
            </w:tcBorders>
            <w:vAlign w:val="center"/>
          </w:tcPr>
          <w:p w14:paraId="2C55AE93">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337" w:type="dxa"/>
            <w:tcBorders>
              <w:top w:val="single" w:color="auto" w:sz="6" w:space="0"/>
              <w:left w:val="single" w:color="auto" w:sz="6" w:space="0"/>
              <w:bottom w:val="single" w:color="auto" w:sz="6" w:space="0"/>
              <w:right w:val="single" w:color="auto" w:sz="4" w:space="0"/>
            </w:tcBorders>
            <w:vAlign w:val="center"/>
          </w:tcPr>
          <w:p w14:paraId="6E1710A5">
            <w:pPr>
              <w:autoSpaceDE w:val="0"/>
              <w:autoSpaceDN w:val="0"/>
              <w:spacing w:line="360" w:lineRule="auto"/>
              <w:jc w:val="center"/>
              <w:rPr>
                <w:rFonts w:ascii="仿宋" w:hAnsi="仿宋" w:eastAsia="仿宋" w:cs="仿宋"/>
                <w:color w:val="auto"/>
                <w:sz w:val="24"/>
                <w:highlight w:val="none"/>
              </w:rPr>
            </w:pPr>
          </w:p>
        </w:tc>
        <w:tc>
          <w:tcPr>
            <w:tcW w:w="1309" w:type="dxa"/>
            <w:tcBorders>
              <w:top w:val="single" w:color="auto" w:sz="6" w:space="0"/>
              <w:left w:val="single" w:color="auto" w:sz="4" w:space="0"/>
              <w:bottom w:val="single" w:color="auto" w:sz="6" w:space="0"/>
              <w:right w:val="single" w:color="auto" w:sz="6" w:space="0"/>
            </w:tcBorders>
            <w:vAlign w:val="center"/>
          </w:tcPr>
          <w:p w14:paraId="05E68294">
            <w:pPr>
              <w:autoSpaceDE w:val="0"/>
              <w:autoSpaceDN w:val="0"/>
              <w:spacing w:line="360" w:lineRule="auto"/>
              <w:jc w:val="center"/>
              <w:rPr>
                <w:rFonts w:ascii="仿宋" w:hAnsi="仿宋" w:eastAsia="仿宋" w:cs="仿宋"/>
                <w:color w:val="auto"/>
                <w:sz w:val="24"/>
                <w:highlight w:val="none"/>
              </w:rPr>
            </w:pPr>
          </w:p>
        </w:tc>
        <w:tc>
          <w:tcPr>
            <w:tcW w:w="4310" w:type="dxa"/>
            <w:vMerge w:val="continue"/>
            <w:tcBorders>
              <w:top w:val="single" w:color="auto" w:sz="6" w:space="0"/>
              <w:left w:val="single" w:color="auto" w:sz="6" w:space="0"/>
              <w:bottom w:val="single" w:color="auto" w:sz="6" w:space="0"/>
              <w:right w:val="single" w:color="auto" w:sz="6" w:space="0"/>
            </w:tcBorders>
            <w:vAlign w:val="center"/>
          </w:tcPr>
          <w:p w14:paraId="772C2C52">
            <w:pPr>
              <w:widowControl/>
              <w:jc w:val="left"/>
              <w:rPr>
                <w:rFonts w:ascii="仿宋" w:hAnsi="仿宋" w:eastAsia="仿宋" w:cs="仿宋"/>
                <w:color w:val="auto"/>
                <w:sz w:val="24"/>
                <w:highlight w:val="none"/>
              </w:rPr>
            </w:pPr>
          </w:p>
        </w:tc>
      </w:tr>
      <w:tr w14:paraId="6388F332">
        <w:tblPrEx>
          <w:tblCellMar>
            <w:top w:w="0" w:type="dxa"/>
            <w:left w:w="108" w:type="dxa"/>
            <w:bottom w:w="0" w:type="dxa"/>
            <w:right w:w="108" w:type="dxa"/>
          </w:tblCellMar>
        </w:tblPrEx>
        <w:trPr>
          <w:cantSplit/>
          <w:trHeight w:val="520" w:hRule="atLeast"/>
        </w:trPr>
        <w:tc>
          <w:tcPr>
            <w:tcW w:w="2142" w:type="dxa"/>
            <w:tcBorders>
              <w:top w:val="single" w:color="auto" w:sz="6" w:space="0"/>
              <w:left w:val="single" w:color="auto" w:sz="6" w:space="0"/>
              <w:bottom w:val="single" w:color="auto" w:sz="6" w:space="0"/>
              <w:right w:val="single" w:color="auto" w:sz="6" w:space="0"/>
            </w:tcBorders>
            <w:vAlign w:val="center"/>
          </w:tcPr>
          <w:p w14:paraId="378B05C7">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毕业时间</w:t>
            </w:r>
          </w:p>
        </w:tc>
        <w:tc>
          <w:tcPr>
            <w:tcW w:w="1337" w:type="dxa"/>
            <w:tcBorders>
              <w:top w:val="single" w:color="auto" w:sz="6" w:space="0"/>
              <w:left w:val="single" w:color="auto" w:sz="6" w:space="0"/>
              <w:bottom w:val="single" w:color="auto" w:sz="6" w:space="0"/>
              <w:right w:val="single" w:color="auto" w:sz="4" w:space="0"/>
            </w:tcBorders>
            <w:vAlign w:val="center"/>
          </w:tcPr>
          <w:p w14:paraId="6B6961DB">
            <w:pPr>
              <w:autoSpaceDE w:val="0"/>
              <w:autoSpaceDN w:val="0"/>
              <w:spacing w:line="360" w:lineRule="auto"/>
              <w:jc w:val="center"/>
              <w:rPr>
                <w:rFonts w:ascii="仿宋" w:hAnsi="仿宋" w:eastAsia="仿宋" w:cs="仿宋"/>
                <w:color w:val="auto"/>
                <w:sz w:val="24"/>
                <w:highlight w:val="none"/>
              </w:rPr>
            </w:pPr>
          </w:p>
        </w:tc>
        <w:tc>
          <w:tcPr>
            <w:tcW w:w="1309" w:type="dxa"/>
            <w:tcBorders>
              <w:top w:val="single" w:color="auto" w:sz="6" w:space="0"/>
              <w:left w:val="single" w:color="auto" w:sz="4" w:space="0"/>
              <w:bottom w:val="single" w:color="auto" w:sz="6" w:space="0"/>
              <w:right w:val="single" w:color="auto" w:sz="6" w:space="0"/>
            </w:tcBorders>
            <w:vAlign w:val="center"/>
          </w:tcPr>
          <w:p w14:paraId="44DC0219">
            <w:pPr>
              <w:autoSpaceDE w:val="0"/>
              <w:autoSpaceDN w:val="0"/>
              <w:spacing w:line="360" w:lineRule="auto"/>
              <w:jc w:val="center"/>
              <w:rPr>
                <w:rFonts w:ascii="仿宋" w:hAnsi="仿宋" w:eastAsia="仿宋" w:cs="仿宋"/>
                <w:color w:val="auto"/>
                <w:sz w:val="24"/>
                <w:highlight w:val="none"/>
              </w:rPr>
            </w:pPr>
          </w:p>
        </w:tc>
        <w:tc>
          <w:tcPr>
            <w:tcW w:w="4310" w:type="dxa"/>
            <w:vMerge w:val="continue"/>
            <w:tcBorders>
              <w:top w:val="single" w:color="auto" w:sz="6" w:space="0"/>
              <w:left w:val="single" w:color="auto" w:sz="6" w:space="0"/>
              <w:bottom w:val="single" w:color="auto" w:sz="6" w:space="0"/>
              <w:right w:val="single" w:color="auto" w:sz="6" w:space="0"/>
            </w:tcBorders>
            <w:vAlign w:val="center"/>
          </w:tcPr>
          <w:p w14:paraId="47495684">
            <w:pPr>
              <w:widowControl/>
              <w:jc w:val="left"/>
              <w:rPr>
                <w:rFonts w:ascii="仿宋" w:hAnsi="仿宋" w:eastAsia="仿宋" w:cs="仿宋"/>
                <w:color w:val="auto"/>
                <w:sz w:val="24"/>
                <w:highlight w:val="none"/>
              </w:rPr>
            </w:pPr>
          </w:p>
        </w:tc>
      </w:tr>
      <w:tr w14:paraId="6DDBE8B4">
        <w:tblPrEx>
          <w:tblCellMar>
            <w:top w:w="0" w:type="dxa"/>
            <w:left w:w="108" w:type="dxa"/>
            <w:bottom w:w="0" w:type="dxa"/>
            <w:right w:w="108" w:type="dxa"/>
          </w:tblCellMar>
        </w:tblPrEx>
        <w:trPr>
          <w:cantSplit/>
          <w:trHeight w:val="520" w:hRule="atLeast"/>
        </w:trPr>
        <w:tc>
          <w:tcPr>
            <w:tcW w:w="2142" w:type="dxa"/>
            <w:tcBorders>
              <w:top w:val="single" w:color="auto" w:sz="6" w:space="0"/>
              <w:left w:val="single" w:color="auto" w:sz="6" w:space="0"/>
              <w:bottom w:val="single" w:color="auto" w:sz="6" w:space="0"/>
              <w:right w:val="single" w:color="auto" w:sz="6" w:space="0"/>
            </w:tcBorders>
            <w:vAlign w:val="center"/>
          </w:tcPr>
          <w:p w14:paraId="17E6BEED">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所学专业</w:t>
            </w:r>
          </w:p>
        </w:tc>
        <w:tc>
          <w:tcPr>
            <w:tcW w:w="1337" w:type="dxa"/>
            <w:tcBorders>
              <w:top w:val="single" w:color="auto" w:sz="6" w:space="0"/>
              <w:left w:val="single" w:color="auto" w:sz="6" w:space="0"/>
              <w:bottom w:val="single" w:color="auto" w:sz="6" w:space="0"/>
              <w:right w:val="single" w:color="auto" w:sz="4" w:space="0"/>
            </w:tcBorders>
            <w:vAlign w:val="center"/>
          </w:tcPr>
          <w:p w14:paraId="0A3743F2">
            <w:pPr>
              <w:autoSpaceDE w:val="0"/>
              <w:autoSpaceDN w:val="0"/>
              <w:spacing w:line="360" w:lineRule="auto"/>
              <w:jc w:val="center"/>
              <w:rPr>
                <w:rFonts w:ascii="仿宋" w:hAnsi="仿宋" w:eastAsia="仿宋" w:cs="仿宋"/>
                <w:color w:val="auto"/>
                <w:sz w:val="24"/>
                <w:highlight w:val="none"/>
              </w:rPr>
            </w:pPr>
          </w:p>
        </w:tc>
        <w:tc>
          <w:tcPr>
            <w:tcW w:w="1309" w:type="dxa"/>
            <w:tcBorders>
              <w:top w:val="single" w:color="auto" w:sz="6" w:space="0"/>
              <w:left w:val="single" w:color="auto" w:sz="4" w:space="0"/>
              <w:bottom w:val="single" w:color="auto" w:sz="6" w:space="0"/>
              <w:right w:val="single" w:color="auto" w:sz="6" w:space="0"/>
            </w:tcBorders>
            <w:vAlign w:val="center"/>
          </w:tcPr>
          <w:p w14:paraId="05365716">
            <w:pPr>
              <w:autoSpaceDE w:val="0"/>
              <w:autoSpaceDN w:val="0"/>
              <w:spacing w:line="360" w:lineRule="auto"/>
              <w:jc w:val="center"/>
              <w:rPr>
                <w:rFonts w:ascii="仿宋" w:hAnsi="仿宋" w:eastAsia="仿宋" w:cs="仿宋"/>
                <w:color w:val="auto"/>
                <w:sz w:val="24"/>
                <w:highlight w:val="none"/>
              </w:rPr>
            </w:pPr>
          </w:p>
        </w:tc>
        <w:tc>
          <w:tcPr>
            <w:tcW w:w="4310" w:type="dxa"/>
            <w:vMerge w:val="continue"/>
            <w:tcBorders>
              <w:top w:val="single" w:color="auto" w:sz="6" w:space="0"/>
              <w:left w:val="single" w:color="auto" w:sz="6" w:space="0"/>
              <w:bottom w:val="single" w:color="auto" w:sz="6" w:space="0"/>
              <w:right w:val="single" w:color="auto" w:sz="6" w:space="0"/>
            </w:tcBorders>
            <w:vAlign w:val="center"/>
          </w:tcPr>
          <w:p w14:paraId="10B79500">
            <w:pPr>
              <w:widowControl/>
              <w:jc w:val="left"/>
              <w:rPr>
                <w:rFonts w:ascii="仿宋" w:hAnsi="仿宋" w:eastAsia="仿宋" w:cs="仿宋"/>
                <w:color w:val="auto"/>
                <w:sz w:val="24"/>
                <w:highlight w:val="none"/>
              </w:rPr>
            </w:pPr>
          </w:p>
        </w:tc>
      </w:tr>
      <w:tr w14:paraId="42AFD2B0">
        <w:tblPrEx>
          <w:tblCellMar>
            <w:top w:w="0" w:type="dxa"/>
            <w:left w:w="108" w:type="dxa"/>
            <w:bottom w:w="0" w:type="dxa"/>
            <w:right w:w="108" w:type="dxa"/>
          </w:tblCellMar>
        </w:tblPrEx>
        <w:trPr>
          <w:cantSplit/>
          <w:trHeight w:val="520" w:hRule="atLeast"/>
        </w:trPr>
        <w:tc>
          <w:tcPr>
            <w:tcW w:w="2142" w:type="dxa"/>
            <w:tcBorders>
              <w:top w:val="single" w:color="auto" w:sz="6" w:space="0"/>
              <w:left w:val="single" w:color="auto" w:sz="6" w:space="0"/>
              <w:bottom w:val="single" w:color="auto" w:sz="6" w:space="0"/>
              <w:right w:val="single" w:color="auto" w:sz="6" w:space="0"/>
            </w:tcBorders>
            <w:vAlign w:val="center"/>
          </w:tcPr>
          <w:p w14:paraId="287B3B13">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337" w:type="dxa"/>
            <w:tcBorders>
              <w:top w:val="single" w:color="auto" w:sz="6" w:space="0"/>
              <w:left w:val="single" w:color="auto" w:sz="6" w:space="0"/>
              <w:bottom w:val="single" w:color="auto" w:sz="6" w:space="0"/>
              <w:right w:val="single" w:color="auto" w:sz="4" w:space="0"/>
            </w:tcBorders>
            <w:vAlign w:val="center"/>
          </w:tcPr>
          <w:p w14:paraId="1A962125">
            <w:pPr>
              <w:autoSpaceDE w:val="0"/>
              <w:autoSpaceDN w:val="0"/>
              <w:spacing w:line="360" w:lineRule="auto"/>
              <w:jc w:val="center"/>
              <w:rPr>
                <w:rFonts w:ascii="仿宋" w:hAnsi="仿宋" w:eastAsia="仿宋" w:cs="仿宋"/>
                <w:color w:val="auto"/>
                <w:sz w:val="24"/>
                <w:highlight w:val="none"/>
              </w:rPr>
            </w:pPr>
          </w:p>
        </w:tc>
        <w:tc>
          <w:tcPr>
            <w:tcW w:w="1309" w:type="dxa"/>
            <w:tcBorders>
              <w:top w:val="single" w:color="auto" w:sz="6" w:space="0"/>
              <w:left w:val="single" w:color="auto" w:sz="4" w:space="0"/>
              <w:bottom w:val="single" w:color="auto" w:sz="6" w:space="0"/>
              <w:right w:val="single" w:color="auto" w:sz="6" w:space="0"/>
            </w:tcBorders>
            <w:vAlign w:val="center"/>
          </w:tcPr>
          <w:p w14:paraId="0C8248BC">
            <w:pPr>
              <w:autoSpaceDE w:val="0"/>
              <w:autoSpaceDN w:val="0"/>
              <w:spacing w:line="360" w:lineRule="auto"/>
              <w:jc w:val="center"/>
              <w:rPr>
                <w:rFonts w:ascii="仿宋" w:hAnsi="仿宋" w:eastAsia="仿宋" w:cs="仿宋"/>
                <w:color w:val="auto"/>
                <w:sz w:val="24"/>
                <w:highlight w:val="none"/>
              </w:rPr>
            </w:pPr>
          </w:p>
        </w:tc>
        <w:tc>
          <w:tcPr>
            <w:tcW w:w="4310" w:type="dxa"/>
            <w:vMerge w:val="continue"/>
            <w:tcBorders>
              <w:top w:val="single" w:color="auto" w:sz="6" w:space="0"/>
              <w:left w:val="single" w:color="auto" w:sz="6" w:space="0"/>
              <w:bottom w:val="single" w:color="auto" w:sz="6" w:space="0"/>
              <w:right w:val="single" w:color="auto" w:sz="6" w:space="0"/>
            </w:tcBorders>
            <w:vAlign w:val="center"/>
          </w:tcPr>
          <w:p w14:paraId="7D2D01ED">
            <w:pPr>
              <w:widowControl/>
              <w:jc w:val="left"/>
              <w:rPr>
                <w:rFonts w:ascii="仿宋" w:hAnsi="仿宋" w:eastAsia="仿宋" w:cs="仿宋"/>
                <w:color w:val="auto"/>
                <w:sz w:val="24"/>
                <w:highlight w:val="none"/>
              </w:rPr>
            </w:pPr>
          </w:p>
        </w:tc>
      </w:tr>
      <w:tr w14:paraId="29A1F251">
        <w:tblPrEx>
          <w:tblCellMar>
            <w:top w:w="0" w:type="dxa"/>
            <w:left w:w="108" w:type="dxa"/>
            <w:bottom w:w="0" w:type="dxa"/>
            <w:right w:w="108" w:type="dxa"/>
          </w:tblCellMar>
        </w:tblPrEx>
        <w:trPr>
          <w:cantSplit/>
          <w:trHeight w:val="520" w:hRule="atLeast"/>
        </w:trPr>
        <w:tc>
          <w:tcPr>
            <w:tcW w:w="2142" w:type="dxa"/>
            <w:tcBorders>
              <w:top w:val="single" w:color="auto" w:sz="6" w:space="0"/>
              <w:left w:val="single" w:color="auto" w:sz="6" w:space="0"/>
              <w:bottom w:val="single" w:color="auto" w:sz="6" w:space="0"/>
              <w:right w:val="single" w:color="auto" w:sz="6" w:space="0"/>
            </w:tcBorders>
            <w:vAlign w:val="center"/>
          </w:tcPr>
          <w:p w14:paraId="6E3291DC">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资质证书编号</w:t>
            </w:r>
          </w:p>
        </w:tc>
        <w:tc>
          <w:tcPr>
            <w:tcW w:w="1337" w:type="dxa"/>
            <w:tcBorders>
              <w:top w:val="single" w:color="auto" w:sz="6" w:space="0"/>
              <w:left w:val="single" w:color="auto" w:sz="6" w:space="0"/>
              <w:bottom w:val="single" w:color="auto" w:sz="6" w:space="0"/>
              <w:right w:val="single" w:color="auto" w:sz="4" w:space="0"/>
            </w:tcBorders>
            <w:vAlign w:val="center"/>
          </w:tcPr>
          <w:p w14:paraId="2512A2A7">
            <w:pPr>
              <w:autoSpaceDE w:val="0"/>
              <w:autoSpaceDN w:val="0"/>
              <w:spacing w:line="360" w:lineRule="auto"/>
              <w:jc w:val="center"/>
              <w:rPr>
                <w:rFonts w:ascii="仿宋" w:hAnsi="仿宋" w:eastAsia="仿宋" w:cs="仿宋"/>
                <w:color w:val="auto"/>
                <w:sz w:val="24"/>
                <w:highlight w:val="none"/>
              </w:rPr>
            </w:pPr>
          </w:p>
        </w:tc>
        <w:tc>
          <w:tcPr>
            <w:tcW w:w="1309" w:type="dxa"/>
            <w:tcBorders>
              <w:top w:val="single" w:color="auto" w:sz="6" w:space="0"/>
              <w:left w:val="single" w:color="auto" w:sz="4" w:space="0"/>
              <w:bottom w:val="single" w:color="auto" w:sz="6" w:space="0"/>
              <w:right w:val="single" w:color="auto" w:sz="6" w:space="0"/>
            </w:tcBorders>
            <w:vAlign w:val="center"/>
          </w:tcPr>
          <w:p w14:paraId="56F6B2B7">
            <w:pPr>
              <w:autoSpaceDE w:val="0"/>
              <w:autoSpaceDN w:val="0"/>
              <w:spacing w:line="360" w:lineRule="auto"/>
              <w:jc w:val="center"/>
              <w:rPr>
                <w:rFonts w:ascii="仿宋" w:hAnsi="仿宋" w:eastAsia="仿宋" w:cs="仿宋"/>
                <w:color w:val="auto"/>
                <w:sz w:val="24"/>
                <w:highlight w:val="none"/>
              </w:rPr>
            </w:pPr>
          </w:p>
        </w:tc>
        <w:tc>
          <w:tcPr>
            <w:tcW w:w="4310" w:type="dxa"/>
            <w:vMerge w:val="continue"/>
            <w:tcBorders>
              <w:top w:val="single" w:color="auto" w:sz="6" w:space="0"/>
              <w:left w:val="single" w:color="auto" w:sz="6" w:space="0"/>
              <w:bottom w:val="single" w:color="auto" w:sz="6" w:space="0"/>
              <w:right w:val="single" w:color="auto" w:sz="6" w:space="0"/>
            </w:tcBorders>
            <w:vAlign w:val="center"/>
          </w:tcPr>
          <w:p w14:paraId="5132EC59">
            <w:pPr>
              <w:widowControl/>
              <w:jc w:val="left"/>
              <w:rPr>
                <w:rFonts w:ascii="仿宋" w:hAnsi="仿宋" w:eastAsia="仿宋" w:cs="仿宋"/>
                <w:color w:val="auto"/>
                <w:sz w:val="24"/>
                <w:highlight w:val="none"/>
              </w:rPr>
            </w:pPr>
          </w:p>
        </w:tc>
      </w:tr>
      <w:tr w14:paraId="346317E2">
        <w:tblPrEx>
          <w:tblCellMar>
            <w:top w:w="0" w:type="dxa"/>
            <w:left w:w="108" w:type="dxa"/>
            <w:bottom w:w="0" w:type="dxa"/>
            <w:right w:w="108" w:type="dxa"/>
          </w:tblCellMar>
        </w:tblPrEx>
        <w:trPr>
          <w:cantSplit/>
          <w:trHeight w:val="520" w:hRule="atLeast"/>
        </w:trPr>
        <w:tc>
          <w:tcPr>
            <w:tcW w:w="2142" w:type="dxa"/>
            <w:tcBorders>
              <w:top w:val="single" w:color="auto" w:sz="6" w:space="0"/>
              <w:left w:val="single" w:color="auto" w:sz="6" w:space="0"/>
              <w:bottom w:val="single" w:color="auto" w:sz="6" w:space="0"/>
              <w:right w:val="single" w:color="auto" w:sz="6" w:space="0"/>
            </w:tcBorders>
            <w:vAlign w:val="center"/>
          </w:tcPr>
          <w:p w14:paraId="44D9DB0D">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其他资质情况</w:t>
            </w:r>
          </w:p>
        </w:tc>
        <w:tc>
          <w:tcPr>
            <w:tcW w:w="1337" w:type="dxa"/>
            <w:tcBorders>
              <w:top w:val="single" w:color="auto" w:sz="6" w:space="0"/>
              <w:left w:val="single" w:color="auto" w:sz="6" w:space="0"/>
              <w:bottom w:val="single" w:color="auto" w:sz="6" w:space="0"/>
              <w:right w:val="single" w:color="auto" w:sz="4" w:space="0"/>
            </w:tcBorders>
            <w:vAlign w:val="center"/>
          </w:tcPr>
          <w:p w14:paraId="74B56274">
            <w:pPr>
              <w:autoSpaceDE w:val="0"/>
              <w:autoSpaceDN w:val="0"/>
              <w:spacing w:line="360" w:lineRule="auto"/>
              <w:jc w:val="center"/>
              <w:rPr>
                <w:rFonts w:ascii="仿宋" w:hAnsi="仿宋" w:eastAsia="仿宋" w:cs="仿宋"/>
                <w:color w:val="auto"/>
                <w:sz w:val="24"/>
                <w:highlight w:val="none"/>
              </w:rPr>
            </w:pPr>
          </w:p>
        </w:tc>
        <w:tc>
          <w:tcPr>
            <w:tcW w:w="1309" w:type="dxa"/>
            <w:tcBorders>
              <w:top w:val="single" w:color="auto" w:sz="6" w:space="0"/>
              <w:left w:val="single" w:color="auto" w:sz="4" w:space="0"/>
              <w:bottom w:val="single" w:color="auto" w:sz="6" w:space="0"/>
              <w:right w:val="single" w:color="auto" w:sz="6" w:space="0"/>
            </w:tcBorders>
            <w:vAlign w:val="center"/>
          </w:tcPr>
          <w:p w14:paraId="6D8EE915">
            <w:pPr>
              <w:autoSpaceDE w:val="0"/>
              <w:autoSpaceDN w:val="0"/>
              <w:spacing w:line="360" w:lineRule="auto"/>
              <w:jc w:val="center"/>
              <w:rPr>
                <w:rFonts w:ascii="仿宋" w:hAnsi="仿宋" w:eastAsia="仿宋" w:cs="仿宋"/>
                <w:color w:val="auto"/>
                <w:sz w:val="24"/>
                <w:highlight w:val="none"/>
              </w:rPr>
            </w:pPr>
          </w:p>
        </w:tc>
        <w:tc>
          <w:tcPr>
            <w:tcW w:w="4310" w:type="dxa"/>
            <w:vMerge w:val="continue"/>
            <w:tcBorders>
              <w:top w:val="single" w:color="auto" w:sz="6" w:space="0"/>
              <w:left w:val="single" w:color="auto" w:sz="6" w:space="0"/>
              <w:bottom w:val="single" w:color="auto" w:sz="6" w:space="0"/>
              <w:right w:val="single" w:color="auto" w:sz="6" w:space="0"/>
            </w:tcBorders>
            <w:vAlign w:val="center"/>
          </w:tcPr>
          <w:p w14:paraId="1E90CF08">
            <w:pPr>
              <w:widowControl/>
              <w:jc w:val="left"/>
              <w:rPr>
                <w:rFonts w:ascii="仿宋" w:hAnsi="仿宋" w:eastAsia="仿宋" w:cs="仿宋"/>
                <w:color w:val="auto"/>
                <w:sz w:val="24"/>
                <w:highlight w:val="none"/>
              </w:rPr>
            </w:pPr>
          </w:p>
        </w:tc>
      </w:tr>
      <w:tr w14:paraId="1E5D329B">
        <w:tblPrEx>
          <w:tblCellMar>
            <w:top w:w="0" w:type="dxa"/>
            <w:left w:w="108" w:type="dxa"/>
            <w:bottom w:w="0" w:type="dxa"/>
            <w:right w:w="108" w:type="dxa"/>
          </w:tblCellMar>
        </w:tblPrEx>
        <w:trPr>
          <w:cantSplit/>
          <w:trHeight w:val="536" w:hRule="atLeast"/>
        </w:trPr>
        <w:tc>
          <w:tcPr>
            <w:tcW w:w="2142" w:type="dxa"/>
            <w:tcBorders>
              <w:top w:val="single" w:color="auto" w:sz="6" w:space="0"/>
              <w:left w:val="single" w:color="auto" w:sz="6" w:space="0"/>
              <w:bottom w:val="single" w:color="auto" w:sz="6" w:space="0"/>
              <w:right w:val="single" w:color="auto" w:sz="6" w:space="0"/>
            </w:tcBorders>
            <w:vAlign w:val="center"/>
          </w:tcPr>
          <w:p w14:paraId="589818DC">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联系电话</w:t>
            </w:r>
          </w:p>
        </w:tc>
        <w:tc>
          <w:tcPr>
            <w:tcW w:w="1337" w:type="dxa"/>
            <w:tcBorders>
              <w:top w:val="single" w:color="auto" w:sz="6" w:space="0"/>
              <w:left w:val="single" w:color="auto" w:sz="6" w:space="0"/>
              <w:bottom w:val="single" w:color="auto" w:sz="6" w:space="0"/>
              <w:right w:val="single" w:color="auto" w:sz="4" w:space="0"/>
            </w:tcBorders>
            <w:vAlign w:val="center"/>
          </w:tcPr>
          <w:p w14:paraId="5DFE8F01">
            <w:pPr>
              <w:autoSpaceDE w:val="0"/>
              <w:autoSpaceDN w:val="0"/>
              <w:spacing w:line="360" w:lineRule="auto"/>
              <w:jc w:val="center"/>
              <w:rPr>
                <w:rFonts w:ascii="仿宋" w:hAnsi="仿宋" w:eastAsia="仿宋" w:cs="仿宋"/>
                <w:color w:val="auto"/>
                <w:sz w:val="24"/>
                <w:highlight w:val="none"/>
              </w:rPr>
            </w:pPr>
          </w:p>
        </w:tc>
        <w:tc>
          <w:tcPr>
            <w:tcW w:w="1309" w:type="dxa"/>
            <w:tcBorders>
              <w:top w:val="single" w:color="auto" w:sz="6" w:space="0"/>
              <w:left w:val="single" w:color="auto" w:sz="4" w:space="0"/>
              <w:bottom w:val="single" w:color="auto" w:sz="6" w:space="0"/>
              <w:right w:val="single" w:color="auto" w:sz="6" w:space="0"/>
            </w:tcBorders>
            <w:shd w:val="clear" w:color="auto" w:fill="B3B3B3"/>
            <w:vAlign w:val="center"/>
          </w:tcPr>
          <w:p w14:paraId="09C10676">
            <w:pPr>
              <w:autoSpaceDE w:val="0"/>
              <w:autoSpaceDN w:val="0"/>
              <w:spacing w:line="360" w:lineRule="auto"/>
              <w:jc w:val="center"/>
              <w:rPr>
                <w:rFonts w:ascii="仿宋" w:hAnsi="仿宋" w:eastAsia="仿宋" w:cs="仿宋"/>
                <w:color w:val="auto"/>
                <w:sz w:val="24"/>
                <w:highlight w:val="none"/>
              </w:rPr>
            </w:pPr>
          </w:p>
        </w:tc>
        <w:tc>
          <w:tcPr>
            <w:tcW w:w="4310" w:type="dxa"/>
            <w:vMerge w:val="continue"/>
            <w:tcBorders>
              <w:top w:val="single" w:color="auto" w:sz="6" w:space="0"/>
              <w:left w:val="single" w:color="auto" w:sz="6" w:space="0"/>
              <w:bottom w:val="single" w:color="auto" w:sz="6" w:space="0"/>
              <w:right w:val="single" w:color="auto" w:sz="6" w:space="0"/>
            </w:tcBorders>
            <w:vAlign w:val="center"/>
          </w:tcPr>
          <w:p w14:paraId="4D21A253">
            <w:pPr>
              <w:widowControl/>
              <w:jc w:val="left"/>
              <w:rPr>
                <w:rFonts w:ascii="仿宋" w:hAnsi="仿宋" w:eastAsia="仿宋" w:cs="仿宋"/>
                <w:color w:val="auto"/>
                <w:sz w:val="24"/>
                <w:highlight w:val="none"/>
              </w:rPr>
            </w:pPr>
          </w:p>
        </w:tc>
      </w:tr>
    </w:tbl>
    <w:p w14:paraId="786B1FB9">
      <w:pPr>
        <w:autoSpaceDE w:val="0"/>
        <w:autoSpaceDN w:val="0"/>
        <w:spacing w:line="360" w:lineRule="auto"/>
        <w:rPr>
          <w:rFonts w:ascii="仿宋" w:hAnsi="仿宋" w:eastAsia="仿宋" w:cs="仿宋"/>
          <w:b/>
          <w:color w:val="auto"/>
          <w:sz w:val="24"/>
          <w:highlight w:val="none"/>
        </w:rPr>
      </w:pPr>
    </w:p>
    <w:p w14:paraId="40ACFDFC">
      <w:pPr>
        <w:autoSpaceDE w:val="0"/>
        <w:autoSpaceDN w:val="0"/>
        <w:spacing w:line="360" w:lineRule="auto"/>
        <w:rPr>
          <w:rFonts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4798771A">
      <w:pPr>
        <w:autoSpaceDE w:val="0"/>
        <w:autoSpaceDN w:val="0"/>
        <w:spacing w:line="360" w:lineRule="auto"/>
        <w:rPr>
          <w:rFonts w:ascii="仿宋" w:hAnsi="仿宋" w:eastAsia="仿宋" w:cs="仿宋"/>
          <w:b/>
          <w:color w:val="auto"/>
          <w:sz w:val="24"/>
          <w:highlight w:val="none"/>
        </w:rPr>
      </w:pPr>
      <w:r>
        <w:rPr>
          <w:rFonts w:hint="eastAsia" w:ascii="仿宋" w:hAnsi="仿宋" w:eastAsia="仿宋" w:cs="仿宋"/>
          <w:b/>
          <w:color w:val="auto"/>
          <w:sz w:val="24"/>
          <w:highlight w:val="none"/>
        </w:rPr>
        <w:t>附表B</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本项目的项目小组人员情况表</w:t>
      </w:r>
      <w:r>
        <w:rPr>
          <w:rFonts w:hint="eastAsia" w:ascii="仿宋" w:hAnsi="仿宋" w:eastAsia="仿宋" w:cs="仿宋"/>
          <w:color w:val="auto"/>
          <w:sz w:val="24"/>
          <w:highlight w:val="none"/>
        </w:rPr>
        <w:t>（按此格式自制）</w:t>
      </w:r>
    </w:p>
    <w:tbl>
      <w:tblPr>
        <w:tblStyle w:val="35"/>
        <w:tblW w:w="0" w:type="auto"/>
        <w:tblInd w:w="108" w:type="dxa"/>
        <w:tblLayout w:type="fixed"/>
        <w:tblCellMar>
          <w:top w:w="0" w:type="dxa"/>
          <w:left w:w="108" w:type="dxa"/>
          <w:bottom w:w="0" w:type="dxa"/>
          <w:right w:w="108" w:type="dxa"/>
        </w:tblCellMar>
      </w:tblPr>
      <w:tblGrid>
        <w:gridCol w:w="446"/>
        <w:gridCol w:w="836"/>
        <w:gridCol w:w="438"/>
        <w:gridCol w:w="622"/>
        <w:gridCol w:w="1100"/>
        <w:gridCol w:w="1148"/>
        <w:gridCol w:w="1148"/>
        <w:gridCol w:w="1339"/>
        <w:gridCol w:w="956"/>
        <w:gridCol w:w="1562"/>
      </w:tblGrid>
      <w:tr w14:paraId="313E63E3">
        <w:tblPrEx>
          <w:tblCellMar>
            <w:top w:w="0" w:type="dxa"/>
            <w:left w:w="108" w:type="dxa"/>
            <w:bottom w:w="0" w:type="dxa"/>
            <w:right w:w="108" w:type="dxa"/>
          </w:tblCellMar>
        </w:tblPrEx>
        <w:trPr>
          <w:trHeight w:val="951" w:hRule="atLeast"/>
        </w:trPr>
        <w:tc>
          <w:tcPr>
            <w:tcW w:w="446" w:type="dxa"/>
            <w:tcBorders>
              <w:top w:val="single" w:color="auto" w:sz="6" w:space="0"/>
              <w:left w:val="single" w:color="auto" w:sz="6" w:space="0"/>
              <w:bottom w:val="single" w:color="auto" w:sz="6" w:space="0"/>
              <w:right w:val="single" w:color="auto" w:sz="6" w:space="0"/>
            </w:tcBorders>
            <w:vAlign w:val="center"/>
          </w:tcPr>
          <w:p w14:paraId="3F1DF005">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6" w:type="dxa"/>
            <w:tcBorders>
              <w:top w:val="single" w:color="auto" w:sz="6" w:space="0"/>
              <w:left w:val="single" w:color="auto" w:sz="6" w:space="0"/>
              <w:bottom w:val="single" w:color="auto" w:sz="6" w:space="0"/>
              <w:right w:val="single" w:color="auto" w:sz="6" w:space="0"/>
            </w:tcBorders>
            <w:vAlign w:val="center"/>
          </w:tcPr>
          <w:p w14:paraId="7A8DC5E8">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38" w:type="dxa"/>
            <w:tcBorders>
              <w:top w:val="single" w:color="auto" w:sz="6" w:space="0"/>
              <w:left w:val="single" w:color="auto" w:sz="6" w:space="0"/>
              <w:bottom w:val="single" w:color="auto" w:sz="6" w:space="0"/>
              <w:right w:val="single" w:color="auto" w:sz="6" w:space="0"/>
            </w:tcBorders>
            <w:vAlign w:val="center"/>
          </w:tcPr>
          <w:p w14:paraId="2BEE4A2C">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622" w:type="dxa"/>
            <w:tcBorders>
              <w:top w:val="single" w:color="auto" w:sz="6" w:space="0"/>
              <w:left w:val="single" w:color="auto" w:sz="6" w:space="0"/>
              <w:bottom w:val="single" w:color="auto" w:sz="6" w:space="0"/>
              <w:right w:val="single" w:color="auto" w:sz="6" w:space="0"/>
            </w:tcBorders>
            <w:vAlign w:val="center"/>
          </w:tcPr>
          <w:p w14:paraId="6FA03B3F">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100" w:type="dxa"/>
            <w:tcBorders>
              <w:top w:val="single" w:color="auto" w:sz="6" w:space="0"/>
              <w:left w:val="single" w:color="auto" w:sz="6" w:space="0"/>
              <w:bottom w:val="single" w:color="auto" w:sz="6" w:space="0"/>
              <w:right w:val="single" w:color="auto" w:sz="6" w:space="0"/>
            </w:tcBorders>
            <w:vAlign w:val="center"/>
          </w:tcPr>
          <w:p w14:paraId="710DC1BE">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学历</w:t>
            </w:r>
          </w:p>
          <w:p w14:paraId="37CE788E">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r>
              <w:rPr>
                <w:rFonts w:hint="eastAsia" w:ascii="仿宋" w:hAnsi="仿宋" w:eastAsia="仿宋" w:cs="仿宋"/>
                <w:color w:val="auto"/>
                <w:sz w:val="24"/>
                <w:highlight w:val="none"/>
                <w:lang w:eastAsia="zh-CN"/>
              </w:rPr>
              <w:t>）</w:t>
            </w:r>
          </w:p>
        </w:tc>
        <w:tc>
          <w:tcPr>
            <w:tcW w:w="1148" w:type="dxa"/>
            <w:tcBorders>
              <w:top w:val="single" w:color="auto" w:sz="6" w:space="0"/>
              <w:left w:val="single" w:color="auto" w:sz="6" w:space="0"/>
              <w:bottom w:val="single" w:color="auto" w:sz="6" w:space="0"/>
              <w:right w:val="single" w:color="auto" w:sz="6" w:space="0"/>
            </w:tcBorders>
            <w:vAlign w:val="center"/>
          </w:tcPr>
          <w:p w14:paraId="06F3B409">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专业</w:t>
            </w:r>
          </w:p>
          <w:p w14:paraId="4E4E6595">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r>
              <w:rPr>
                <w:rFonts w:hint="eastAsia" w:ascii="仿宋" w:hAnsi="仿宋" w:eastAsia="仿宋" w:cs="仿宋"/>
                <w:color w:val="auto"/>
                <w:sz w:val="24"/>
                <w:highlight w:val="none"/>
                <w:lang w:eastAsia="zh-CN"/>
              </w:rPr>
              <w:t>）</w:t>
            </w:r>
          </w:p>
        </w:tc>
        <w:tc>
          <w:tcPr>
            <w:tcW w:w="1148" w:type="dxa"/>
            <w:tcBorders>
              <w:top w:val="single" w:color="auto" w:sz="6" w:space="0"/>
              <w:left w:val="single" w:color="auto" w:sz="6" w:space="0"/>
              <w:bottom w:val="single" w:color="auto" w:sz="6" w:space="0"/>
              <w:right w:val="single" w:color="auto" w:sz="6" w:space="0"/>
            </w:tcBorders>
            <w:vAlign w:val="center"/>
          </w:tcPr>
          <w:p w14:paraId="309BD454">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职称</w:t>
            </w:r>
          </w:p>
          <w:p w14:paraId="652D7421">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r>
              <w:rPr>
                <w:rFonts w:hint="eastAsia" w:ascii="仿宋" w:hAnsi="仿宋" w:eastAsia="仿宋" w:cs="仿宋"/>
                <w:color w:val="auto"/>
                <w:sz w:val="24"/>
                <w:highlight w:val="none"/>
                <w:lang w:eastAsia="zh-CN"/>
              </w:rPr>
              <w:t>）</w:t>
            </w:r>
          </w:p>
        </w:tc>
        <w:tc>
          <w:tcPr>
            <w:tcW w:w="1339" w:type="dxa"/>
            <w:tcBorders>
              <w:top w:val="single" w:color="auto" w:sz="6" w:space="0"/>
              <w:left w:val="single" w:color="auto" w:sz="6" w:space="0"/>
              <w:bottom w:val="single" w:color="auto" w:sz="6" w:space="0"/>
              <w:right w:val="single" w:color="auto" w:sz="6" w:space="0"/>
            </w:tcBorders>
            <w:vAlign w:val="center"/>
          </w:tcPr>
          <w:p w14:paraId="1BCCF91F">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56" w:type="dxa"/>
            <w:tcBorders>
              <w:top w:val="single" w:color="auto" w:sz="6" w:space="0"/>
              <w:left w:val="single" w:color="auto" w:sz="6" w:space="0"/>
              <w:bottom w:val="single" w:color="auto" w:sz="6" w:space="0"/>
              <w:right w:val="single" w:color="auto" w:sz="6" w:space="0"/>
            </w:tcBorders>
            <w:vAlign w:val="center"/>
          </w:tcPr>
          <w:p w14:paraId="217DD9A7">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项目经历</w:t>
            </w:r>
          </w:p>
        </w:tc>
        <w:tc>
          <w:tcPr>
            <w:tcW w:w="1562" w:type="dxa"/>
            <w:tcBorders>
              <w:top w:val="single" w:color="auto" w:sz="6" w:space="0"/>
              <w:left w:val="single" w:color="auto" w:sz="6" w:space="0"/>
              <w:bottom w:val="single" w:color="auto" w:sz="6" w:space="0"/>
              <w:right w:val="single" w:color="auto" w:sz="6" w:space="0"/>
            </w:tcBorders>
            <w:vAlign w:val="center"/>
          </w:tcPr>
          <w:p w14:paraId="7413A8C4">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参与本项目的到位情况</w:t>
            </w:r>
          </w:p>
        </w:tc>
      </w:tr>
      <w:tr w14:paraId="5EC1BA49">
        <w:tblPrEx>
          <w:tblCellMar>
            <w:top w:w="0" w:type="dxa"/>
            <w:left w:w="108" w:type="dxa"/>
            <w:bottom w:w="0" w:type="dxa"/>
            <w:right w:w="108" w:type="dxa"/>
          </w:tblCellMar>
        </w:tblPrEx>
        <w:trPr>
          <w:trHeight w:val="482" w:hRule="atLeast"/>
        </w:trPr>
        <w:tc>
          <w:tcPr>
            <w:tcW w:w="446" w:type="dxa"/>
            <w:tcBorders>
              <w:top w:val="single" w:color="auto" w:sz="6" w:space="0"/>
              <w:left w:val="single" w:color="auto" w:sz="6" w:space="0"/>
              <w:bottom w:val="single" w:color="auto" w:sz="6" w:space="0"/>
              <w:right w:val="single" w:color="auto" w:sz="6" w:space="0"/>
            </w:tcBorders>
          </w:tcPr>
          <w:p w14:paraId="418AB888">
            <w:pPr>
              <w:autoSpaceDE w:val="0"/>
              <w:autoSpaceDN w:val="0"/>
              <w:spacing w:line="360" w:lineRule="auto"/>
              <w:jc w:val="center"/>
              <w:rPr>
                <w:rFonts w:ascii="仿宋" w:hAnsi="仿宋" w:eastAsia="仿宋" w:cs="仿宋"/>
                <w:color w:val="auto"/>
                <w:sz w:val="24"/>
                <w:highlight w:val="none"/>
              </w:rPr>
            </w:pPr>
          </w:p>
        </w:tc>
        <w:tc>
          <w:tcPr>
            <w:tcW w:w="836" w:type="dxa"/>
            <w:tcBorders>
              <w:top w:val="single" w:color="auto" w:sz="6" w:space="0"/>
              <w:left w:val="single" w:color="auto" w:sz="6" w:space="0"/>
              <w:bottom w:val="single" w:color="auto" w:sz="6" w:space="0"/>
              <w:right w:val="single" w:color="auto" w:sz="6" w:space="0"/>
            </w:tcBorders>
          </w:tcPr>
          <w:p w14:paraId="01D614AC">
            <w:pPr>
              <w:autoSpaceDE w:val="0"/>
              <w:autoSpaceDN w:val="0"/>
              <w:spacing w:line="360" w:lineRule="auto"/>
              <w:rPr>
                <w:rFonts w:ascii="仿宋" w:hAnsi="仿宋" w:eastAsia="仿宋" w:cs="仿宋"/>
                <w:color w:val="auto"/>
                <w:sz w:val="24"/>
                <w:highlight w:val="none"/>
              </w:rPr>
            </w:pPr>
          </w:p>
        </w:tc>
        <w:tc>
          <w:tcPr>
            <w:tcW w:w="438" w:type="dxa"/>
            <w:tcBorders>
              <w:top w:val="single" w:color="auto" w:sz="6" w:space="0"/>
              <w:left w:val="single" w:color="auto" w:sz="6" w:space="0"/>
              <w:bottom w:val="single" w:color="auto" w:sz="6" w:space="0"/>
              <w:right w:val="single" w:color="auto" w:sz="6" w:space="0"/>
            </w:tcBorders>
          </w:tcPr>
          <w:p w14:paraId="0CE3C71B">
            <w:pPr>
              <w:autoSpaceDE w:val="0"/>
              <w:autoSpaceDN w:val="0"/>
              <w:spacing w:line="360" w:lineRule="auto"/>
              <w:rPr>
                <w:rFonts w:ascii="仿宋" w:hAnsi="仿宋" w:eastAsia="仿宋" w:cs="仿宋"/>
                <w:color w:val="auto"/>
                <w:sz w:val="24"/>
                <w:highlight w:val="none"/>
              </w:rPr>
            </w:pPr>
          </w:p>
        </w:tc>
        <w:tc>
          <w:tcPr>
            <w:tcW w:w="622" w:type="dxa"/>
            <w:tcBorders>
              <w:top w:val="single" w:color="auto" w:sz="6" w:space="0"/>
              <w:left w:val="single" w:color="auto" w:sz="6" w:space="0"/>
              <w:bottom w:val="single" w:color="auto" w:sz="6" w:space="0"/>
              <w:right w:val="single" w:color="auto" w:sz="6" w:space="0"/>
            </w:tcBorders>
          </w:tcPr>
          <w:p w14:paraId="195A0844">
            <w:pPr>
              <w:autoSpaceDE w:val="0"/>
              <w:autoSpaceDN w:val="0"/>
              <w:spacing w:line="360" w:lineRule="auto"/>
              <w:rPr>
                <w:rFonts w:ascii="仿宋" w:hAnsi="仿宋" w:eastAsia="仿宋" w:cs="仿宋"/>
                <w:color w:val="auto"/>
                <w:sz w:val="24"/>
                <w:highlight w:val="none"/>
              </w:rPr>
            </w:pPr>
          </w:p>
        </w:tc>
        <w:tc>
          <w:tcPr>
            <w:tcW w:w="1100" w:type="dxa"/>
            <w:tcBorders>
              <w:top w:val="single" w:color="auto" w:sz="6" w:space="0"/>
              <w:left w:val="single" w:color="auto" w:sz="6" w:space="0"/>
              <w:bottom w:val="single" w:color="auto" w:sz="6" w:space="0"/>
              <w:right w:val="single" w:color="auto" w:sz="6" w:space="0"/>
            </w:tcBorders>
          </w:tcPr>
          <w:p w14:paraId="2DFBDEAE">
            <w:pPr>
              <w:autoSpaceDE w:val="0"/>
              <w:autoSpaceDN w:val="0"/>
              <w:spacing w:line="360" w:lineRule="auto"/>
              <w:rPr>
                <w:rFonts w:ascii="仿宋" w:hAnsi="仿宋" w:eastAsia="仿宋" w:cs="仿宋"/>
                <w:color w:val="auto"/>
                <w:sz w:val="24"/>
                <w:highlight w:val="none"/>
              </w:rPr>
            </w:pPr>
          </w:p>
        </w:tc>
        <w:tc>
          <w:tcPr>
            <w:tcW w:w="1148" w:type="dxa"/>
            <w:tcBorders>
              <w:top w:val="single" w:color="auto" w:sz="6" w:space="0"/>
              <w:left w:val="single" w:color="auto" w:sz="6" w:space="0"/>
              <w:bottom w:val="single" w:color="auto" w:sz="6" w:space="0"/>
              <w:right w:val="single" w:color="auto" w:sz="6" w:space="0"/>
            </w:tcBorders>
          </w:tcPr>
          <w:p w14:paraId="329A7677">
            <w:pPr>
              <w:autoSpaceDE w:val="0"/>
              <w:autoSpaceDN w:val="0"/>
              <w:spacing w:line="360" w:lineRule="auto"/>
              <w:rPr>
                <w:rFonts w:ascii="仿宋" w:hAnsi="仿宋" w:eastAsia="仿宋" w:cs="仿宋"/>
                <w:color w:val="auto"/>
                <w:sz w:val="24"/>
                <w:highlight w:val="none"/>
              </w:rPr>
            </w:pPr>
          </w:p>
        </w:tc>
        <w:tc>
          <w:tcPr>
            <w:tcW w:w="1148" w:type="dxa"/>
            <w:tcBorders>
              <w:top w:val="single" w:color="auto" w:sz="6" w:space="0"/>
              <w:left w:val="single" w:color="auto" w:sz="6" w:space="0"/>
              <w:bottom w:val="single" w:color="auto" w:sz="6" w:space="0"/>
              <w:right w:val="single" w:color="auto" w:sz="6" w:space="0"/>
            </w:tcBorders>
          </w:tcPr>
          <w:p w14:paraId="6ABF8CBB">
            <w:pPr>
              <w:autoSpaceDE w:val="0"/>
              <w:autoSpaceDN w:val="0"/>
              <w:spacing w:line="360" w:lineRule="auto"/>
              <w:rPr>
                <w:rFonts w:ascii="仿宋" w:hAnsi="仿宋" w:eastAsia="仿宋" w:cs="仿宋"/>
                <w:color w:val="auto"/>
                <w:sz w:val="24"/>
                <w:highlight w:val="none"/>
              </w:rPr>
            </w:pPr>
          </w:p>
        </w:tc>
        <w:tc>
          <w:tcPr>
            <w:tcW w:w="1339" w:type="dxa"/>
            <w:tcBorders>
              <w:top w:val="single" w:color="auto" w:sz="6" w:space="0"/>
              <w:left w:val="single" w:color="auto" w:sz="6" w:space="0"/>
              <w:bottom w:val="single" w:color="auto" w:sz="6" w:space="0"/>
              <w:right w:val="single" w:color="auto" w:sz="6" w:space="0"/>
            </w:tcBorders>
          </w:tcPr>
          <w:p w14:paraId="5186CDCB">
            <w:pPr>
              <w:autoSpaceDE w:val="0"/>
              <w:autoSpaceDN w:val="0"/>
              <w:spacing w:line="360" w:lineRule="auto"/>
              <w:rPr>
                <w:rFonts w:ascii="仿宋" w:hAnsi="仿宋" w:eastAsia="仿宋" w:cs="仿宋"/>
                <w:color w:val="auto"/>
                <w:sz w:val="24"/>
                <w:highlight w:val="none"/>
              </w:rPr>
            </w:pPr>
          </w:p>
        </w:tc>
        <w:tc>
          <w:tcPr>
            <w:tcW w:w="956" w:type="dxa"/>
            <w:tcBorders>
              <w:top w:val="single" w:color="auto" w:sz="6" w:space="0"/>
              <w:left w:val="single" w:color="auto" w:sz="6" w:space="0"/>
              <w:bottom w:val="single" w:color="auto" w:sz="6" w:space="0"/>
              <w:right w:val="single" w:color="auto" w:sz="6" w:space="0"/>
            </w:tcBorders>
          </w:tcPr>
          <w:p w14:paraId="3B91BD76">
            <w:pPr>
              <w:autoSpaceDE w:val="0"/>
              <w:autoSpaceDN w:val="0"/>
              <w:spacing w:line="360" w:lineRule="auto"/>
              <w:rPr>
                <w:rFonts w:ascii="仿宋" w:hAnsi="仿宋" w:eastAsia="仿宋" w:cs="仿宋"/>
                <w:color w:val="auto"/>
                <w:sz w:val="24"/>
                <w:highlight w:val="none"/>
              </w:rPr>
            </w:pPr>
          </w:p>
        </w:tc>
        <w:tc>
          <w:tcPr>
            <w:tcW w:w="1562" w:type="dxa"/>
            <w:tcBorders>
              <w:top w:val="single" w:color="auto" w:sz="6" w:space="0"/>
              <w:left w:val="single" w:color="auto" w:sz="6" w:space="0"/>
              <w:bottom w:val="single" w:color="auto" w:sz="6" w:space="0"/>
              <w:right w:val="single" w:color="auto" w:sz="6" w:space="0"/>
            </w:tcBorders>
          </w:tcPr>
          <w:p w14:paraId="611E341A">
            <w:pPr>
              <w:autoSpaceDE w:val="0"/>
              <w:autoSpaceDN w:val="0"/>
              <w:spacing w:line="360" w:lineRule="auto"/>
              <w:rPr>
                <w:rFonts w:ascii="仿宋" w:hAnsi="仿宋" w:eastAsia="仿宋" w:cs="仿宋"/>
                <w:color w:val="auto"/>
                <w:sz w:val="24"/>
                <w:highlight w:val="none"/>
              </w:rPr>
            </w:pPr>
          </w:p>
        </w:tc>
      </w:tr>
      <w:tr w14:paraId="69020C9C">
        <w:tblPrEx>
          <w:tblCellMar>
            <w:top w:w="0" w:type="dxa"/>
            <w:left w:w="108" w:type="dxa"/>
            <w:bottom w:w="0" w:type="dxa"/>
            <w:right w:w="108" w:type="dxa"/>
          </w:tblCellMar>
        </w:tblPrEx>
        <w:trPr>
          <w:trHeight w:val="496" w:hRule="atLeast"/>
        </w:trPr>
        <w:tc>
          <w:tcPr>
            <w:tcW w:w="446" w:type="dxa"/>
            <w:tcBorders>
              <w:top w:val="single" w:color="auto" w:sz="6" w:space="0"/>
              <w:left w:val="single" w:color="auto" w:sz="6" w:space="0"/>
              <w:bottom w:val="single" w:color="auto" w:sz="6" w:space="0"/>
              <w:right w:val="single" w:color="auto" w:sz="6" w:space="0"/>
            </w:tcBorders>
          </w:tcPr>
          <w:p w14:paraId="4914717D">
            <w:pPr>
              <w:autoSpaceDE w:val="0"/>
              <w:autoSpaceDN w:val="0"/>
              <w:spacing w:line="360" w:lineRule="auto"/>
              <w:jc w:val="center"/>
              <w:rPr>
                <w:rFonts w:ascii="仿宋" w:hAnsi="仿宋" w:eastAsia="仿宋" w:cs="仿宋"/>
                <w:color w:val="auto"/>
                <w:sz w:val="24"/>
                <w:highlight w:val="none"/>
              </w:rPr>
            </w:pPr>
          </w:p>
        </w:tc>
        <w:tc>
          <w:tcPr>
            <w:tcW w:w="836" w:type="dxa"/>
            <w:tcBorders>
              <w:top w:val="single" w:color="auto" w:sz="6" w:space="0"/>
              <w:left w:val="single" w:color="auto" w:sz="6" w:space="0"/>
              <w:bottom w:val="single" w:color="auto" w:sz="6" w:space="0"/>
              <w:right w:val="single" w:color="auto" w:sz="6" w:space="0"/>
            </w:tcBorders>
          </w:tcPr>
          <w:p w14:paraId="3052A2A0">
            <w:pPr>
              <w:autoSpaceDE w:val="0"/>
              <w:autoSpaceDN w:val="0"/>
              <w:spacing w:line="360" w:lineRule="auto"/>
              <w:rPr>
                <w:rFonts w:ascii="仿宋" w:hAnsi="仿宋" w:eastAsia="仿宋" w:cs="仿宋"/>
                <w:color w:val="auto"/>
                <w:sz w:val="24"/>
                <w:highlight w:val="none"/>
              </w:rPr>
            </w:pPr>
          </w:p>
        </w:tc>
        <w:tc>
          <w:tcPr>
            <w:tcW w:w="438" w:type="dxa"/>
            <w:tcBorders>
              <w:top w:val="single" w:color="auto" w:sz="6" w:space="0"/>
              <w:left w:val="single" w:color="auto" w:sz="6" w:space="0"/>
              <w:bottom w:val="single" w:color="auto" w:sz="6" w:space="0"/>
              <w:right w:val="single" w:color="auto" w:sz="6" w:space="0"/>
            </w:tcBorders>
          </w:tcPr>
          <w:p w14:paraId="6D35A246">
            <w:pPr>
              <w:autoSpaceDE w:val="0"/>
              <w:autoSpaceDN w:val="0"/>
              <w:spacing w:line="360" w:lineRule="auto"/>
              <w:rPr>
                <w:rFonts w:ascii="仿宋" w:hAnsi="仿宋" w:eastAsia="仿宋" w:cs="仿宋"/>
                <w:color w:val="auto"/>
                <w:sz w:val="24"/>
                <w:highlight w:val="none"/>
              </w:rPr>
            </w:pPr>
          </w:p>
        </w:tc>
        <w:tc>
          <w:tcPr>
            <w:tcW w:w="622" w:type="dxa"/>
            <w:tcBorders>
              <w:top w:val="single" w:color="auto" w:sz="6" w:space="0"/>
              <w:left w:val="single" w:color="auto" w:sz="6" w:space="0"/>
              <w:bottom w:val="single" w:color="auto" w:sz="6" w:space="0"/>
              <w:right w:val="single" w:color="auto" w:sz="6" w:space="0"/>
            </w:tcBorders>
          </w:tcPr>
          <w:p w14:paraId="3D9F4294">
            <w:pPr>
              <w:autoSpaceDE w:val="0"/>
              <w:autoSpaceDN w:val="0"/>
              <w:spacing w:line="360" w:lineRule="auto"/>
              <w:rPr>
                <w:rFonts w:ascii="仿宋" w:hAnsi="仿宋" w:eastAsia="仿宋" w:cs="仿宋"/>
                <w:color w:val="auto"/>
                <w:sz w:val="24"/>
                <w:highlight w:val="none"/>
              </w:rPr>
            </w:pPr>
          </w:p>
        </w:tc>
        <w:tc>
          <w:tcPr>
            <w:tcW w:w="1100" w:type="dxa"/>
            <w:tcBorders>
              <w:top w:val="single" w:color="auto" w:sz="6" w:space="0"/>
              <w:left w:val="single" w:color="auto" w:sz="6" w:space="0"/>
              <w:bottom w:val="single" w:color="auto" w:sz="6" w:space="0"/>
              <w:right w:val="single" w:color="auto" w:sz="6" w:space="0"/>
            </w:tcBorders>
          </w:tcPr>
          <w:p w14:paraId="21C9F804">
            <w:pPr>
              <w:autoSpaceDE w:val="0"/>
              <w:autoSpaceDN w:val="0"/>
              <w:spacing w:line="360" w:lineRule="auto"/>
              <w:rPr>
                <w:rFonts w:ascii="仿宋" w:hAnsi="仿宋" w:eastAsia="仿宋" w:cs="仿宋"/>
                <w:color w:val="auto"/>
                <w:sz w:val="24"/>
                <w:highlight w:val="none"/>
              </w:rPr>
            </w:pPr>
          </w:p>
        </w:tc>
        <w:tc>
          <w:tcPr>
            <w:tcW w:w="1148" w:type="dxa"/>
            <w:tcBorders>
              <w:top w:val="single" w:color="auto" w:sz="6" w:space="0"/>
              <w:left w:val="single" w:color="auto" w:sz="6" w:space="0"/>
              <w:bottom w:val="single" w:color="auto" w:sz="6" w:space="0"/>
              <w:right w:val="single" w:color="auto" w:sz="6" w:space="0"/>
            </w:tcBorders>
          </w:tcPr>
          <w:p w14:paraId="5C3C7988">
            <w:pPr>
              <w:autoSpaceDE w:val="0"/>
              <w:autoSpaceDN w:val="0"/>
              <w:spacing w:line="360" w:lineRule="auto"/>
              <w:rPr>
                <w:rFonts w:ascii="仿宋" w:hAnsi="仿宋" w:eastAsia="仿宋" w:cs="仿宋"/>
                <w:color w:val="auto"/>
                <w:sz w:val="24"/>
                <w:highlight w:val="none"/>
              </w:rPr>
            </w:pPr>
          </w:p>
        </w:tc>
        <w:tc>
          <w:tcPr>
            <w:tcW w:w="1148" w:type="dxa"/>
            <w:tcBorders>
              <w:top w:val="single" w:color="auto" w:sz="6" w:space="0"/>
              <w:left w:val="single" w:color="auto" w:sz="6" w:space="0"/>
              <w:bottom w:val="single" w:color="auto" w:sz="6" w:space="0"/>
              <w:right w:val="single" w:color="auto" w:sz="6" w:space="0"/>
            </w:tcBorders>
          </w:tcPr>
          <w:p w14:paraId="170F4C92">
            <w:pPr>
              <w:autoSpaceDE w:val="0"/>
              <w:autoSpaceDN w:val="0"/>
              <w:spacing w:line="360" w:lineRule="auto"/>
              <w:rPr>
                <w:rFonts w:ascii="仿宋" w:hAnsi="仿宋" w:eastAsia="仿宋" w:cs="仿宋"/>
                <w:color w:val="auto"/>
                <w:sz w:val="24"/>
                <w:highlight w:val="none"/>
              </w:rPr>
            </w:pPr>
          </w:p>
        </w:tc>
        <w:tc>
          <w:tcPr>
            <w:tcW w:w="1339" w:type="dxa"/>
            <w:tcBorders>
              <w:top w:val="single" w:color="auto" w:sz="6" w:space="0"/>
              <w:left w:val="single" w:color="auto" w:sz="6" w:space="0"/>
              <w:bottom w:val="single" w:color="auto" w:sz="6" w:space="0"/>
              <w:right w:val="single" w:color="auto" w:sz="6" w:space="0"/>
            </w:tcBorders>
          </w:tcPr>
          <w:p w14:paraId="40F941AC">
            <w:pPr>
              <w:autoSpaceDE w:val="0"/>
              <w:autoSpaceDN w:val="0"/>
              <w:spacing w:line="360" w:lineRule="auto"/>
              <w:rPr>
                <w:rFonts w:ascii="仿宋" w:hAnsi="仿宋" w:eastAsia="仿宋" w:cs="仿宋"/>
                <w:color w:val="auto"/>
                <w:sz w:val="24"/>
                <w:highlight w:val="none"/>
              </w:rPr>
            </w:pPr>
          </w:p>
        </w:tc>
        <w:tc>
          <w:tcPr>
            <w:tcW w:w="956" w:type="dxa"/>
            <w:tcBorders>
              <w:top w:val="single" w:color="auto" w:sz="6" w:space="0"/>
              <w:left w:val="single" w:color="auto" w:sz="6" w:space="0"/>
              <w:bottom w:val="single" w:color="auto" w:sz="6" w:space="0"/>
              <w:right w:val="single" w:color="auto" w:sz="6" w:space="0"/>
            </w:tcBorders>
          </w:tcPr>
          <w:p w14:paraId="35594C03">
            <w:pPr>
              <w:autoSpaceDE w:val="0"/>
              <w:autoSpaceDN w:val="0"/>
              <w:spacing w:line="360" w:lineRule="auto"/>
              <w:rPr>
                <w:rFonts w:ascii="仿宋" w:hAnsi="仿宋" w:eastAsia="仿宋" w:cs="仿宋"/>
                <w:color w:val="auto"/>
                <w:sz w:val="24"/>
                <w:highlight w:val="none"/>
              </w:rPr>
            </w:pPr>
          </w:p>
        </w:tc>
        <w:tc>
          <w:tcPr>
            <w:tcW w:w="1562" w:type="dxa"/>
            <w:tcBorders>
              <w:top w:val="single" w:color="auto" w:sz="6" w:space="0"/>
              <w:left w:val="single" w:color="auto" w:sz="6" w:space="0"/>
              <w:bottom w:val="single" w:color="auto" w:sz="6" w:space="0"/>
              <w:right w:val="single" w:color="auto" w:sz="6" w:space="0"/>
            </w:tcBorders>
          </w:tcPr>
          <w:p w14:paraId="3DC5D17A">
            <w:pPr>
              <w:autoSpaceDE w:val="0"/>
              <w:autoSpaceDN w:val="0"/>
              <w:spacing w:line="360" w:lineRule="auto"/>
              <w:rPr>
                <w:rFonts w:ascii="仿宋" w:hAnsi="仿宋" w:eastAsia="仿宋" w:cs="仿宋"/>
                <w:color w:val="auto"/>
                <w:sz w:val="24"/>
                <w:highlight w:val="none"/>
              </w:rPr>
            </w:pPr>
          </w:p>
        </w:tc>
      </w:tr>
    </w:tbl>
    <w:p w14:paraId="0EAAADF7">
      <w:pPr>
        <w:spacing w:line="360" w:lineRule="auto"/>
        <w:rPr>
          <w:rFonts w:ascii="仿宋" w:hAnsi="仿宋" w:eastAsia="仿宋" w:cs="仿宋"/>
          <w:b/>
          <w:bCs/>
          <w:color w:val="auto"/>
          <w:sz w:val="24"/>
          <w:highlight w:val="none"/>
        </w:rPr>
      </w:pPr>
      <w:r>
        <w:rPr>
          <w:rFonts w:hint="eastAsia" w:ascii="仿宋" w:hAnsi="仿宋" w:eastAsia="仿宋" w:cs="仿宋"/>
          <w:b/>
          <w:color w:val="auto"/>
          <w:sz w:val="24"/>
          <w:highlight w:val="none"/>
        </w:rPr>
        <w:t>注：投标人可按上述的格式自行编制，须随表提交相应的证书复印件并注明所在投标技术文件页码。</w:t>
      </w:r>
    </w:p>
    <w:p w14:paraId="44E0A8C8">
      <w:pPr>
        <w:spacing w:line="360" w:lineRule="auto"/>
        <w:rPr>
          <w:rFonts w:ascii="仿宋" w:hAnsi="仿宋" w:eastAsia="仿宋" w:cs="仿宋"/>
          <w:b/>
          <w:bCs/>
          <w:color w:val="auto"/>
          <w:sz w:val="24"/>
          <w:highlight w:val="none"/>
        </w:rPr>
      </w:pPr>
    </w:p>
    <w:p w14:paraId="79B7E881">
      <w:pPr>
        <w:snapToGrid w:val="0"/>
        <w:spacing w:line="360" w:lineRule="auto"/>
        <w:ind w:firstLine="4320" w:firstLineChars="18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投标人名称（电子签章）：</w:t>
      </w:r>
    </w:p>
    <w:p w14:paraId="1F5F93A0">
      <w:pPr>
        <w:autoSpaceDE w:val="0"/>
        <w:autoSpaceDN w:val="0"/>
        <w:spacing w:line="360"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  年  月   日</w:t>
      </w:r>
    </w:p>
    <w:p w14:paraId="30AF3738">
      <w:pPr>
        <w:snapToGrid w:val="0"/>
        <w:spacing w:before="165" w:beforeLines="50" w:after="50"/>
        <w:jc w:val="left"/>
        <w:rPr>
          <w:rFonts w:ascii="宋体" w:hAnsi="宋体"/>
          <w:b/>
          <w:color w:val="auto"/>
          <w:sz w:val="24"/>
          <w:highlight w:val="none"/>
        </w:rPr>
      </w:pPr>
    </w:p>
    <w:p w14:paraId="4CE62DDE">
      <w:pPr>
        <w:snapToGrid w:val="0"/>
        <w:spacing w:before="165" w:beforeLines="50" w:after="50"/>
        <w:jc w:val="left"/>
        <w:rPr>
          <w:rFonts w:ascii="宋体" w:hAnsi="宋体"/>
          <w:b/>
          <w:color w:val="auto"/>
          <w:sz w:val="24"/>
          <w:highlight w:val="none"/>
        </w:rPr>
      </w:pPr>
    </w:p>
    <w:p w14:paraId="357A8546">
      <w:pPr>
        <w:snapToGrid w:val="0"/>
        <w:spacing w:before="165" w:beforeLines="50" w:after="50"/>
        <w:jc w:val="left"/>
        <w:rPr>
          <w:rFonts w:ascii="宋体" w:hAnsi="宋体"/>
          <w:b/>
          <w:color w:val="auto"/>
          <w:sz w:val="24"/>
          <w:highlight w:val="none"/>
        </w:rPr>
      </w:pPr>
    </w:p>
    <w:p w14:paraId="3857B049">
      <w:pPr>
        <w:snapToGrid w:val="0"/>
        <w:spacing w:before="165" w:beforeLines="50" w:after="50"/>
        <w:jc w:val="center"/>
        <w:rPr>
          <w:b/>
          <w:bCs/>
          <w:color w:val="auto"/>
          <w:sz w:val="30"/>
          <w:szCs w:val="30"/>
          <w:highlight w:val="none"/>
        </w:rPr>
      </w:pPr>
      <w:r>
        <w:rPr>
          <w:rFonts w:hint="eastAsia"/>
          <w:b/>
          <w:bCs/>
          <w:color w:val="auto"/>
          <w:sz w:val="30"/>
          <w:szCs w:val="30"/>
          <w:highlight w:val="none"/>
        </w:rPr>
        <w:t>六、售后服务方案</w:t>
      </w:r>
    </w:p>
    <w:p w14:paraId="1712C2E7">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45CBDE5A">
      <w:pPr>
        <w:snapToGrid w:val="0"/>
        <w:spacing w:before="165" w:beforeLines="50" w:after="50"/>
        <w:ind w:left="142"/>
        <w:jc w:val="center"/>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lang w:eastAsia="zh-CN"/>
        </w:rPr>
        <w:t>1.</w:t>
      </w:r>
      <w:r>
        <w:rPr>
          <w:rFonts w:hint="eastAsia" w:ascii="仿宋" w:hAnsi="仿宋" w:eastAsia="仿宋" w:cs="仿宋"/>
          <w:b/>
          <w:color w:val="auto"/>
          <w:sz w:val="32"/>
          <w:szCs w:val="32"/>
          <w:highlight w:val="none"/>
        </w:rPr>
        <w:t>售后服务承诺</w:t>
      </w:r>
    </w:p>
    <w:p w14:paraId="391DF2A5">
      <w:pPr>
        <w:autoSpaceDE w:val="0"/>
        <w:autoSpaceDN w:val="0"/>
        <w:spacing w:line="360" w:lineRule="auto"/>
        <w:rPr>
          <w:rFonts w:ascii="仿宋" w:hAnsi="仿宋" w:eastAsia="仿宋" w:cs="仿宋"/>
          <w:b/>
          <w:color w:val="auto"/>
          <w:sz w:val="24"/>
          <w:highlight w:val="none"/>
        </w:rPr>
      </w:pPr>
      <w:r>
        <w:rPr>
          <w:rFonts w:hint="eastAsia" w:ascii="仿宋" w:hAnsi="仿宋" w:eastAsia="仿宋" w:cs="仿宋"/>
          <w:b/>
          <w:color w:val="auto"/>
          <w:sz w:val="24"/>
          <w:highlight w:val="none"/>
        </w:rPr>
        <w:t>附表A</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售后服务机构情况表</w:t>
      </w:r>
      <w:r>
        <w:rPr>
          <w:rFonts w:hint="eastAsia" w:ascii="仿宋" w:hAnsi="仿宋" w:eastAsia="仿宋" w:cs="仿宋"/>
          <w:color w:val="auto"/>
          <w:sz w:val="24"/>
          <w:highlight w:val="none"/>
        </w:rPr>
        <w:t>（按此格式自制）</w:t>
      </w:r>
    </w:p>
    <w:tbl>
      <w:tblPr>
        <w:tblStyle w:val="35"/>
        <w:tblW w:w="975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2611"/>
        <w:gridCol w:w="1221"/>
        <w:gridCol w:w="1388"/>
        <w:gridCol w:w="2208"/>
        <w:gridCol w:w="1406"/>
      </w:tblGrid>
      <w:tr w14:paraId="4BBF0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924" w:type="dxa"/>
            <w:tcBorders>
              <w:top w:val="single" w:color="auto" w:sz="4" w:space="0"/>
              <w:left w:val="single" w:color="auto" w:sz="4" w:space="0"/>
              <w:bottom w:val="single" w:color="auto" w:sz="4" w:space="0"/>
              <w:right w:val="single" w:color="auto" w:sz="4" w:space="0"/>
            </w:tcBorders>
          </w:tcPr>
          <w:p w14:paraId="4CF27683">
            <w:pPr>
              <w:autoSpaceDE w:val="0"/>
              <w:autoSpaceDN w:val="0"/>
              <w:spacing w:line="360" w:lineRule="auto"/>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2611" w:type="dxa"/>
            <w:tcBorders>
              <w:top w:val="single" w:color="auto" w:sz="4" w:space="0"/>
              <w:left w:val="single" w:color="auto" w:sz="4" w:space="0"/>
              <w:bottom w:val="single" w:color="auto" w:sz="4" w:space="0"/>
              <w:right w:val="single" w:color="auto" w:sz="4" w:space="0"/>
            </w:tcBorders>
          </w:tcPr>
          <w:p w14:paraId="0CB95FE0">
            <w:pPr>
              <w:autoSpaceDE w:val="0"/>
              <w:autoSpaceDN w:val="0"/>
              <w:spacing w:line="360" w:lineRule="auto"/>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机构名称</w:t>
            </w:r>
          </w:p>
        </w:tc>
        <w:tc>
          <w:tcPr>
            <w:tcW w:w="1221" w:type="dxa"/>
            <w:tcBorders>
              <w:top w:val="single" w:color="auto" w:sz="4" w:space="0"/>
              <w:left w:val="single" w:color="auto" w:sz="4" w:space="0"/>
              <w:bottom w:val="single" w:color="auto" w:sz="4" w:space="0"/>
              <w:right w:val="single" w:color="auto" w:sz="4" w:space="0"/>
            </w:tcBorders>
          </w:tcPr>
          <w:p w14:paraId="3E9FD783">
            <w:pPr>
              <w:autoSpaceDE w:val="0"/>
              <w:autoSpaceDN w:val="0"/>
              <w:spacing w:line="360" w:lineRule="auto"/>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机构性质</w:t>
            </w:r>
          </w:p>
        </w:tc>
        <w:tc>
          <w:tcPr>
            <w:tcW w:w="1388" w:type="dxa"/>
            <w:tcBorders>
              <w:top w:val="single" w:color="auto" w:sz="4" w:space="0"/>
              <w:left w:val="single" w:color="auto" w:sz="4" w:space="0"/>
              <w:bottom w:val="single" w:color="auto" w:sz="4" w:space="0"/>
              <w:right w:val="single" w:color="auto" w:sz="4" w:space="0"/>
            </w:tcBorders>
          </w:tcPr>
          <w:p w14:paraId="151B8CD7">
            <w:pPr>
              <w:autoSpaceDE w:val="0"/>
              <w:autoSpaceDN w:val="0"/>
              <w:spacing w:line="360" w:lineRule="auto"/>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注册地址</w:t>
            </w:r>
          </w:p>
        </w:tc>
        <w:tc>
          <w:tcPr>
            <w:tcW w:w="2208" w:type="dxa"/>
            <w:tcBorders>
              <w:top w:val="single" w:color="auto" w:sz="4" w:space="0"/>
              <w:left w:val="single" w:color="auto" w:sz="4" w:space="0"/>
              <w:bottom w:val="single" w:color="auto" w:sz="4" w:space="0"/>
              <w:right w:val="single" w:color="auto" w:sz="4" w:space="0"/>
            </w:tcBorders>
          </w:tcPr>
          <w:p w14:paraId="5CF6DC2F">
            <w:pPr>
              <w:autoSpaceDE w:val="0"/>
              <w:autoSpaceDN w:val="0"/>
              <w:spacing w:line="360" w:lineRule="auto"/>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服务技术人员数量</w:t>
            </w:r>
          </w:p>
        </w:tc>
        <w:tc>
          <w:tcPr>
            <w:tcW w:w="1406" w:type="dxa"/>
            <w:tcBorders>
              <w:top w:val="single" w:color="auto" w:sz="4" w:space="0"/>
              <w:left w:val="single" w:color="auto" w:sz="4" w:space="0"/>
              <w:bottom w:val="single" w:color="auto" w:sz="4" w:space="0"/>
              <w:right w:val="single" w:color="auto" w:sz="4" w:space="0"/>
            </w:tcBorders>
          </w:tcPr>
          <w:p w14:paraId="0569ED3D">
            <w:pPr>
              <w:autoSpaceDE w:val="0"/>
              <w:autoSpaceDN w:val="0"/>
              <w:spacing w:line="360" w:lineRule="auto"/>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联系电话</w:t>
            </w:r>
          </w:p>
        </w:tc>
      </w:tr>
      <w:tr w14:paraId="1BA39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24" w:type="dxa"/>
            <w:tcBorders>
              <w:top w:val="single" w:color="auto" w:sz="4" w:space="0"/>
              <w:left w:val="single" w:color="auto" w:sz="4" w:space="0"/>
              <w:bottom w:val="single" w:color="auto" w:sz="4" w:space="0"/>
              <w:right w:val="single" w:color="auto" w:sz="4" w:space="0"/>
            </w:tcBorders>
          </w:tcPr>
          <w:p w14:paraId="79B4B145">
            <w:pPr>
              <w:autoSpaceDE w:val="0"/>
              <w:autoSpaceDN w:val="0"/>
              <w:spacing w:line="360" w:lineRule="auto"/>
              <w:jc w:val="center"/>
              <w:rPr>
                <w:rFonts w:ascii="仿宋" w:hAnsi="仿宋" w:eastAsia="仿宋" w:cs="仿宋"/>
                <w:color w:val="auto"/>
                <w:sz w:val="24"/>
                <w:highlight w:val="none"/>
              </w:rPr>
            </w:pPr>
          </w:p>
        </w:tc>
        <w:tc>
          <w:tcPr>
            <w:tcW w:w="2611" w:type="dxa"/>
            <w:tcBorders>
              <w:top w:val="single" w:color="auto" w:sz="4" w:space="0"/>
              <w:left w:val="single" w:color="auto" w:sz="4" w:space="0"/>
              <w:bottom w:val="single" w:color="auto" w:sz="4" w:space="0"/>
              <w:right w:val="single" w:color="auto" w:sz="4" w:space="0"/>
            </w:tcBorders>
          </w:tcPr>
          <w:p w14:paraId="24018CD1">
            <w:pPr>
              <w:autoSpaceDE w:val="0"/>
              <w:autoSpaceDN w:val="0"/>
              <w:spacing w:line="360" w:lineRule="auto"/>
              <w:jc w:val="center"/>
              <w:rPr>
                <w:rFonts w:ascii="仿宋" w:hAnsi="仿宋" w:eastAsia="仿宋" w:cs="仿宋"/>
                <w:color w:val="auto"/>
                <w:sz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6A84055D">
            <w:pPr>
              <w:autoSpaceDE w:val="0"/>
              <w:autoSpaceDN w:val="0"/>
              <w:spacing w:line="360" w:lineRule="auto"/>
              <w:jc w:val="center"/>
              <w:rPr>
                <w:rFonts w:ascii="仿宋" w:hAnsi="仿宋" w:eastAsia="仿宋" w:cs="仿宋"/>
                <w:color w:val="auto"/>
                <w:sz w:val="24"/>
                <w:highlight w:val="none"/>
              </w:rPr>
            </w:pPr>
          </w:p>
        </w:tc>
        <w:tc>
          <w:tcPr>
            <w:tcW w:w="1388" w:type="dxa"/>
            <w:tcBorders>
              <w:top w:val="single" w:color="auto" w:sz="4" w:space="0"/>
              <w:left w:val="single" w:color="auto" w:sz="4" w:space="0"/>
              <w:bottom w:val="single" w:color="auto" w:sz="4" w:space="0"/>
              <w:right w:val="single" w:color="auto" w:sz="4" w:space="0"/>
            </w:tcBorders>
          </w:tcPr>
          <w:p w14:paraId="65CEC003">
            <w:pPr>
              <w:autoSpaceDE w:val="0"/>
              <w:autoSpaceDN w:val="0"/>
              <w:spacing w:line="360" w:lineRule="auto"/>
              <w:jc w:val="center"/>
              <w:rPr>
                <w:rFonts w:ascii="仿宋" w:hAnsi="仿宋" w:eastAsia="仿宋" w:cs="仿宋"/>
                <w:color w:val="auto"/>
                <w:sz w:val="24"/>
                <w:highlight w:val="none"/>
              </w:rPr>
            </w:pPr>
          </w:p>
        </w:tc>
        <w:tc>
          <w:tcPr>
            <w:tcW w:w="2208" w:type="dxa"/>
            <w:tcBorders>
              <w:top w:val="single" w:color="auto" w:sz="4" w:space="0"/>
              <w:left w:val="single" w:color="auto" w:sz="4" w:space="0"/>
              <w:bottom w:val="single" w:color="auto" w:sz="4" w:space="0"/>
              <w:right w:val="single" w:color="auto" w:sz="4" w:space="0"/>
            </w:tcBorders>
          </w:tcPr>
          <w:p w14:paraId="47A91D43">
            <w:pPr>
              <w:autoSpaceDE w:val="0"/>
              <w:autoSpaceDN w:val="0"/>
              <w:spacing w:line="360" w:lineRule="auto"/>
              <w:jc w:val="center"/>
              <w:rPr>
                <w:rFonts w:ascii="仿宋" w:hAnsi="仿宋" w:eastAsia="仿宋" w:cs="仿宋"/>
                <w:color w:val="auto"/>
                <w:sz w:val="24"/>
                <w:highlight w:val="none"/>
              </w:rPr>
            </w:pPr>
          </w:p>
        </w:tc>
        <w:tc>
          <w:tcPr>
            <w:tcW w:w="1406" w:type="dxa"/>
            <w:tcBorders>
              <w:top w:val="single" w:color="auto" w:sz="4" w:space="0"/>
              <w:left w:val="single" w:color="auto" w:sz="4" w:space="0"/>
              <w:bottom w:val="single" w:color="auto" w:sz="4" w:space="0"/>
              <w:right w:val="single" w:color="auto" w:sz="4" w:space="0"/>
            </w:tcBorders>
          </w:tcPr>
          <w:p w14:paraId="3DD47BF1">
            <w:pPr>
              <w:autoSpaceDE w:val="0"/>
              <w:autoSpaceDN w:val="0"/>
              <w:spacing w:line="360" w:lineRule="auto"/>
              <w:jc w:val="center"/>
              <w:rPr>
                <w:rFonts w:ascii="仿宋" w:hAnsi="仿宋" w:eastAsia="仿宋" w:cs="仿宋"/>
                <w:color w:val="auto"/>
                <w:sz w:val="24"/>
                <w:highlight w:val="none"/>
              </w:rPr>
            </w:pPr>
          </w:p>
        </w:tc>
      </w:tr>
      <w:tr w14:paraId="59DDE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24" w:type="dxa"/>
            <w:tcBorders>
              <w:top w:val="single" w:color="auto" w:sz="4" w:space="0"/>
              <w:left w:val="single" w:color="auto" w:sz="4" w:space="0"/>
              <w:bottom w:val="single" w:color="auto" w:sz="4" w:space="0"/>
              <w:right w:val="single" w:color="auto" w:sz="4" w:space="0"/>
            </w:tcBorders>
          </w:tcPr>
          <w:p w14:paraId="6DBAB873">
            <w:pPr>
              <w:autoSpaceDE w:val="0"/>
              <w:autoSpaceDN w:val="0"/>
              <w:spacing w:line="360" w:lineRule="auto"/>
              <w:jc w:val="center"/>
              <w:rPr>
                <w:rFonts w:ascii="仿宋" w:hAnsi="仿宋" w:eastAsia="仿宋" w:cs="仿宋"/>
                <w:color w:val="auto"/>
                <w:sz w:val="24"/>
                <w:highlight w:val="none"/>
              </w:rPr>
            </w:pPr>
          </w:p>
        </w:tc>
        <w:tc>
          <w:tcPr>
            <w:tcW w:w="2611" w:type="dxa"/>
            <w:tcBorders>
              <w:top w:val="single" w:color="auto" w:sz="4" w:space="0"/>
              <w:left w:val="single" w:color="auto" w:sz="4" w:space="0"/>
              <w:bottom w:val="single" w:color="auto" w:sz="4" w:space="0"/>
              <w:right w:val="single" w:color="auto" w:sz="4" w:space="0"/>
            </w:tcBorders>
          </w:tcPr>
          <w:p w14:paraId="2F430572">
            <w:pPr>
              <w:autoSpaceDE w:val="0"/>
              <w:autoSpaceDN w:val="0"/>
              <w:spacing w:line="360" w:lineRule="auto"/>
              <w:jc w:val="center"/>
              <w:rPr>
                <w:rFonts w:ascii="仿宋" w:hAnsi="仿宋" w:eastAsia="仿宋" w:cs="仿宋"/>
                <w:color w:val="auto"/>
                <w:sz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3934AF05">
            <w:pPr>
              <w:autoSpaceDE w:val="0"/>
              <w:autoSpaceDN w:val="0"/>
              <w:spacing w:line="360" w:lineRule="auto"/>
              <w:jc w:val="center"/>
              <w:rPr>
                <w:rFonts w:ascii="仿宋" w:hAnsi="仿宋" w:eastAsia="仿宋" w:cs="仿宋"/>
                <w:color w:val="auto"/>
                <w:sz w:val="24"/>
                <w:highlight w:val="none"/>
              </w:rPr>
            </w:pPr>
          </w:p>
        </w:tc>
        <w:tc>
          <w:tcPr>
            <w:tcW w:w="1388" w:type="dxa"/>
            <w:tcBorders>
              <w:top w:val="single" w:color="auto" w:sz="4" w:space="0"/>
              <w:left w:val="single" w:color="auto" w:sz="4" w:space="0"/>
              <w:bottom w:val="single" w:color="auto" w:sz="4" w:space="0"/>
              <w:right w:val="single" w:color="auto" w:sz="4" w:space="0"/>
            </w:tcBorders>
          </w:tcPr>
          <w:p w14:paraId="352B2D08">
            <w:pPr>
              <w:autoSpaceDE w:val="0"/>
              <w:autoSpaceDN w:val="0"/>
              <w:spacing w:line="360" w:lineRule="auto"/>
              <w:jc w:val="center"/>
              <w:rPr>
                <w:rFonts w:ascii="仿宋" w:hAnsi="仿宋" w:eastAsia="仿宋" w:cs="仿宋"/>
                <w:color w:val="auto"/>
                <w:sz w:val="24"/>
                <w:highlight w:val="none"/>
              </w:rPr>
            </w:pPr>
          </w:p>
        </w:tc>
        <w:tc>
          <w:tcPr>
            <w:tcW w:w="2208" w:type="dxa"/>
            <w:tcBorders>
              <w:top w:val="single" w:color="auto" w:sz="4" w:space="0"/>
              <w:left w:val="single" w:color="auto" w:sz="4" w:space="0"/>
              <w:bottom w:val="single" w:color="auto" w:sz="4" w:space="0"/>
              <w:right w:val="single" w:color="auto" w:sz="4" w:space="0"/>
            </w:tcBorders>
          </w:tcPr>
          <w:p w14:paraId="546B5A0E">
            <w:pPr>
              <w:autoSpaceDE w:val="0"/>
              <w:autoSpaceDN w:val="0"/>
              <w:spacing w:line="360" w:lineRule="auto"/>
              <w:jc w:val="center"/>
              <w:rPr>
                <w:rFonts w:ascii="仿宋" w:hAnsi="仿宋" w:eastAsia="仿宋" w:cs="仿宋"/>
                <w:color w:val="auto"/>
                <w:sz w:val="24"/>
                <w:highlight w:val="none"/>
              </w:rPr>
            </w:pPr>
          </w:p>
        </w:tc>
        <w:tc>
          <w:tcPr>
            <w:tcW w:w="1406" w:type="dxa"/>
            <w:tcBorders>
              <w:top w:val="single" w:color="auto" w:sz="4" w:space="0"/>
              <w:left w:val="single" w:color="auto" w:sz="4" w:space="0"/>
              <w:bottom w:val="single" w:color="auto" w:sz="4" w:space="0"/>
              <w:right w:val="single" w:color="auto" w:sz="4" w:space="0"/>
            </w:tcBorders>
          </w:tcPr>
          <w:p w14:paraId="356AB63C">
            <w:pPr>
              <w:autoSpaceDE w:val="0"/>
              <w:autoSpaceDN w:val="0"/>
              <w:spacing w:line="360" w:lineRule="auto"/>
              <w:jc w:val="center"/>
              <w:rPr>
                <w:rFonts w:ascii="仿宋" w:hAnsi="仿宋" w:eastAsia="仿宋" w:cs="仿宋"/>
                <w:color w:val="auto"/>
                <w:sz w:val="24"/>
                <w:highlight w:val="none"/>
              </w:rPr>
            </w:pPr>
          </w:p>
        </w:tc>
      </w:tr>
      <w:tr w14:paraId="74C3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924" w:type="dxa"/>
            <w:tcBorders>
              <w:top w:val="single" w:color="auto" w:sz="4" w:space="0"/>
              <w:left w:val="single" w:color="auto" w:sz="4" w:space="0"/>
              <w:bottom w:val="single" w:color="auto" w:sz="4" w:space="0"/>
              <w:right w:val="single" w:color="auto" w:sz="4" w:space="0"/>
            </w:tcBorders>
          </w:tcPr>
          <w:p w14:paraId="31AF90B3">
            <w:pPr>
              <w:autoSpaceDE w:val="0"/>
              <w:autoSpaceDN w:val="0"/>
              <w:spacing w:line="360" w:lineRule="auto"/>
              <w:jc w:val="center"/>
              <w:rPr>
                <w:rFonts w:ascii="仿宋" w:hAnsi="仿宋" w:eastAsia="仿宋" w:cs="仿宋"/>
                <w:color w:val="auto"/>
                <w:sz w:val="24"/>
                <w:highlight w:val="none"/>
              </w:rPr>
            </w:pPr>
          </w:p>
        </w:tc>
        <w:tc>
          <w:tcPr>
            <w:tcW w:w="2611" w:type="dxa"/>
            <w:tcBorders>
              <w:top w:val="single" w:color="auto" w:sz="4" w:space="0"/>
              <w:left w:val="single" w:color="auto" w:sz="4" w:space="0"/>
              <w:bottom w:val="single" w:color="auto" w:sz="4" w:space="0"/>
              <w:right w:val="single" w:color="auto" w:sz="4" w:space="0"/>
            </w:tcBorders>
          </w:tcPr>
          <w:p w14:paraId="374EFB12">
            <w:pPr>
              <w:autoSpaceDE w:val="0"/>
              <w:autoSpaceDN w:val="0"/>
              <w:spacing w:line="360" w:lineRule="auto"/>
              <w:jc w:val="center"/>
              <w:rPr>
                <w:rFonts w:ascii="仿宋" w:hAnsi="仿宋" w:eastAsia="仿宋" w:cs="仿宋"/>
                <w:color w:val="auto"/>
                <w:sz w:val="24"/>
                <w:highlight w:val="none"/>
              </w:rPr>
            </w:pPr>
          </w:p>
        </w:tc>
        <w:tc>
          <w:tcPr>
            <w:tcW w:w="1221" w:type="dxa"/>
            <w:tcBorders>
              <w:top w:val="single" w:color="auto" w:sz="4" w:space="0"/>
              <w:left w:val="single" w:color="auto" w:sz="4" w:space="0"/>
              <w:bottom w:val="single" w:color="auto" w:sz="4" w:space="0"/>
              <w:right w:val="single" w:color="auto" w:sz="4" w:space="0"/>
            </w:tcBorders>
          </w:tcPr>
          <w:p w14:paraId="6C02A56C">
            <w:pPr>
              <w:autoSpaceDE w:val="0"/>
              <w:autoSpaceDN w:val="0"/>
              <w:spacing w:line="360" w:lineRule="auto"/>
              <w:jc w:val="center"/>
              <w:rPr>
                <w:rFonts w:ascii="仿宋" w:hAnsi="仿宋" w:eastAsia="仿宋" w:cs="仿宋"/>
                <w:color w:val="auto"/>
                <w:sz w:val="24"/>
                <w:highlight w:val="none"/>
              </w:rPr>
            </w:pPr>
          </w:p>
        </w:tc>
        <w:tc>
          <w:tcPr>
            <w:tcW w:w="1388" w:type="dxa"/>
            <w:tcBorders>
              <w:top w:val="single" w:color="auto" w:sz="4" w:space="0"/>
              <w:left w:val="single" w:color="auto" w:sz="4" w:space="0"/>
              <w:bottom w:val="single" w:color="auto" w:sz="4" w:space="0"/>
              <w:right w:val="single" w:color="auto" w:sz="4" w:space="0"/>
            </w:tcBorders>
          </w:tcPr>
          <w:p w14:paraId="3C910FCE">
            <w:pPr>
              <w:autoSpaceDE w:val="0"/>
              <w:autoSpaceDN w:val="0"/>
              <w:spacing w:line="360" w:lineRule="auto"/>
              <w:jc w:val="center"/>
              <w:rPr>
                <w:rFonts w:ascii="仿宋" w:hAnsi="仿宋" w:eastAsia="仿宋" w:cs="仿宋"/>
                <w:color w:val="auto"/>
                <w:sz w:val="24"/>
                <w:highlight w:val="none"/>
              </w:rPr>
            </w:pPr>
          </w:p>
        </w:tc>
        <w:tc>
          <w:tcPr>
            <w:tcW w:w="2208" w:type="dxa"/>
            <w:tcBorders>
              <w:top w:val="single" w:color="auto" w:sz="4" w:space="0"/>
              <w:left w:val="single" w:color="auto" w:sz="4" w:space="0"/>
              <w:bottom w:val="single" w:color="auto" w:sz="4" w:space="0"/>
              <w:right w:val="single" w:color="auto" w:sz="4" w:space="0"/>
            </w:tcBorders>
          </w:tcPr>
          <w:p w14:paraId="24181726">
            <w:pPr>
              <w:autoSpaceDE w:val="0"/>
              <w:autoSpaceDN w:val="0"/>
              <w:spacing w:line="360" w:lineRule="auto"/>
              <w:jc w:val="center"/>
              <w:rPr>
                <w:rFonts w:ascii="仿宋" w:hAnsi="仿宋" w:eastAsia="仿宋" w:cs="仿宋"/>
                <w:color w:val="auto"/>
                <w:sz w:val="24"/>
                <w:highlight w:val="none"/>
              </w:rPr>
            </w:pPr>
          </w:p>
        </w:tc>
        <w:tc>
          <w:tcPr>
            <w:tcW w:w="1406" w:type="dxa"/>
            <w:tcBorders>
              <w:top w:val="single" w:color="auto" w:sz="4" w:space="0"/>
              <w:left w:val="single" w:color="auto" w:sz="4" w:space="0"/>
              <w:bottom w:val="single" w:color="auto" w:sz="4" w:space="0"/>
              <w:right w:val="single" w:color="auto" w:sz="4" w:space="0"/>
            </w:tcBorders>
          </w:tcPr>
          <w:p w14:paraId="4B3CC0F4">
            <w:pPr>
              <w:autoSpaceDE w:val="0"/>
              <w:autoSpaceDN w:val="0"/>
              <w:spacing w:line="360" w:lineRule="auto"/>
              <w:jc w:val="center"/>
              <w:rPr>
                <w:rFonts w:ascii="仿宋" w:hAnsi="仿宋" w:eastAsia="仿宋" w:cs="仿宋"/>
                <w:color w:val="auto"/>
                <w:sz w:val="24"/>
                <w:highlight w:val="none"/>
              </w:rPr>
            </w:pPr>
          </w:p>
        </w:tc>
      </w:tr>
    </w:tbl>
    <w:p w14:paraId="00AE666D">
      <w:pPr>
        <w:autoSpaceDE w:val="0"/>
        <w:autoSpaceDN w:val="0"/>
        <w:spacing w:line="360" w:lineRule="auto"/>
        <w:rPr>
          <w:rFonts w:ascii="仿宋" w:hAnsi="仿宋" w:eastAsia="仿宋" w:cs="仿宋"/>
          <w:b/>
          <w:color w:val="auto"/>
          <w:sz w:val="24"/>
          <w:highlight w:val="none"/>
        </w:rPr>
      </w:pPr>
      <w:r>
        <w:rPr>
          <w:rFonts w:hint="eastAsia" w:ascii="仿宋" w:hAnsi="仿宋" w:eastAsia="仿宋" w:cs="仿宋"/>
          <w:b/>
          <w:color w:val="auto"/>
          <w:sz w:val="24"/>
          <w:highlight w:val="none"/>
        </w:rPr>
        <w:t>注：关于项目涉及的所有售后服务机构均在本表注明，包括投标人本单位和符合条件的第三方服务机构；</w:t>
      </w:r>
    </w:p>
    <w:p w14:paraId="3D9C0EFB">
      <w:pPr>
        <w:autoSpaceDE w:val="0"/>
        <w:autoSpaceDN w:val="0"/>
        <w:spacing w:line="360" w:lineRule="auto"/>
        <w:rPr>
          <w:rFonts w:ascii="仿宋" w:hAnsi="仿宋" w:eastAsia="仿宋" w:cs="仿宋"/>
          <w:color w:val="auto"/>
          <w:kern w:val="0"/>
          <w:sz w:val="24"/>
          <w:highlight w:val="none"/>
        </w:rPr>
      </w:pPr>
    </w:p>
    <w:p w14:paraId="26F7938B">
      <w:pPr>
        <w:autoSpaceDE w:val="0"/>
        <w:autoSpaceDN w:val="0"/>
        <w:spacing w:line="360" w:lineRule="auto"/>
        <w:rPr>
          <w:rFonts w:ascii="仿宋" w:hAnsi="仿宋" w:eastAsia="仿宋" w:cs="仿宋"/>
          <w:color w:val="auto"/>
          <w:kern w:val="0"/>
          <w:sz w:val="24"/>
          <w:highlight w:val="none"/>
        </w:rPr>
      </w:pPr>
      <w:r>
        <w:rPr>
          <w:rFonts w:hint="eastAsia" w:ascii="仿宋" w:hAnsi="仿宋" w:eastAsia="仿宋" w:cs="仿宋"/>
          <w:b/>
          <w:color w:val="auto"/>
          <w:kern w:val="0"/>
          <w:sz w:val="24"/>
          <w:highlight w:val="none"/>
        </w:rPr>
        <w:t>附表B：售后服务人员情况表</w:t>
      </w:r>
      <w:r>
        <w:rPr>
          <w:rFonts w:hint="eastAsia" w:ascii="仿宋" w:hAnsi="仿宋" w:eastAsia="仿宋" w:cs="仿宋"/>
          <w:color w:val="auto"/>
          <w:sz w:val="24"/>
          <w:highlight w:val="none"/>
        </w:rPr>
        <w:t>（按此格式自制）</w:t>
      </w:r>
    </w:p>
    <w:tbl>
      <w:tblPr>
        <w:tblStyle w:val="35"/>
        <w:tblW w:w="10002" w:type="dxa"/>
        <w:jc w:val="center"/>
        <w:tblLayout w:type="fixed"/>
        <w:tblCellMar>
          <w:top w:w="0" w:type="dxa"/>
          <w:left w:w="108" w:type="dxa"/>
          <w:bottom w:w="0" w:type="dxa"/>
          <w:right w:w="108" w:type="dxa"/>
        </w:tblCellMar>
      </w:tblPr>
      <w:tblGrid>
        <w:gridCol w:w="646"/>
        <w:gridCol w:w="746"/>
        <w:gridCol w:w="787"/>
        <w:gridCol w:w="710"/>
        <w:gridCol w:w="888"/>
        <w:gridCol w:w="947"/>
        <w:gridCol w:w="927"/>
        <w:gridCol w:w="1080"/>
        <w:gridCol w:w="1260"/>
        <w:gridCol w:w="900"/>
        <w:gridCol w:w="1111"/>
      </w:tblGrid>
      <w:tr w14:paraId="0A614F16">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02E41111">
            <w:pPr>
              <w:autoSpaceDE w:val="0"/>
              <w:autoSpaceDN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026F7D4A">
            <w:pPr>
              <w:autoSpaceDE w:val="0"/>
              <w:autoSpaceDN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0A2637A3">
            <w:pPr>
              <w:autoSpaceDE w:val="0"/>
              <w:autoSpaceDN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710" w:type="dxa"/>
            <w:tcBorders>
              <w:top w:val="single" w:color="auto" w:sz="6" w:space="0"/>
              <w:left w:val="single" w:color="auto" w:sz="6" w:space="0"/>
              <w:bottom w:val="single" w:color="auto" w:sz="6" w:space="0"/>
              <w:right w:val="single" w:color="auto" w:sz="6" w:space="0"/>
            </w:tcBorders>
            <w:vAlign w:val="center"/>
          </w:tcPr>
          <w:p w14:paraId="773111B8">
            <w:pPr>
              <w:autoSpaceDE w:val="0"/>
              <w:autoSpaceDN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888" w:type="dxa"/>
            <w:tcBorders>
              <w:top w:val="single" w:color="auto" w:sz="6" w:space="0"/>
              <w:left w:val="single" w:color="auto" w:sz="6" w:space="0"/>
              <w:bottom w:val="single" w:color="auto" w:sz="6" w:space="0"/>
              <w:right w:val="single" w:color="auto" w:sz="6" w:space="0"/>
            </w:tcBorders>
            <w:vAlign w:val="center"/>
          </w:tcPr>
          <w:p w14:paraId="3081AA30">
            <w:pPr>
              <w:autoSpaceDE w:val="0"/>
              <w:autoSpaceDN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947" w:type="dxa"/>
            <w:tcBorders>
              <w:top w:val="single" w:color="auto" w:sz="6" w:space="0"/>
              <w:left w:val="single" w:color="auto" w:sz="6" w:space="0"/>
              <w:bottom w:val="single" w:color="auto" w:sz="6" w:space="0"/>
              <w:right w:val="single" w:color="auto" w:sz="6" w:space="0"/>
            </w:tcBorders>
            <w:vAlign w:val="center"/>
          </w:tcPr>
          <w:p w14:paraId="796ABBE4">
            <w:pPr>
              <w:autoSpaceDE w:val="0"/>
              <w:autoSpaceDN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927" w:type="dxa"/>
            <w:tcBorders>
              <w:top w:val="single" w:color="auto" w:sz="6" w:space="0"/>
              <w:left w:val="single" w:color="auto" w:sz="6" w:space="0"/>
              <w:bottom w:val="single" w:color="auto" w:sz="6" w:space="0"/>
              <w:right w:val="single" w:color="auto" w:sz="6" w:space="0"/>
            </w:tcBorders>
            <w:vAlign w:val="center"/>
          </w:tcPr>
          <w:p w14:paraId="0EB70C79">
            <w:pPr>
              <w:autoSpaceDE w:val="0"/>
              <w:autoSpaceDN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F662E23">
            <w:pPr>
              <w:autoSpaceDE w:val="0"/>
              <w:autoSpaceDN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2E04C6B0">
            <w:pPr>
              <w:autoSpaceDE w:val="0"/>
              <w:autoSpaceDN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8471CD7">
            <w:pPr>
              <w:autoSpaceDE w:val="0"/>
              <w:autoSpaceDN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2B2A21D9">
            <w:pPr>
              <w:autoSpaceDE w:val="0"/>
              <w:autoSpaceDN w:val="0"/>
              <w:jc w:val="center"/>
              <w:rPr>
                <w:rFonts w:ascii="仿宋" w:hAnsi="仿宋" w:eastAsia="仿宋" w:cs="仿宋"/>
                <w:color w:val="auto"/>
                <w:sz w:val="24"/>
                <w:highlight w:val="none"/>
              </w:rPr>
            </w:pPr>
            <w:r>
              <w:rPr>
                <w:rFonts w:hint="eastAsia" w:ascii="仿宋" w:hAnsi="仿宋" w:eastAsia="仿宋" w:cs="仿宋"/>
                <w:color w:val="auto"/>
                <w:sz w:val="24"/>
                <w:highlight w:val="none"/>
              </w:rPr>
              <w:t>到达现场时间</w:t>
            </w:r>
          </w:p>
        </w:tc>
      </w:tr>
      <w:tr w14:paraId="65E4F071">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5223BCE2">
            <w:pPr>
              <w:autoSpaceDE w:val="0"/>
              <w:autoSpaceDN w:val="0"/>
              <w:spacing w:line="360" w:lineRule="auto"/>
              <w:jc w:val="center"/>
              <w:rPr>
                <w:rFonts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012054A">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0E61C3E6">
            <w:pPr>
              <w:autoSpaceDE w:val="0"/>
              <w:autoSpaceDN w:val="0"/>
              <w:spacing w:line="360" w:lineRule="auto"/>
              <w:rPr>
                <w:rFonts w:ascii="仿宋" w:hAnsi="仿宋" w:eastAsia="仿宋" w:cs="仿宋"/>
                <w:color w:val="auto"/>
                <w:sz w:val="24"/>
                <w:highlight w:val="none"/>
              </w:rPr>
            </w:pPr>
          </w:p>
        </w:tc>
        <w:tc>
          <w:tcPr>
            <w:tcW w:w="710" w:type="dxa"/>
            <w:tcBorders>
              <w:top w:val="single" w:color="auto" w:sz="6" w:space="0"/>
              <w:left w:val="single" w:color="auto" w:sz="6" w:space="0"/>
              <w:bottom w:val="single" w:color="auto" w:sz="6" w:space="0"/>
              <w:right w:val="single" w:color="auto" w:sz="6" w:space="0"/>
            </w:tcBorders>
          </w:tcPr>
          <w:p w14:paraId="57A50421">
            <w:pPr>
              <w:autoSpaceDE w:val="0"/>
              <w:autoSpaceDN w:val="0"/>
              <w:spacing w:line="360" w:lineRule="auto"/>
              <w:rPr>
                <w:rFonts w:ascii="仿宋" w:hAnsi="仿宋" w:eastAsia="仿宋" w:cs="仿宋"/>
                <w:color w:val="auto"/>
                <w:sz w:val="24"/>
                <w:highlight w:val="none"/>
              </w:rPr>
            </w:pPr>
          </w:p>
        </w:tc>
        <w:tc>
          <w:tcPr>
            <w:tcW w:w="888" w:type="dxa"/>
            <w:tcBorders>
              <w:top w:val="single" w:color="auto" w:sz="6" w:space="0"/>
              <w:left w:val="single" w:color="auto" w:sz="6" w:space="0"/>
              <w:bottom w:val="single" w:color="auto" w:sz="6" w:space="0"/>
              <w:right w:val="single" w:color="auto" w:sz="6" w:space="0"/>
            </w:tcBorders>
          </w:tcPr>
          <w:p w14:paraId="709C3AF4">
            <w:pPr>
              <w:autoSpaceDE w:val="0"/>
              <w:autoSpaceDN w:val="0"/>
              <w:spacing w:line="360" w:lineRule="auto"/>
              <w:rPr>
                <w:rFonts w:ascii="仿宋" w:hAnsi="仿宋" w:eastAsia="仿宋" w:cs="仿宋"/>
                <w:color w:val="auto"/>
                <w:sz w:val="24"/>
                <w:highlight w:val="none"/>
              </w:rPr>
            </w:pPr>
          </w:p>
        </w:tc>
        <w:tc>
          <w:tcPr>
            <w:tcW w:w="947" w:type="dxa"/>
            <w:tcBorders>
              <w:top w:val="single" w:color="auto" w:sz="6" w:space="0"/>
              <w:left w:val="single" w:color="auto" w:sz="6" w:space="0"/>
              <w:bottom w:val="single" w:color="auto" w:sz="6" w:space="0"/>
              <w:right w:val="single" w:color="auto" w:sz="6" w:space="0"/>
            </w:tcBorders>
          </w:tcPr>
          <w:p w14:paraId="348EA218">
            <w:pPr>
              <w:autoSpaceDE w:val="0"/>
              <w:autoSpaceDN w:val="0"/>
              <w:spacing w:line="360" w:lineRule="auto"/>
              <w:rPr>
                <w:rFonts w:ascii="仿宋" w:hAnsi="仿宋" w:eastAsia="仿宋" w:cs="仿宋"/>
                <w:color w:val="auto"/>
                <w:sz w:val="24"/>
                <w:highlight w:val="none"/>
              </w:rPr>
            </w:pPr>
          </w:p>
        </w:tc>
        <w:tc>
          <w:tcPr>
            <w:tcW w:w="927" w:type="dxa"/>
            <w:tcBorders>
              <w:top w:val="single" w:color="auto" w:sz="6" w:space="0"/>
              <w:left w:val="single" w:color="auto" w:sz="6" w:space="0"/>
              <w:bottom w:val="single" w:color="auto" w:sz="6" w:space="0"/>
              <w:right w:val="single" w:color="auto" w:sz="6" w:space="0"/>
            </w:tcBorders>
          </w:tcPr>
          <w:p w14:paraId="5EED4B82">
            <w:pPr>
              <w:autoSpaceDE w:val="0"/>
              <w:autoSpaceDN w:val="0"/>
              <w:spacing w:line="360" w:lineRule="auto"/>
              <w:rPr>
                <w:rFonts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0769D6E">
            <w:pPr>
              <w:autoSpaceDE w:val="0"/>
              <w:autoSpaceDN w:val="0"/>
              <w:spacing w:line="360" w:lineRule="auto"/>
              <w:rPr>
                <w:rFonts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18271AE">
            <w:pPr>
              <w:autoSpaceDE w:val="0"/>
              <w:autoSpaceDN w:val="0"/>
              <w:spacing w:line="360" w:lineRule="auto"/>
              <w:rPr>
                <w:rFonts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4500F8E">
            <w:pPr>
              <w:autoSpaceDE w:val="0"/>
              <w:autoSpaceDN w:val="0"/>
              <w:spacing w:line="360" w:lineRule="auto"/>
              <w:rPr>
                <w:rFonts w:ascii="仿宋" w:hAnsi="仿宋" w:eastAsia="仿宋" w:cs="仿宋"/>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E71916D">
            <w:pPr>
              <w:autoSpaceDE w:val="0"/>
              <w:autoSpaceDN w:val="0"/>
              <w:spacing w:line="360" w:lineRule="auto"/>
              <w:rPr>
                <w:rFonts w:ascii="仿宋" w:hAnsi="仿宋" w:eastAsia="仿宋" w:cs="仿宋"/>
                <w:color w:val="auto"/>
                <w:sz w:val="24"/>
                <w:highlight w:val="none"/>
              </w:rPr>
            </w:pPr>
          </w:p>
        </w:tc>
      </w:tr>
      <w:tr w14:paraId="4D114101">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1AE903FB">
            <w:pPr>
              <w:autoSpaceDE w:val="0"/>
              <w:autoSpaceDN w:val="0"/>
              <w:spacing w:line="360" w:lineRule="auto"/>
              <w:jc w:val="center"/>
              <w:rPr>
                <w:rFonts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84A815B">
            <w:pPr>
              <w:autoSpaceDE w:val="0"/>
              <w:autoSpaceDN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5D5183B5">
            <w:pPr>
              <w:autoSpaceDE w:val="0"/>
              <w:autoSpaceDN w:val="0"/>
              <w:spacing w:line="360" w:lineRule="auto"/>
              <w:rPr>
                <w:rFonts w:ascii="仿宋" w:hAnsi="仿宋" w:eastAsia="仿宋" w:cs="仿宋"/>
                <w:color w:val="auto"/>
                <w:sz w:val="24"/>
                <w:highlight w:val="none"/>
              </w:rPr>
            </w:pPr>
          </w:p>
        </w:tc>
        <w:tc>
          <w:tcPr>
            <w:tcW w:w="710" w:type="dxa"/>
            <w:tcBorders>
              <w:top w:val="single" w:color="auto" w:sz="6" w:space="0"/>
              <w:left w:val="single" w:color="auto" w:sz="6" w:space="0"/>
              <w:bottom w:val="single" w:color="auto" w:sz="6" w:space="0"/>
              <w:right w:val="single" w:color="auto" w:sz="6" w:space="0"/>
            </w:tcBorders>
          </w:tcPr>
          <w:p w14:paraId="1B369624">
            <w:pPr>
              <w:autoSpaceDE w:val="0"/>
              <w:autoSpaceDN w:val="0"/>
              <w:spacing w:line="360" w:lineRule="auto"/>
              <w:rPr>
                <w:rFonts w:ascii="仿宋" w:hAnsi="仿宋" w:eastAsia="仿宋" w:cs="仿宋"/>
                <w:color w:val="auto"/>
                <w:sz w:val="24"/>
                <w:highlight w:val="none"/>
              </w:rPr>
            </w:pPr>
          </w:p>
        </w:tc>
        <w:tc>
          <w:tcPr>
            <w:tcW w:w="888" w:type="dxa"/>
            <w:tcBorders>
              <w:top w:val="single" w:color="auto" w:sz="6" w:space="0"/>
              <w:left w:val="single" w:color="auto" w:sz="6" w:space="0"/>
              <w:bottom w:val="single" w:color="auto" w:sz="6" w:space="0"/>
              <w:right w:val="single" w:color="auto" w:sz="6" w:space="0"/>
            </w:tcBorders>
          </w:tcPr>
          <w:p w14:paraId="182A9F53">
            <w:pPr>
              <w:autoSpaceDE w:val="0"/>
              <w:autoSpaceDN w:val="0"/>
              <w:spacing w:line="360" w:lineRule="auto"/>
              <w:rPr>
                <w:rFonts w:ascii="仿宋" w:hAnsi="仿宋" w:eastAsia="仿宋" w:cs="仿宋"/>
                <w:color w:val="auto"/>
                <w:sz w:val="24"/>
                <w:highlight w:val="none"/>
              </w:rPr>
            </w:pPr>
          </w:p>
        </w:tc>
        <w:tc>
          <w:tcPr>
            <w:tcW w:w="947" w:type="dxa"/>
            <w:tcBorders>
              <w:top w:val="single" w:color="auto" w:sz="6" w:space="0"/>
              <w:left w:val="single" w:color="auto" w:sz="6" w:space="0"/>
              <w:bottom w:val="single" w:color="auto" w:sz="6" w:space="0"/>
              <w:right w:val="single" w:color="auto" w:sz="6" w:space="0"/>
            </w:tcBorders>
          </w:tcPr>
          <w:p w14:paraId="362EE821">
            <w:pPr>
              <w:autoSpaceDE w:val="0"/>
              <w:autoSpaceDN w:val="0"/>
              <w:spacing w:line="360" w:lineRule="auto"/>
              <w:rPr>
                <w:rFonts w:ascii="仿宋" w:hAnsi="仿宋" w:eastAsia="仿宋" w:cs="仿宋"/>
                <w:color w:val="auto"/>
                <w:sz w:val="24"/>
                <w:highlight w:val="none"/>
              </w:rPr>
            </w:pPr>
          </w:p>
        </w:tc>
        <w:tc>
          <w:tcPr>
            <w:tcW w:w="927" w:type="dxa"/>
            <w:tcBorders>
              <w:top w:val="single" w:color="auto" w:sz="6" w:space="0"/>
              <w:left w:val="single" w:color="auto" w:sz="6" w:space="0"/>
              <w:bottom w:val="single" w:color="auto" w:sz="6" w:space="0"/>
              <w:right w:val="single" w:color="auto" w:sz="6" w:space="0"/>
            </w:tcBorders>
          </w:tcPr>
          <w:p w14:paraId="408BFD93">
            <w:pPr>
              <w:autoSpaceDE w:val="0"/>
              <w:autoSpaceDN w:val="0"/>
              <w:spacing w:line="360" w:lineRule="auto"/>
              <w:rPr>
                <w:rFonts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58BC419">
            <w:pPr>
              <w:autoSpaceDE w:val="0"/>
              <w:autoSpaceDN w:val="0"/>
              <w:spacing w:line="360" w:lineRule="auto"/>
              <w:rPr>
                <w:rFonts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DEEC8CC">
            <w:pPr>
              <w:autoSpaceDE w:val="0"/>
              <w:autoSpaceDN w:val="0"/>
              <w:spacing w:line="360" w:lineRule="auto"/>
              <w:rPr>
                <w:rFonts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C9A3284">
            <w:pPr>
              <w:autoSpaceDE w:val="0"/>
              <w:autoSpaceDN w:val="0"/>
              <w:spacing w:line="360" w:lineRule="auto"/>
              <w:rPr>
                <w:rFonts w:ascii="仿宋" w:hAnsi="仿宋" w:eastAsia="仿宋" w:cs="仿宋"/>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4290EE42">
            <w:pPr>
              <w:autoSpaceDE w:val="0"/>
              <w:autoSpaceDN w:val="0"/>
              <w:spacing w:line="360" w:lineRule="auto"/>
              <w:rPr>
                <w:rFonts w:ascii="仿宋" w:hAnsi="仿宋" w:eastAsia="仿宋" w:cs="仿宋"/>
                <w:color w:val="auto"/>
                <w:sz w:val="24"/>
                <w:highlight w:val="none"/>
              </w:rPr>
            </w:pPr>
          </w:p>
        </w:tc>
      </w:tr>
      <w:tr w14:paraId="587899C8">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9F793D7">
            <w:pPr>
              <w:autoSpaceDE w:val="0"/>
              <w:autoSpaceDN w:val="0"/>
              <w:spacing w:line="360" w:lineRule="auto"/>
              <w:jc w:val="center"/>
              <w:rPr>
                <w:rFonts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9EF55BB">
            <w:pPr>
              <w:autoSpaceDE w:val="0"/>
              <w:autoSpaceDN w:val="0"/>
              <w:spacing w:line="360" w:lineRule="auto"/>
              <w:jc w:val="center"/>
              <w:rPr>
                <w:rFonts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0DB8AA5F">
            <w:pPr>
              <w:autoSpaceDE w:val="0"/>
              <w:autoSpaceDN w:val="0"/>
              <w:spacing w:line="360" w:lineRule="auto"/>
              <w:rPr>
                <w:rFonts w:ascii="仿宋" w:hAnsi="仿宋" w:eastAsia="仿宋" w:cs="仿宋"/>
                <w:color w:val="auto"/>
                <w:sz w:val="24"/>
                <w:highlight w:val="none"/>
              </w:rPr>
            </w:pPr>
          </w:p>
        </w:tc>
        <w:tc>
          <w:tcPr>
            <w:tcW w:w="710" w:type="dxa"/>
            <w:tcBorders>
              <w:top w:val="single" w:color="auto" w:sz="6" w:space="0"/>
              <w:left w:val="single" w:color="auto" w:sz="6" w:space="0"/>
              <w:bottom w:val="single" w:color="auto" w:sz="6" w:space="0"/>
              <w:right w:val="single" w:color="auto" w:sz="6" w:space="0"/>
            </w:tcBorders>
          </w:tcPr>
          <w:p w14:paraId="006CC446">
            <w:pPr>
              <w:autoSpaceDE w:val="0"/>
              <w:autoSpaceDN w:val="0"/>
              <w:spacing w:line="360" w:lineRule="auto"/>
              <w:rPr>
                <w:rFonts w:ascii="仿宋" w:hAnsi="仿宋" w:eastAsia="仿宋" w:cs="仿宋"/>
                <w:color w:val="auto"/>
                <w:sz w:val="24"/>
                <w:highlight w:val="none"/>
              </w:rPr>
            </w:pPr>
          </w:p>
        </w:tc>
        <w:tc>
          <w:tcPr>
            <w:tcW w:w="888" w:type="dxa"/>
            <w:tcBorders>
              <w:top w:val="single" w:color="auto" w:sz="6" w:space="0"/>
              <w:left w:val="single" w:color="auto" w:sz="6" w:space="0"/>
              <w:bottom w:val="single" w:color="auto" w:sz="6" w:space="0"/>
              <w:right w:val="single" w:color="auto" w:sz="6" w:space="0"/>
            </w:tcBorders>
          </w:tcPr>
          <w:p w14:paraId="67B26906">
            <w:pPr>
              <w:autoSpaceDE w:val="0"/>
              <w:autoSpaceDN w:val="0"/>
              <w:spacing w:line="360" w:lineRule="auto"/>
              <w:rPr>
                <w:rFonts w:ascii="仿宋" w:hAnsi="仿宋" w:eastAsia="仿宋" w:cs="仿宋"/>
                <w:color w:val="auto"/>
                <w:sz w:val="24"/>
                <w:highlight w:val="none"/>
              </w:rPr>
            </w:pPr>
          </w:p>
        </w:tc>
        <w:tc>
          <w:tcPr>
            <w:tcW w:w="947" w:type="dxa"/>
            <w:tcBorders>
              <w:top w:val="single" w:color="auto" w:sz="6" w:space="0"/>
              <w:left w:val="single" w:color="auto" w:sz="6" w:space="0"/>
              <w:bottom w:val="single" w:color="auto" w:sz="6" w:space="0"/>
              <w:right w:val="single" w:color="auto" w:sz="6" w:space="0"/>
            </w:tcBorders>
          </w:tcPr>
          <w:p w14:paraId="427402D7">
            <w:pPr>
              <w:autoSpaceDE w:val="0"/>
              <w:autoSpaceDN w:val="0"/>
              <w:spacing w:line="360" w:lineRule="auto"/>
              <w:rPr>
                <w:rFonts w:ascii="仿宋" w:hAnsi="仿宋" w:eastAsia="仿宋" w:cs="仿宋"/>
                <w:color w:val="auto"/>
                <w:sz w:val="24"/>
                <w:highlight w:val="none"/>
              </w:rPr>
            </w:pPr>
          </w:p>
        </w:tc>
        <w:tc>
          <w:tcPr>
            <w:tcW w:w="927" w:type="dxa"/>
            <w:tcBorders>
              <w:top w:val="single" w:color="auto" w:sz="6" w:space="0"/>
              <w:left w:val="single" w:color="auto" w:sz="6" w:space="0"/>
              <w:bottom w:val="single" w:color="auto" w:sz="6" w:space="0"/>
              <w:right w:val="single" w:color="auto" w:sz="6" w:space="0"/>
            </w:tcBorders>
          </w:tcPr>
          <w:p w14:paraId="779DDA7A">
            <w:pPr>
              <w:autoSpaceDE w:val="0"/>
              <w:autoSpaceDN w:val="0"/>
              <w:spacing w:line="360" w:lineRule="auto"/>
              <w:rPr>
                <w:rFonts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DD37B7E">
            <w:pPr>
              <w:autoSpaceDE w:val="0"/>
              <w:autoSpaceDN w:val="0"/>
              <w:spacing w:line="360" w:lineRule="auto"/>
              <w:rPr>
                <w:rFonts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53596AC">
            <w:pPr>
              <w:autoSpaceDE w:val="0"/>
              <w:autoSpaceDN w:val="0"/>
              <w:spacing w:line="360" w:lineRule="auto"/>
              <w:rPr>
                <w:rFonts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3E20EBD">
            <w:pPr>
              <w:autoSpaceDE w:val="0"/>
              <w:autoSpaceDN w:val="0"/>
              <w:spacing w:line="360" w:lineRule="auto"/>
              <w:rPr>
                <w:rFonts w:ascii="仿宋" w:hAnsi="仿宋" w:eastAsia="仿宋" w:cs="仿宋"/>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25C42B9">
            <w:pPr>
              <w:autoSpaceDE w:val="0"/>
              <w:autoSpaceDN w:val="0"/>
              <w:spacing w:line="360" w:lineRule="auto"/>
              <w:rPr>
                <w:rFonts w:ascii="仿宋" w:hAnsi="仿宋" w:eastAsia="仿宋" w:cs="仿宋"/>
                <w:color w:val="auto"/>
                <w:sz w:val="24"/>
                <w:highlight w:val="none"/>
              </w:rPr>
            </w:pPr>
          </w:p>
        </w:tc>
      </w:tr>
      <w:tr w14:paraId="3BDB4E03">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5B0811F">
            <w:pPr>
              <w:autoSpaceDE w:val="0"/>
              <w:autoSpaceDN w:val="0"/>
              <w:spacing w:line="360" w:lineRule="auto"/>
              <w:jc w:val="center"/>
              <w:rPr>
                <w:rFonts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F565893">
            <w:pPr>
              <w:autoSpaceDE w:val="0"/>
              <w:autoSpaceDN w:val="0"/>
              <w:spacing w:line="360" w:lineRule="auto"/>
              <w:jc w:val="center"/>
              <w:rPr>
                <w:rFonts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2E910932">
            <w:pPr>
              <w:autoSpaceDE w:val="0"/>
              <w:autoSpaceDN w:val="0"/>
              <w:spacing w:line="360" w:lineRule="auto"/>
              <w:rPr>
                <w:rFonts w:ascii="仿宋" w:hAnsi="仿宋" w:eastAsia="仿宋" w:cs="仿宋"/>
                <w:color w:val="auto"/>
                <w:sz w:val="24"/>
                <w:highlight w:val="none"/>
              </w:rPr>
            </w:pPr>
          </w:p>
        </w:tc>
        <w:tc>
          <w:tcPr>
            <w:tcW w:w="710" w:type="dxa"/>
            <w:tcBorders>
              <w:top w:val="single" w:color="auto" w:sz="6" w:space="0"/>
              <w:left w:val="single" w:color="auto" w:sz="6" w:space="0"/>
              <w:bottom w:val="single" w:color="auto" w:sz="6" w:space="0"/>
              <w:right w:val="single" w:color="auto" w:sz="6" w:space="0"/>
            </w:tcBorders>
          </w:tcPr>
          <w:p w14:paraId="0D1A9E81">
            <w:pPr>
              <w:autoSpaceDE w:val="0"/>
              <w:autoSpaceDN w:val="0"/>
              <w:spacing w:line="360" w:lineRule="auto"/>
              <w:rPr>
                <w:rFonts w:ascii="仿宋" w:hAnsi="仿宋" w:eastAsia="仿宋" w:cs="仿宋"/>
                <w:color w:val="auto"/>
                <w:sz w:val="24"/>
                <w:highlight w:val="none"/>
              </w:rPr>
            </w:pPr>
          </w:p>
        </w:tc>
        <w:tc>
          <w:tcPr>
            <w:tcW w:w="888" w:type="dxa"/>
            <w:tcBorders>
              <w:top w:val="single" w:color="auto" w:sz="6" w:space="0"/>
              <w:left w:val="single" w:color="auto" w:sz="6" w:space="0"/>
              <w:bottom w:val="single" w:color="auto" w:sz="6" w:space="0"/>
              <w:right w:val="single" w:color="auto" w:sz="6" w:space="0"/>
            </w:tcBorders>
          </w:tcPr>
          <w:p w14:paraId="513F7E73">
            <w:pPr>
              <w:autoSpaceDE w:val="0"/>
              <w:autoSpaceDN w:val="0"/>
              <w:spacing w:line="360" w:lineRule="auto"/>
              <w:rPr>
                <w:rFonts w:ascii="仿宋" w:hAnsi="仿宋" w:eastAsia="仿宋" w:cs="仿宋"/>
                <w:color w:val="auto"/>
                <w:sz w:val="24"/>
                <w:highlight w:val="none"/>
              </w:rPr>
            </w:pPr>
          </w:p>
        </w:tc>
        <w:tc>
          <w:tcPr>
            <w:tcW w:w="947" w:type="dxa"/>
            <w:tcBorders>
              <w:top w:val="single" w:color="auto" w:sz="6" w:space="0"/>
              <w:left w:val="single" w:color="auto" w:sz="6" w:space="0"/>
              <w:bottom w:val="single" w:color="auto" w:sz="6" w:space="0"/>
              <w:right w:val="single" w:color="auto" w:sz="6" w:space="0"/>
            </w:tcBorders>
          </w:tcPr>
          <w:p w14:paraId="0BE2D57A">
            <w:pPr>
              <w:autoSpaceDE w:val="0"/>
              <w:autoSpaceDN w:val="0"/>
              <w:spacing w:line="360" w:lineRule="auto"/>
              <w:rPr>
                <w:rFonts w:ascii="仿宋" w:hAnsi="仿宋" w:eastAsia="仿宋" w:cs="仿宋"/>
                <w:color w:val="auto"/>
                <w:sz w:val="24"/>
                <w:highlight w:val="none"/>
              </w:rPr>
            </w:pPr>
          </w:p>
        </w:tc>
        <w:tc>
          <w:tcPr>
            <w:tcW w:w="927" w:type="dxa"/>
            <w:tcBorders>
              <w:top w:val="single" w:color="auto" w:sz="6" w:space="0"/>
              <w:left w:val="single" w:color="auto" w:sz="6" w:space="0"/>
              <w:bottom w:val="single" w:color="auto" w:sz="6" w:space="0"/>
              <w:right w:val="single" w:color="auto" w:sz="6" w:space="0"/>
            </w:tcBorders>
          </w:tcPr>
          <w:p w14:paraId="182458AE">
            <w:pPr>
              <w:autoSpaceDE w:val="0"/>
              <w:autoSpaceDN w:val="0"/>
              <w:spacing w:line="360" w:lineRule="auto"/>
              <w:rPr>
                <w:rFonts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56AB6E5">
            <w:pPr>
              <w:autoSpaceDE w:val="0"/>
              <w:autoSpaceDN w:val="0"/>
              <w:spacing w:line="360" w:lineRule="auto"/>
              <w:rPr>
                <w:rFonts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9F74510">
            <w:pPr>
              <w:autoSpaceDE w:val="0"/>
              <w:autoSpaceDN w:val="0"/>
              <w:spacing w:line="360" w:lineRule="auto"/>
              <w:rPr>
                <w:rFonts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E213070">
            <w:pPr>
              <w:autoSpaceDE w:val="0"/>
              <w:autoSpaceDN w:val="0"/>
              <w:spacing w:line="360" w:lineRule="auto"/>
              <w:rPr>
                <w:rFonts w:ascii="仿宋" w:hAnsi="仿宋" w:eastAsia="仿宋" w:cs="仿宋"/>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2A4BDFF4">
            <w:pPr>
              <w:autoSpaceDE w:val="0"/>
              <w:autoSpaceDN w:val="0"/>
              <w:spacing w:line="360" w:lineRule="auto"/>
              <w:rPr>
                <w:rFonts w:ascii="仿宋" w:hAnsi="仿宋" w:eastAsia="仿宋" w:cs="仿宋"/>
                <w:color w:val="auto"/>
                <w:sz w:val="24"/>
                <w:highlight w:val="none"/>
              </w:rPr>
            </w:pPr>
          </w:p>
        </w:tc>
      </w:tr>
    </w:tbl>
    <w:p w14:paraId="674C8FAC">
      <w:pPr>
        <w:snapToGrid w:val="0"/>
        <w:spacing w:before="165" w:beforeLines="50" w:after="50"/>
        <w:ind w:left="142"/>
        <w:jc w:val="center"/>
        <w:rPr>
          <w:rFonts w:ascii="仿宋" w:hAnsi="仿宋" w:eastAsia="仿宋" w:cs="仿宋"/>
          <w:b/>
          <w:color w:val="auto"/>
          <w:sz w:val="32"/>
          <w:szCs w:val="32"/>
          <w:highlight w:val="none"/>
        </w:rPr>
      </w:pPr>
    </w:p>
    <w:p w14:paraId="7F30975E">
      <w:pPr>
        <w:snapToGrid w:val="0"/>
        <w:spacing w:before="165" w:beforeLines="50" w:line="360" w:lineRule="auto"/>
        <w:ind w:right="480" w:firstLine="3967" w:firstLineChars="1653"/>
        <w:rPr>
          <w:rFonts w:ascii="仿宋" w:hAnsi="仿宋" w:eastAsia="仿宋" w:cs="仿宋"/>
          <w:color w:val="auto"/>
          <w:sz w:val="24"/>
          <w:highlight w:val="none"/>
        </w:rPr>
      </w:pPr>
    </w:p>
    <w:p w14:paraId="062BE1D8">
      <w:pPr>
        <w:snapToGrid w:val="0"/>
        <w:spacing w:line="360" w:lineRule="auto"/>
        <w:ind w:firstLine="5160" w:firstLineChars="215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投标人名称（电子签章）：</w:t>
      </w:r>
    </w:p>
    <w:p w14:paraId="5C83D623">
      <w:pPr>
        <w:snapToGrid w:val="0"/>
        <w:spacing w:line="360" w:lineRule="auto"/>
        <w:ind w:firstLine="5160" w:firstLineChars="2150"/>
        <w:rPr>
          <w:rFonts w:ascii="宋体" w:hAnsi="宋体"/>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r>
        <w:rPr>
          <w:rFonts w:hint="eastAsia" w:ascii="宋体" w:hAnsi="宋体"/>
          <w:b/>
          <w:color w:val="auto"/>
          <w:sz w:val="24"/>
          <w:highlight w:val="none"/>
        </w:rPr>
        <w:br w:type="page"/>
      </w:r>
    </w:p>
    <w:p w14:paraId="48BADF2C">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七、认为需要的其他技术文件或说明</w:t>
      </w:r>
    </w:p>
    <w:p w14:paraId="44106863">
      <w:pPr>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448169CB">
      <w:pPr>
        <w:spacing w:line="360" w:lineRule="auto"/>
        <w:jc w:val="center"/>
        <w:rPr>
          <w:rFonts w:ascii="仿宋" w:hAnsi="仿宋" w:eastAsia="仿宋" w:cs="仿宋"/>
          <w:color w:val="auto"/>
          <w:sz w:val="24"/>
          <w:highlight w:val="none"/>
        </w:rPr>
      </w:pPr>
    </w:p>
    <w:p w14:paraId="33C463B1">
      <w:pPr>
        <w:pStyle w:val="22"/>
        <w:rPr>
          <w:color w:val="auto"/>
          <w:highlight w:val="none"/>
        </w:rPr>
      </w:pPr>
    </w:p>
    <w:p w14:paraId="10315A11">
      <w:pPr>
        <w:autoSpaceDE w:val="0"/>
        <w:autoSpaceDN w:val="0"/>
        <w:spacing w:line="360" w:lineRule="auto"/>
        <w:ind w:firstLine="4800" w:firstLineChars="2000"/>
        <w:rPr>
          <w:rFonts w:ascii="仿宋" w:hAnsi="仿宋" w:eastAsia="仿宋" w:cs="仿宋"/>
          <w:color w:val="auto"/>
          <w:sz w:val="24"/>
          <w:highlight w:val="none"/>
        </w:rPr>
      </w:pPr>
      <w:r>
        <w:rPr>
          <w:rFonts w:hint="eastAsia" w:ascii="仿宋" w:hAnsi="仿宋" w:eastAsia="仿宋" w:cs="仿宋"/>
          <w:color w:val="auto"/>
          <w:kern w:val="0"/>
          <w:sz w:val="24"/>
          <w:highlight w:val="none"/>
        </w:rPr>
        <w:t>投标人名称（电子</w:t>
      </w:r>
      <w:r>
        <w:rPr>
          <w:rFonts w:hint="eastAsia" w:ascii="仿宋" w:hAnsi="仿宋" w:eastAsia="仿宋" w:cs="仿宋"/>
          <w:color w:val="auto"/>
          <w:kern w:val="0"/>
          <w:sz w:val="24"/>
          <w:highlight w:val="none"/>
          <w:lang w:val="zh-CN"/>
        </w:rPr>
        <w:t>签章</w:t>
      </w:r>
      <w:r>
        <w:rPr>
          <w:rFonts w:hint="eastAsia" w:ascii="仿宋" w:hAnsi="仿宋" w:eastAsia="仿宋" w:cs="仿宋"/>
          <w:color w:val="auto"/>
          <w:kern w:val="0"/>
          <w:sz w:val="24"/>
          <w:highlight w:val="none"/>
        </w:rPr>
        <w:t xml:space="preserve">）：                       </w:t>
      </w:r>
    </w:p>
    <w:p w14:paraId="5058ECB5">
      <w:pPr>
        <w:autoSpaceDE w:val="0"/>
        <w:autoSpaceDN w:val="0"/>
        <w:spacing w:line="360" w:lineRule="auto"/>
        <w:rPr>
          <w:rFonts w:ascii="仿宋" w:hAnsi="仿宋" w:eastAsia="仿宋" w:cs="仿宋"/>
          <w:b/>
          <w:bCs/>
          <w:color w:val="auto"/>
          <w:sz w:val="30"/>
          <w:szCs w:val="30"/>
          <w:highlight w:val="none"/>
        </w:rPr>
      </w:pP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  年  月   日</w:t>
      </w:r>
    </w:p>
    <w:p w14:paraId="7E7DADDF">
      <w:pPr>
        <w:widowControl/>
        <w:jc w:val="left"/>
        <w:rPr>
          <w:rFonts w:ascii="仿宋" w:hAnsi="仿宋" w:eastAsia="仿宋" w:cs="仿宋"/>
          <w:b/>
          <w:bCs/>
          <w:color w:val="auto"/>
          <w:sz w:val="24"/>
          <w:highlight w:val="none"/>
        </w:rPr>
        <w:sectPr>
          <w:pgSz w:w="11906" w:h="16838"/>
          <w:pgMar w:top="1134" w:right="1134" w:bottom="1134" w:left="1134" w:header="720" w:footer="720" w:gutter="0"/>
          <w:cols w:space="720" w:num="1"/>
          <w:docGrid w:type="lines" w:linePitch="331" w:charSpace="0"/>
        </w:sectPr>
      </w:pPr>
    </w:p>
    <w:p w14:paraId="36844736">
      <w:pPr>
        <w:pStyle w:val="14"/>
        <w:jc w:val="center"/>
        <w:outlineLvl w:val="1"/>
        <w:rPr>
          <w:rFonts w:hAnsi="宋体"/>
          <w:b/>
          <w:bCs/>
          <w:color w:val="auto"/>
          <w:sz w:val="28"/>
          <w:szCs w:val="28"/>
          <w:highlight w:val="none"/>
        </w:rPr>
      </w:pPr>
      <w:bookmarkStart w:id="34" w:name="_Toc19291"/>
      <w:r>
        <w:rPr>
          <w:rFonts w:hint="eastAsia" w:hAnsi="宋体"/>
          <w:b/>
          <w:bCs/>
          <w:color w:val="auto"/>
          <w:sz w:val="28"/>
          <w:szCs w:val="28"/>
          <w:highlight w:val="none"/>
        </w:rPr>
        <w:t>第五节 报价文件格式</w:t>
      </w:r>
      <w:bookmarkEnd w:id="34"/>
    </w:p>
    <w:p w14:paraId="0BACBE8F">
      <w:pPr>
        <w:snapToGrid w:val="0"/>
        <w:spacing w:before="165" w:beforeLines="50" w:after="50" w:line="400" w:lineRule="exact"/>
        <w:rPr>
          <w:rFonts w:ascii="宋体" w:hAnsi="宋体"/>
          <w:bCs/>
          <w:color w:val="auto"/>
          <w:sz w:val="32"/>
          <w:szCs w:val="20"/>
          <w:highlight w:val="none"/>
        </w:rPr>
      </w:pPr>
      <w:r>
        <w:rPr>
          <w:rFonts w:hint="eastAsia" w:ascii="宋体" w:hAnsi="宋体"/>
          <w:color w:val="auto"/>
          <w:sz w:val="24"/>
          <w:highlight w:val="none"/>
        </w:rPr>
        <w:t xml:space="preserve">                                                            </w:t>
      </w:r>
      <w:r>
        <w:rPr>
          <w:rFonts w:hint="eastAsia" w:ascii="宋体" w:hAnsi="宋体"/>
          <w:bCs/>
          <w:color w:val="auto"/>
          <w:highlight w:val="none"/>
        </w:rPr>
        <w:t>电子投标文件</w:t>
      </w:r>
    </w:p>
    <w:p w14:paraId="7D17228D">
      <w:pPr>
        <w:snapToGrid w:val="0"/>
        <w:spacing w:before="165" w:beforeLines="50" w:after="50" w:line="400" w:lineRule="exact"/>
        <w:jc w:val="center"/>
        <w:rPr>
          <w:rFonts w:ascii="宋体" w:hAnsi="宋体"/>
          <w:bCs/>
          <w:color w:val="auto"/>
          <w:sz w:val="24"/>
          <w:szCs w:val="20"/>
          <w:highlight w:val="none"/>
        </w:rPr>
      </w:pPr>
    </w:p>
    <w:p w14:paraId="7B957AAC">
      <w:pPr>
        <w:snapToGrid w:val="0"/>
        <w:spacing w:before="165" w:beforeLines="50" w:after="50" w:line="4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报价文件（封面）</w:t>
      </w:r>
    </w:p>
    <w:p w14:paraId="309017A4">
      <w:pPr>
        <w:snapToGrid w:val="0"/>
        <w:spacing w:before="165" w:beforeLines="50" w:after="50" w:line="400" w:lineRule="exact"/>
        <w:rPr>
          <w:rFonts w:ascii="宋体" w:hAnsi="宋体"/>
          <w:bCs/>
          <w:color w:val="auto"/>
          <w:sz w:val="24"/>
          <w:szCs w:val="20"/>
          <w:highlight w:val="none"/>
        </w:rPr>
      </w:pPr>
    </w:p>
    <w:p w14:paraId="22E7AB7F">
      <w:pPr>
        <w:snapToGrid w:val="0"/>
        <w:spacing w:before="165" w:beforeLines="50" w:after="50" w:line="400" w:lineRule="exact"/>
        <w:rPr>
          <w:rFonts w:ascii="宋体" w:hAnsi="宋体"/>
          <w:bCs/>
          <w:color w:val="auto"/>
          <w:sz w:val="24"/>
          <w:szCs w:val="20"/>
          <w:highlight w:val="none"/>
        </w:rPr>
      </w:pPr>
    </w:p>
    <w:p w14:paraId="2CAAF477">
      <w:pPr>
        <w:snapToGrid w:val="0"/>
        <w:spacing w:before="165" w:beforeLines="50" w:after="50" w:line="400" w:lineRule="exact"/>
        <w:rPr>
          <w:rFonts w:ascii="宋体" w:hAnsi="宋体"/>
          <w:bCs/>
          <w:color w:val="auto"/>
          <w:sz w:val="24"/>
          <w:szCs w:val="20"/>
          <w:highlight w:val="none"/>
        </w:rPr>
      </w:pPr>
    </w:p>
    <w:p w14:paraId="35713E17">
      <w:pPr>
        <w:snapToGrid w:val="0"/>
        <w:spacing w:before="165" w:beforeLines="50" w:after="50" w:line="400" w:lineRule="exact"/>
        <w:rPr>
          <w:rFonts w:ascii="宋体" w:hAnsi="宋体"/>
          <w:bCs/>
          <w:color w:val="auto"/>
          <w:sz w:val="24"/>
          <w:szCs w:val="20"/>
          <w:highlight w:val="none"/>
        </w:rPr>
      </w:pPr>
    </w:p>
    <w:p w14:paraId="5467CF6C">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项目名称：宾阳县县域公共就业服务能力提升项目</w:t>
      </w:r>
    </w:p>
    <w:p w14:paraId="2D8D3E9F">
      <w:pPr>
        <w:snapToGrid w:val="0"/>
        <w:spacing w:before="165" w:beforeLines="50" w:after="50" w:line="400" w:lineRule="exact"/>
        <w:ind w:firstLine="360" w:firstLineChars="150"/>
        <w:rPr>
          <w:rFonts w:ascii="宋体" w:hAnsi="宋体"/>
          <w:bCs/>
          <w:color w:val="auto"/>
          <w:sz w:val="24"/>
          <w:highlight w:val="none"/>
        </w:rPr>
      </w:pPr>
    </w:p>
    <w:p w14:paraId="1EA8322E">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项目编号：</w:t>
      </w:r>
      <w:r>
        <w:rPr>
          <w:color w:val="auto"/>
          <w:highlight w:val="none"/>
        </w:rPr>
        <w:fldChar w:fldCharType="begin"/>
      </w:r>
      <w:r>
        <w:rPr>
          <w:color w:val="auto"/>
          <w:highlight w:val="none"/>
        </w:rPr>
        <w:instrText xml:space="preserve"> HYPERLINK "https://www.gcy.zfcg.gxzf.gov.cn/gaea/api/project/flow/redirect?projectId=7228427269057806418&amp;newUrl=https://www.gcy.zfcg.gxzf.gov.cn/micro-app-back-index/blank?_flow_type_=agency&amp;_flow_projectId_=7228427269057806418&amp;_jump_page_type_=project_procurement_management_flow&amp;_app_=zcy.procurement&amp;oldUrl=https://www.gcy.zfcg.gxzf.gov.cn/project-center/_procurement_/project-result-detail/7228427269057806418&amp;utm=web-project-center-front.42c12ca3.0.0.90a2dec0b62a11f084b5c3fd09c47019" \t "https://www.gcy.zfcg.gxzf.gov.cn/project-center/_procurement_/self-project/_blank" </w:instrText>
      </w:r>
      <w:r>
        <w:rPr>
          <w:color w:val="auto"/>
          <w:highlight w:val="none"/>
        </w:rPr>
        <w:fldChar w:fldCharType="separate"/>
      </w:r>
      <w:r>
        <w:rPr>
          <w:rFonts w:hint="eastAsia" w:ascii="宋体" w:hAnsi="宋体"/>
          <w:bCs/>
          <w:color w:val="auto"/>
          <w:sz w:val="24"/>
          <w:highlight w:val="none"/>
        </w:rPr>
        <w:t>NNZC2026-G3-260135-JDZB</w:t>
      </w:r>
      <w:r>
        <w:rPr>
          <w:rFonts w:hint="eastAsia" w:ascii="宋体" w:hAnsi="宋体"/>
          <w:bCs/>
          <w:color w:val="auto"/>
          <w:sz w:val="24"/>
          <w:highlight w:val="none"/>
        </w:rPr>
        <w:fldChar w:fldCharType="end"/>
      </w:r>
      <w:r>
        <w:rPr>
          <w:rFonts w:hint="eastAsia" w:ascii="宋体" w:hAnsi="宋体"/>
          <w:bCs/>
          <w:color w:val="auto"/>
          <w:sz w:val="24"/>
          <w:highlight w:val="none"/>
        </w:rPr>
        <w:t xml:space="preserve">        </w:t>
      </w:r>
    </w:p>
    <w:p w14:paraId="3599CF13">
      <w:pPr>
        <w:snapToGrid w:val="0"/>
        <w:spacing w:before="165" w:beforeLines="50" w:after="50" w:line="400" w:lineRule="exact"/>
        <w:ind w:firstLine="360" w:firstLineChars="150"/>
        <w:rPr>
          <w:rFonts w:ascii="宋体" w:hAnsi="宋体"/>
          <w:bCs/>
          <w:color w:val="auto"/>
          <w:sz w:val="24"/>
          <w:highlight w:val="none"/>
        </w:rPr>
      </w:pPr>
    </w:p>
    <w:p w14:paraId="68A9E6DD">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所投分标：</w:t>
      </w:r>
    </w:p>
    <w:p w14:paraId="590A99C1">
      <w:pPr>
        <w:snapToGrid w:val="0"/>
        <w:spacing w:before="165" w:beforeLines="50" w:after="50" w:line="400" w:lineRule="exact"/>
        <w:ind w:firstLine="360" w:firstLineChars="150"/>
        <w:rPr>
          <w:rFonts w:ascii="宋体" w:hAnsi="宋体"/>
          <w:bCs/>
          <w:color w:val="auto"/>
          <w:sz w:val="24"/>
          <w:highlight w:val="none"/>
        </w:rPr>
      </w:pPr>
    </w:p>
    <w:p w14:paraId="06B9696B">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投标人名称：</w:t>
      </w:r>
    </w:p>
    <w:p w14:paraId="120DDB5B">
      <w:pPr>
        <w:snapToGrid w:val="0"/>
        <w:spacing w:before="165" w:beforeLines="50" w:after="50" w:line="400" w:lineRule="exact"/>
        <w:ind w:firstLine="360" w:firstLineChars="150"/>
        <w:rPr>
          <w:rFonts w:ascii="宋体" w:hAnsi="宋体"/>
          <w:bCs/>
          <w:color w:val="auto"/>
          <w:sz w:val="24"/>
          <w:highlight w:val="none"/>
        </w:rPr>
      </w:pPr>
    </w:p>
    <w:p w14:paraId="38A4EF5A">
      <w:pPr>
        <w:snapToGrid w:val="0"/>
        <w:spacing w:before="165" w:beforeLines="50" w:after="50" w:line="400" w:lineRule="exact"/>
        <w:ind w:firstLine="360" w:firstLineChars="150"/>
        <w:rPr>
          <w:rFonts w:ascii="宋体" w:hAnsi="宋体"/>
          <w:bCs/>
          <w:color w:val="auto"/>
          <w:sz w:val="24"/>
          <w:highlight w:val="none"/>
        </w:rPr>
      </w:pPr>
      <w:r>
        <w:rPr>
          <w:rFonts w:hint="eastAsia" w:ascii="宋体" w:hAnsi="宋体"/>
          <w:bCs/>
          <w:color w:val="auto"/>
          <w:sz w:val="24"/>
          <w:highlight w:val="none"/>
        </w:rPr>
        <w:t>投标人地址：</w:t>
      </w:r>
    </w:p>
    <w:p w14:paraId="2A7F1980">
      <w:pPr>
        <w:pStyle w:val="8"/>
        <w:snapToGrid w:val="0"/>
        <w:spacing w:before="50" w:after="50" w:line="400" w:lineRule="exact"/>
        <w:ind w:firstLine="960" w:firstLineChars="400"/>
        <w:rPr>
          <w:rFonts w:ascii="宋体" w:hAnsi="宋体"/>
          <w:bCs/>
          <w:color w:val="auto"/>
          <w:sz w:val="24"/>
          <w:szCs w:val="24"/>
          <w:highlight w:val="none"/>
        </w:rPr>
      </w:pPr>
    </w:p>
    <w:p w14:paraId="69021A1D">
      <w:pPr>
        <w:snapToGrid w:val="0"/>
        <w:spacing w:before="165" w:beforeLines="50" w:after="50" w:line="400" w:lineRule="exact"/>
        <w:rPr>
          <w:rFonts w:ascii="宋体" w:hAnsi="宋体"/>
          <w:color w:val="auto"/>
          <w:sz w:val="24"/>
          <w:highlight w:val="none"/>
        </w:rPr>
      </w:pPr>
      <w:r>
        <w:rPr>
          <w:rFonts w:hint="eastAsia" w:ascii="宋体" w:hAnsi="宋体"/>
          <w:color w:val="auto"/>
          <w:sz w:val="24"/>
          <w:highlight w:val="none"/>
        </w:rPr>
        <w:t xml:space="preserve">                                                       年  月  日</w:t>
      </w:r>
    </w:p>
    <w:p w14:paraId="10B0C9D7">
      <w:pPr>
        <w:widowControl/>
        <w:jc w:val="left"/>
        <w:rPr>
          <w:rFonts w:ascii="宋体" w:hAnsi="宋体"/>
          <w:color w:val="auto"/>
          <w:sz w:val="24"/>
          <w:highlight w:val="none"/>
        </w:rPr>
        <w:sectPr>
          <w:pgSz w:w="11906" w:h="16838"/>
          <w:pgMar w:top="1134" w:right="1134" w:bottom="1134" w:left="1134" w:header="720" w:footer="720" w:gutter="0"/>
          <w:cols w:space="720" w:num="1"/>
          <w:docGrid w:type="lines" w:linePitch="331" w:charSpace="0"/>
        </w:sectPr>
      </w:pPr>
    </w:p>
    <w:p w14:paraId="693C07E2">
      <w:pPr>
        <w:rPr>
          <w:rFonts w:ascii="宋体" w:hAnsi="宋体" w:cs="宋体"/>
          <w:color w:val="auto"/>
          <w:highlight w:val="none"/>
        </w:rPr>
      </w:pPr>
    </w:p>
    <w:p w14:paraId="3F074D95">
      <w:pPr>
        <w:snapToGrid w:val="0"/>
        <w:spacing w:before="165" w:beforeLines="50" w:after="50" w:line="40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报价文件目录</w:t>
      </w:r>
    </w:p>
    <w:p w14:paraId="163816DC">
      <w:pPr>
        <w:rPr>
          <w:rFonts w:ascii="仿宋" w:hAnsi="仿宋" w:eastAsia="仿宋" w:cs="仿宋"/>
          <w:color w:val="auto"/>
          <w:highlight w:val="none"/>
        </w:rPr>
      </w:pPr>
    </w:p>
    <w:p w14:paraId="00D1C593">
      <w:pP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一、投标函………………………………………………………（页码）</w:t>
      </w:r>
    </w:p>
    <w:p w14:paraId="0A954F1B">
      <w:pP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二、开标一览表…………………………………………………（页码）</w:t>
      </w:r>
    </w:p>
    <w:p w14:paraId="1D0862DA">
      <w:pP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三、报价明细表…………………………………………………（页码）</w:t>
      </w:r>
    </w:p>
    <w:p w14:paraId="65C51255">
      <w:pP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四、中小企业声明函或监狱企业证明或残疾人福利声明函…（页码）</w:t>
      </w:r>
    </w:p>
    <w:p w14:paraId="545D33DC">
      <w:pPr>
        <w:spacing w:line="360" w:lineRule="auto"/>
        <w:rPr>
          <w:rFonts w:ascii="仿宋" w:hAnsi="仿宋" w:eastAsia="仿宋" w:cs="仿宋"/>
          <w:color w:val="auto"/>
          <w:sz w:val="24"/>
          <w:highlight w:val="none"/>
        </w:rPr>
      </w:pPr>
    </w:p>
    <w:p w14:paraId="169B7383">
      <w:pPr>
        <w:widowControl/>
        <w:jc w:val="left"/>
        <w:rPr>
          <w:rFonts w:ascii="仿宋" w:hAnsi="仿宋" w:eastAsia="仿宋" w:cs="仿宋"/>
          <w:color w:val="auto"/>
          <w:sz w:val="30"/>
          <w:szCs w:val="20"/>
          <w:highlight w:val="none"/>
        </w:rPr>
        <w:sectPr>
          <w:pgSz w:w="11906" w:h="16838"/>
          <w:pgMar w:top="1134" w:right="1134" w:bottom="1134" w:left="1134" w:header="720" w:footer="720" w:gutter="0"/>
          <w:cols w:space="720" w:num="1"/>
          <w:docGrid w:type="lines" w:linePitch="331" w:charSpace="0"/>
        </w:sectPr>
      </w:pPr>
    </w:p>
    <w:p w14:paraId="64AB3457">
      <w:pPr>
        <w:pStyle w:val="14"/>
        <w:spacing w:line="500" w:lineRule="exact"/>
        <w:jc w:val="center"/>
        <w:rPr>
          <w:rFonts w:ascii="Times New Roman" w:hAnsi="Times New Roman"/>
          <w:b/>
          <w:bCs/>
          <w:color w:val="auto"/>
          <w:sz w:val="30"/>
          <w:szCs w:val="30"/>
          <w:highlight w:val="none"/>
        </w:rPr>
      </w:pPr>
      <w:r>
        <w:rPr>
          <w:rFonts w:hint="eastAsia" w:ascii="Times New Roman" w:hAnsi="Times New Roman"/>
          <w:b/>
          <w:bCs/>
          <w:color w:val="auto"/>
          <w:sz w:val="30"/>
          <w:szCs w:val="30"/>
          <w:highlight w:val="none"/>
        </w:rPr>
        <w:t>一、投标函</w:t>
      </w:r>
    </w:p>
    <w:p w14:paraId="1703DFF3">
      <w:pPr>
        <w:pStyle w:val="14"/>
        <w:spacing w:line="440" w:lineRule="exact"/>
        <w:ind w:firstLine="420" w:firstLineChars="200"/>
        <w:rPr>
          <w:rFonts w:ascii="Times New Roman" w:hAnsi="Times New Roman"/>
          <w:color w:val="auto"/>
          <w:highlight w:val="none"/>
        </w:rPr>
      </w:pPr>
      <w:r>
        <w:rPr>
          <w:rFonts w:hint="eastAsia" w:ascii="Times New Roman" w:hAnsi="Times New Roman"/>
          <w:color w:val="auto"/>
          <w:highlight w:val="none"/>
        </w:rPr>
        <w:t>致：</w:t>
      </w:r>
      <w:r>
        <w:rPr>
          <w:rFonts w:hint="eastAsia" w:ascii="Times New Roman" w:hAnsi="Times New Roman"/>
          <w:color w:val="auto"/>
          <w:highlight w:val="none"/>
          <w:u w:val="single"/>
        </w:rPr>
        <w:t>广西机电设备招标有限公司</w:t>
      </w:r>
    </w:p>
    <w:p w14:paraId="0AB327CD">
      <w:pPr>
        <w:pStyle w:val="14"/>
        <w:spacing w:line="440" w:lineRule="exact"/>
        <w:ind w:firstLine="420" w:firstLineChars="200"/>
        <w:rPr>
          <w:color w:val="auto"/>
          <w:highlight w:val="none"/>
        </w:rPr>
      </w:pPr>
      <w:r>
        <w:rPr>
          <w:rFonts w:hint="eastAsia"/>
          <w:color w:val="auto"/>
          <w:highlight w:val="none"/>
        </w:rPr>
        <w:t>我方已仔细阅读了贵方组织的</w:t>
      </w:r>
      <w:r>
        <w:rPr>
          <w:rFonts w:hint="eastAsia" w:ascii="Times New Roman" w:hAnsi="Times New Roman"/>
          <w:color w:val="auto"/>
          <w:highlight w:val="none"/>
          <w:u w:val="single"/>
        </w:rPr>
        <w:t>宾阳县县域公共就业服务能力提升项目</w:t>
      </w:r>
      <w:r>
        <w:rPr>
          <w:rFonts w:ascii="Times New Roman" w:hAnsi="Times New Roman"/>
          <w:color w:val="auto"/>
          <w:highlight w:val="none"/>
          <w:u w:val="single"/>
        </w:rPr>
        <w:t xml:space="preserve"> </w:t>
      </w:r>
      <w:r>
        <w:rPr>
          <w:rFonts w:hint="eastAsia"/>
          <w:color w:val="auto"/>
          <w:highlight w:val="none"/>
        </w:rPr>
        <w:t>项目（项目编号：</w:t>
      </w:r>
      <w:r>
        <w:rPr>
          <w:color w:val="auto"/>
          <w:highlight w:val="none"/>
        </w:rPr>
        <w:fldChar w:fldCharType="begin"/>
      </w:r>
      <w:r>
        <w:rPr>
          <w:color w:val="auto"/>
          <w:highlight w:val="none"/>
        </w:rPr>
        <w:instrText xml:space="preserve"> HYPERLINK "https://www.gcy.zfcg.gxzf.gov.cn/gaea/api/project/flow/redirect?projectId=7228427269057806418&amp;newUrl=https://www.gcy.zfcg.gxzf.gov.cn/micro-app-back-index/blank?_flow_type_=agency&amp;_flow_projectId_=7228427269057806418&amp;_jump_page_type_=project_procurement_management_flow&amp;_app_=zcy.procurement&amp;oldUrl=https://www.gcy.zfcg.gxzf.gov.cn/project-center/_procurement_/project-result-detail/7228427269057806418&amp;utm=web-project-center-front.42c12ca3.0.0.90a2dec0b62a11f084b5c3fd09c47019" \t "https://www.gcy.zfcg.gxzf.gov.cn/project-center/_procurement_/self-project/_blank" </w:instrText>
      </w:r>
      <w:r>
        <w:rPr>
          <w:color w:val="auto"/>
          <w:highlight w:val="none"/>
        </w:rPr>
        <w:fldChar w:fldCharType="separate"/>
      </w:r>
      <w:r>
        <w:rPr>
          <w:rFonts w:hint="eastAsia"/>
          <w:color w:val="auto"/>
          <w:highlight w:val="none"/>
          <w:u w:val="single"/>
        </w:rPr>
        <w:t>NNZC2026-G3-260135-JDZB</w:t>
      </w:r>
      <w:r>
        <w:rPr>
          <w:rFonts w:hint="eastAsia"/>
          <w:color w:val="auto"/>
          <w:highlight w:val="none"/>
          <w:u w:val="single"/>
        </w:rPr>
        <w:fldChar w:fldCharType="end"/>
      </w:r>
      <w:r>
        <w:rPr>
          <w:rFonts w:hint="eastAsia"/>
          <w:color w:val="auto"/>
          <w:highlight w:val="none"/>
        </w:rPr>
        <w:t>）的招标文件的全部内容，授权</w:t>
      </w:r>
      <w:r>
        <w:rPr>
          <w:rFonts w:ascii="Times New Roman" w:hAnsi="Times New Roman"/>
          <w:color w:val="auto"/>
          <w:highlight w:val="none"/>
          <w:u w:val="single"/>
        </w:rPr>
        <w:t xml:space="preserve">                      </w:t>
      </w:r>
      <w:r>
        <w:rPr>
          <w:rFonts w:hint="eastAsia" w:ascii="Times New Roman" w:hAnsi="Times New Roman"/>
          <w:color w:val="auto"/>
          <w:highlight w:val="none"/>
          <w:u w:val="single"/>
          <w:lang w:eastAsia="zh-CN"/>
        </w:rPr>
        <w:t>（</w:t>
      </w:r>
      <w:r>
        <w:rPr>
          <w:rFonts w:hint="eastAsia"/>
          <w:color w:val="auto"/>
          <w:highlight w:val="none"/>
        </w:rPr>
        <w:t>全权代表姓名</w:t>
      </w:r>
      <w:r>
        <w:rPr>
          <w:rFonts w:hint="eastAsia"/>
          <w:color w:val="auto"/>
          <w:highlight w:val="none"/>
          <w:lang w:eastAsia="zh-CN"/>
        </w:rPr>
        <w:t>）</w:t>
      </w:r>
      <w:r>
        <w:rPr>
          <w:rFonts w:ascii="Times New Roman" w:hAnsi="Times New Roman"/>
          <w:color w:val="auto"/>
          <w:highlight w:val="none"/>
          <w:u w:val="single"/>
        </w:rPr>
        <w:t xml:space="preserve">          </w:t>
      </w:r>
      <w:r>
        <w:rPr>
          <w:rFonts w:hint="eastAsia"/>
          <w:color w:val="auto"/>
          <w:highlight w:val="none"/>
        </w:rPr>
        <w:t xml:space="preserve"> </w:t>
      </w:r>
      <w:r>
        <w:rPr>
          <w:rFonts w:hint="eastAsia"/>
          <w:color w:val="auto"/>
          <w:highlight w:val="none"/>
          <w:lang w:eastAsia="zh-CN"/>
        </w:rPr>
        <w:t>（</w:t>
      </w:r>
      <w:r>
        <w:rPr>
          <w:rFonts w:hint="eastAsia"/>
          <w:color w:val="auto"/>
          <w:highlight w:val="none"/>
        </w:rPr>
        <w:t>职务、职称</w:t>
      </w:r>
      <w:r>
        <w:rPr>
          <w:rFonts w:hint="eastAsia"/>
          <w:color w:val="auto"/>
          <w:highlight w:val="none"/>
          <w:lang w:eastAsia="zh-CN"/>
        </w:rPr>
        <w:t>）</w:t>
      </w:r>
      <w:r>
        <w:rPr>
          <w:rFonts w:hint="eastAsia"/>
          <w:color w:val="auto"/>
          <w:highlight w:val="none"/>
        </w:rPr>
        <w:t xml:space="preserve">为全权代表，现正式递交下述文件参加贵方组织的本次政府采购活动： </w:t>
      </w:r>
    </w:p>
    <w:p w14:paraId="160A91A2">
      <w:pPr>
        <w:pStyle w:val="14"/>
        <w:spacing w:line="440" w:lineRule="exact"/>
        <w:ind w:firstLine="420" w:firstLineChars="200"/>
        <w:rPr>
          <w:color w:val="auto"/>
          <w:highlight w:val="none"/>
        </w:rPr>
      </w:pPr>
      <w:r>
        <w:rPr>
          <w:rFonts w:hint="eastAsia"/>
          <w:color w:val="auto"/>
          <w:highlight w:val="none"/>
        </w:rPr>
        <w:t>一、报价文件电子版一份（包含按投标人须知前附表要求提交的全部文件）；</w:t>
      </w:r>
    </w:p>
    <w:p w14:paraId="2E81A322">
      <w:pPr>
        <w:pStyle w:val="14"/>
        <w:spacing w:line="440" w:lineRule="exact"/>
        <w:ind w:firstLine="482"/>
        <w:rPr>
          <w:color w:val="auto"/>
          <w:highlight w:val="none"/>
        </w:rPr>
      </w:pPr>
      <w:r>
        <w:rPr>
          <w:rFonts w:hint="eastAsia"/>
          <w:color w:val="auto"/>
          <w:highlight w:val="none"/>
        </w:rPr>
        <w:t>二、资格文件电子版一份（包含按投标人须知前附表要求提交的全部文件）；</w:t>
      </w:r>
    </w:p>
    <w:p w14:paraId="3E5C1A6E">
      <w:pPr>
        <w:pStyle w:val="14"/>
        <w:spacing w:line="440" w:lineRule="exact"/>
        <w:ind w:firstLine="482"/>
        <w:rPr>
          <w:color w:val="auto"/>
          <w:highlight w:val="none"/>
        </w:rPr>
      </w:pPr>
      <w:r>
        <w:rPr>
          <w:rFonts w:hint="eastAsia"/>
          <w:color w:val="auto"/>
          <w:highlight w:val="none"/>
        </w:rPr>
        <w:t>三、</w:t>
      </w:r>
      <w:r>
        <w:rPr>
          <w:rFonts w:hint="eastAsia" w:hAnsi="宋体"/>
          <w:color w:val="auto"/>
          <w:highlight w:val="none"/>
        </w:rPr>
        <w:t>技术</w:t>
      </w:r>
      <w:r>
        <w:rPr>
          <w:rFonts w:hint="eastAsia"/>
          <w:color w:val="auto"/>
          <w:highlight w:val="none"/>
        </w:rPr>
        <w:t>文件电子版一份（包含按投标人须知前附表要求提交的全部文件）；</w:t>
      </w:r>
    </w:p>
    <w:p w14:paraId="6E6EC7F3">
      <w:pPr>
        <w:pStyle w:val="14"/>
        <w:spacing w:line="440" w:lineRule="exact"/>
        <w:ind w:firstLine="482"/>
        <w:rPr>
          <w:color w:val="auto"/>
          <w:highlight w:val="none"/>
        </w:rPr>
      </w:pPr>
      <w:r>
        <w:rPr>
          <w:rFonts w:hint="eastAsia" w:hAnsi="宋体"/>
          <w:color w:val="auto"/>
          <w:highlight w:val="none"/>
        </w:rPr>
        <w:t>四、</w:t>
      </w:r>
      <w:r>
        <w:rPr>
          <w:rFonts w:hint="eastAsia"/>
          <w:color w:val="auto"/>
          <w:highlight w:val="none"/>
        </w:rPr>
        <w:t>商务</w:t>
      </w:r>
      <w:r>
        <w:rPr>
          <w:rFonts w:hint="eastAsia" w:hAnsi="宋体"/>
          <w:color w:val="auto"/>
          <w:highlight w:val="none"/>
        </w:rPr>
        <w:t>文件</w:t>
      </w:r>
      <w:r>
        <w:rPr>
          <w:rFonts w:hint="eastAsia"/>
          <w:color w:val="auto"/>
          <w:highlight w:val="none"/>
        </w:rPr>
        <w:t>电子版一份（包含按投标人须知前附表要求提交的全部文件）；</w:t>
      </w:r>
    </w:p>
    <w:p w14:paraId="2AF994E3">
      <w:pPr>
        <w:pStyle w:val="14"/>
        <w:spacing w:line="440" w:lineRule="exact"/>
        <w:ind w:firstLine="482"/>
        <w:rPr>
          <w:rFonts w:ascii="Times New Roman" w:hAnsi="Times New Roman"/>
          <w:color w:val="auto"/>
          <w:highlight w:val="none"/>
        </w:rPr>
      </w:pPr>
      <w:r>
        <w:rPr>
          <w:rFonts w:hint="eastAsia"/>
          <w:color w:val="auto"/>
          <w:highlight w:val="none"/>
        </w:rPr>
        <w:t>据此函，签字人兹宣布：</w:t>
      </w:r>
    </w:p>
    <w:p w14:paraId="43D1999D">
      <w:pPr>
        <w:pStyle w:val="14"/>
        <w:spacing w:line="360" w:lineRule="exact"/>
        <w:ind w:firstLine="420" w:firstLineChars="200"/>
        <w:rPr>
          <w:color w:val="auto"/>
          <w:highlight w:val="none"/>
          <w:u w:val="single"/>
        </w:rPr>
      </w:pPr>
      <w:r>
        <w:rPr>
          <w:rFonts w:hint="eastAsia"/>
          <w:color w:val="auto"/>
          <w:highlight w:val="none"/>
          <w:lang w:eastAsia="zh-CN"/>
        </w:rPr>
        <w:t>1.</w:t>
      </w:r>
      <w:r>
        <w:rPr>
          <w:rFonts w:hint="eastAsia"/>
          <w:color w:val="auto"/>
          <w:highlight w:val="none"/>
        </w:rPr>
        <w:t>我方愿意以（大写）人民币</w:t>
      </w:r>
      <w:r>
        <w:rPr>
          <w:rFonts w:hint="eastAsia"/>
          <w:color w:val="auto"/>
          <w:highlight w:val="none"/>
          <w:u w:val="single"/>
        </w:rPr>
        <w:t xml:space="preserve">              </w:t>
      </w:r>
      <w:r>
        <w:rPr>
          <w:rFonts w:hint="eastAsia"/>
          <w:color w:val="auto"/>
          <w:highlight w:val="none"/>
        </w:rPr>
        <w:t>元 (￥</w:t>
      </w:r>
      <w:r>
        <w:rPr>
          <w:rFonts w:hint="eastAsia"/>
          <w:color w:val="auto"/>
          <w:highlight w:val="none"/>
          <w:u w:val="single"/>
        </w:rPr>
        <w:t xml:space="preserve">          </w:t>
      </w:r>
      <w:r>
        <w:rPr>
          <w:rFonts w:hint="eastAsia"/>
          <w:color w:val="auto"/>
          <w:highlight w:val="none"/>
        </w:rPr>
        <w:t>元</w:t>
      </w:r>
      <w:r>
        <w:rPr>
          <w:rFonts w:hint="eastAsia"/>
          <w:color w:val="auto"/>
          <w:highlight w:val="none"/>
          <w:lang w:eastAsia="zh-CN"/>
        </w:rPr>
        <w:t>）</w:t>
      </w:r>
      <w:r>
        <w:rPr>
          <w:rFonts w:hint="eastAsia"/>
          <w:color w:val="auto"/>
          <w:highlight w:val="none"/>
        </w:rPr>
        <w:t>的投标总报价，</w:t>
      </w:r>
      <w:r>
        <w:rPr>
          <w:rFonts w:hint="eastAsia" w:hAnsi="宋体"/>
          <w:b/>
          <w:bCs/>
          <w:color w:val="auto"/>
          <w:szCs w:val="21"/>
          <w:highlight w:val="none"/>
        </w:rPr>
        <w:t>服务时间</w:t>
      </w:r>
      <w:r>
        <w:rPr>
          <w:rFonts w:hint="eastAsia"/>
          <w:color w:val="auto"/>
          <w:highlight w:val="none"/>
          <w:u w:val="single"/>
        </w:rPr>
        <w:t xml:space="preserve">              </w:t>
      </w:r>
      <w:r>
        <w:rPr>
          <w:rFonts w:hint="eastAsia"/>
          <w:color w:val="auto"/>
          <w:highlight w:val="none"/>
        </w:rPr>
        <w:t>，提供本项目</w:t>
      </w:r>
      <w:r>
        <w:rPr>
          <w:rFonts w:hint="eastAsia" w:hAnsi="Times New Roman"/>
          <w:color w:val="auto"/>
          <w:highlight w:val="none"/>
        </w:rPr>
        <w:t>招标文件第二章</w:t>
      </w:r>
      <w:r>
        <w:rPr>
          <w:rFonts w:hint="eastAsia"/>
          <w:color w:val="auto"/>
          <w:highlight w:val="none"/>
        </w:rPr>
        <w:t>“服务需求”中的相应的采购内容。</w:t>
      </w:r>
    </w:p>
    <w:p w14:paraId="5AFEEB02">
      <w:pPr>
        <w:pStyle w:val="14"/>
        <w:spacing w:line="360" w:lineRule="exact"/>
        <w:ind w:firstLine="420" w:firstLineChars="200"/>
        <w:rPr>
          <w:color w:val="auto"/>
          <w:highlight w:val="none"/>
          <w:u w:val="single"/>
        </w:rPr>
      </w:pPr>
      <w:r>
        <w:rPr>
          <w:rFonts w:hint="eastAsia"/>
          <w:color w:val="auto"/>
          <w:highlight w:val="none"/>
          <w:lang w:eastAsia="zh-CN"/>
        </w:rPr>
        <w:t>2.</w:t>
      </w:r>
      <w:r>
        <w:rPr>
          <w:rFonts w:hint="eastAsia"/>
          <w:color w:val="auto"/>
          <w:highlight w:val="none"/>
        </w:rPr>
        <w:t>我方同意自本项目招标文件“第三章 投标人须知”第一节 投标人须知前附表 第21.2项规定的投标截止时间（开标时间）起遵循</w:t>
      </w:r>
      <w:r>
        <w:rPr>
          <w:rFonts w:hint="eastAsia" w:hAnsi="宋体"/>
          <w:color w:val="auto"/>
          <w:highlight w:val="none"/>
        </w:rPr>
        <w:t>本投标函</w:t>
      </w:r>
      <w:r>
        <w:rPr>
          <w:rFonts w:hint="eastAsia"/>
          <w:color w:val="auto"/>
          <w:highlight w:val="none"/>
        </w:rPr>
        <w:t>，并承诺在“投标人须知前附表”第17.2项规定的投标有效期内不修改、撤销投标文件。</w:t>
      </w:r>
    </w:p>
    <w:p w14:paraId="008A96CE">
      <w:pPr>
        <w:pStyle w:val="14"/>
        <w:spacing w:line="360" w:lineRule="exact"/>
        <w:ind w:firstLine="420" w:firstLineChars="200"/>
        <w:rPr>
          <w:color w:val="auto"/>
          <w:highlight w:val="none"/>
          <w:u w:val="single"/>
        </w:rPr>
      </w:pPr>
      <w:r>
        <w:rPr>
          <w:rFonts w:hint="eastAsia"/>
          <w:color w:val="auto"/>
          <w:highlight w:val="none"/>
          <w:lang w:eastAsia="zh-CN"/>
        </w:rPr>
        <w:t>3.</w:t>
      </w:r>
      <w:r>
        <w:rPr>
          <w:rFonts w:hint="eastAsia"/>
          <w:color w:val="auto"/>
          <w:highlight w:val="none"/>
        </w:rPr>
        <w:t>我方所递交的投标文件及有关资料都是内容完整、真实和准确的。</w:t>
      </w:r>
    </w:p>
    <w:p w14:paraId="5FC7FF9A">
      <w:pPr>
        <w:pStyle w:val="14"/>
        <w:spacing w:line="440" w:lineRule="exact"/>
        <w:ind w:firstLine="482"/>
        <w:rPr>
          <w:color w:val="auto"/>
          <w:highlight w:val="none"/>
        </w:rPr>
      </w:pPr>
      <w:r>
        <w:rPr>
          <w:rFonts w:hint="eastAsia"/>
          <w:color w:val="auto"/>
          <w:highlight w:val="none"/>
          <w:lang w:eastAsia="zh-CN"/>
        </w:rPr>
        <w:t>4.</w:t>
      </w:r>
      <w:r>
        <w:rPr>
          <w:rFonts w:hint="eastAsia"/>
          <w:color w:val="auto"/>
          <w:szCs w:val="21"/>
          <w:highlight w:val="none"/>
        </w:rPr>
        <w:t>如本项目采购内容涉及须符合国家强制规定的，我方承诺我方本次投标（包括资格条件和所投产品）均符合国家有关强制规定。</w:t>
      </w:r>
    </w:p>
    <w:p w14:paraId="16A59B94">
      <w:pPr>
        <w:pStyle w:val="14"/>
        <w:spacing w:line="440" w:lineRule="exact"/>
        <w:ind w:firstLine="420" w:firstLineChars="200"/>
        <w:rPr>
          <w:color w:val="auto"/>
          <w:highlight w:val="none"/>
        </w:rPr>
      </w:pPr>
      <w:r>
        <w:rPr>
          <w:rFonts w:hint="eastAsia"/>
          <w:color w:val="auto"/>
          <w:highlight w:val="none"/>
          <w:lang w:eastAsia="zh-CN"/>
        </w:rPr>
        <w:t>5.</w:t>
      </w:r>
      <w:r>
        <w:rPr>
          <w:rFonts w:hint="eastAsia"/>
          <w:color w:val="auto"/>
          <w:highlight w:val="none"/>
        </w:rPr>
        <w:t>如我方中标，我方承诺在收到中标通知书后，在中标通知书规定的期限内，</w:t>
      </w:r>
      <w:r>
        <w:rPr>
          <w:rFonts w:hint="eastAsia" w:hAnsi="宋体"/>
          <w:color w:val="auto"/>
          <w:highlight w:val="none"/>
        </w:rPr>
        <w:t>根据招标文件、我方的投标文件及有关澄清承诺书的要求按第五章“拟签订的合同文本”与采购人订立书面合同，并按照合同约定</w:t>
      </w:r>
      <w:r>
        <w:rPr>
          <w:rFonts w:hint="eastAsia"/>
          <w:color w:val="auto"/>
          <w:highlight w:val="none"/>
        </w:rPr>
        <w:t>承担完成合同的责任和义务。</w:t>
      </w:r>
    </w:p>
    <w:p w14:paraId="6A4E3988">
      <w:pPr>
        <w:pStyle w:val="14"/>
        <w:spacing w:line="440" w:lineRule="exact"/>
        <w:ind w:firstLine="420" w:firstLineChars="200"/>
        <w:rPr>
          <w:color w:val="auto"/>
          <w:highlight w:val="none"/>
        </w:rPr>
      </w:pPr>
      <w:r>
        <w:rPr>
          <w:rFonts w:hint="eastAsia"/>
          <w:color w:val="auto"/>
          <w:highlight w:val="none"/>
          <w:lang w:eastAsia="zh-CN"/>
        </w:rPr>
        <w:t>6.</w:t>
      </w:r>
      <w:r>
        <w:rPr>
          <w:rFonts w:hint="eastAsia"/>
          <w:color w:val="auto"/>
          <w:highlight w:val="none"/>
        </w:rPr>
        <w:t>我方已详细审核招标文件，我方知道必须放弃提出含糊不清或误解问题的权利。</w:t>
      </w:r>
    </w:p>
    <w:p w14:paraId="5601FC28">
      <w:pPr>
        <w:pStyle w:val="14"/>
        <w:spacing w:line="440" w:lineRule="exact"/>
        <w:ind w:firstLine="420" w:firstLineChars="200"/>
        <w:rPr>
          <w:color w:val="auto"/>
          <w:highlight w:val="none"/>
        </w:rPr>
      </w:pPr>
      <w:r>
        <w:rPr>
          <w:rFonts w:hint="eastAsia"/>
          <w:color w:val="auto"/>
          <w:highlight w:val="none"/>
          <w:lang w:eastAsia="zh-CN"/>
        </w:rPr>
        <w:t>7.</w:t>
      </w:r>
      <w:r>
        <w:rPr>
          <w:rFonts w:hint="eastAsia"/>
          <w:color w:val="auto"/>
          <w:highlight w:val="none"/>
        </w:rPr>
        <w:t>我方同意应贵方要求提供与本投标有关的任何数据或资料。若贵方需要，我方愿意提供我方作出的一切承诺的证明材料。</w:t>
      </w:r>
    </w:p>
    <w:p w14:paraId="25337DFF">
      <w:pPr>
        <w:pStyle w:val="14"/>
        <w:spacing w:line="440" w:lineRule="exact"/>
        <w:ind w:firstLine="420" w:firstLineChars="200"/>
        <w:rPr>
          <w:color w:val="auto"/>
          <w:highlight w:val="none"/>
        </w:rPr>
      </w:pPr>
      <w:r>
        <w:rPr>
          <w:rFonts w:hint="eastAsia"/>
          <w:color w:val="auto"/>
          <w:highlight w:val="none"/>
          <w:lang w:eastAsia="zh-CN"/>
        </w:rPr>
        <w:t>8.</w:t>
      </w:r>
      <w:r>
        <w:rPr>
          <w:rFonts w:hint="eastAsia"/>
          <w:color w:val="auto"/>
          <w:highlight w:val="none"/>
        </w:rPr>
        <w:t>我方完全理解贵方不一定接受投标报价最低的投标人为中标供应商的行为。</w:t>
      </w:r>
    </w:p>
    <w:p w14:paraId="437575F4">
      <w:pPr>
        <w:pStyle w:val="14"/>
        <w:spacing w:line="440" w:lineRule="exact"/>
        <w:ind w:firstLine="420" w:firstLineChars="200"/>
        <w:rPr>
          <w:color w:val="auto"/>
          <w:highlight w:val="none"/>
        </w:rPr>
      </w:pPr>
      <w:r>
        <w:rPr>
          <w:rFonts w:hint="eastAsia"/>
          <w:color w:val="auto"/>
          <w:highlight w:val="none"/>
          <w:lang w:eastAsia="zh-CN"/>
        </w:rPr>
        <w:t>9.</w:t>
      </w:r>
      <w:r>
        <w:rPr>
          <w:rFonts w:hint="eastAsia"/>
          <w:color w:val="auto"/>
          <w:highlight w:val="none"/>
        </w:rPr>
        <w:t>我方将严格遵守《中华人民共和国政府采购法》第七十七条的规定，即供应商有下列情形之一的，处以采购金额千分之五以上千分之十</w:t>
      </w:r>
      <w:r>
        <w:rPr>
          <w:rFonts w:hint="eastAsia" w:hAnsi="宋体"/>
          <w:color w:val="auto"/>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0C3AF513">
      <w:pPr>
        <w:pStyle w:val="14"/>
        <w:numPr>
          <w:ilvl w:val="0"/>
          <w:numId w:val="4"/>
        </w:numPr>
        <w:spacing w:line="440" w:lineRule="exact"/>
        <w:rPr>
          <w:rFonts w:hAnsi="宋体"/>
          <w:color w:val="auto"/>
          <w:highlight w:val="none"/>
        </w:rPr>
      </w:pPr>
      <w:r>
        <w:rPr>
          <w:rFonts w:hint="eastAsia" w:hAnsi="宋体"/>
          <w:color w:val="auto"/>
          <w:highlight w:val="none"/>
        </w:rPr>
        <w:t>提供虚假材料谋取中标、成交的；</w:t>
      </w:r>
    </w:p>
    <w:p w14:paraId="4CD88ECD">
      <w:pPr>
        <w:pStyle w:val="14"/>
        <w:numPr>
          <w:ilvl w:val="0"/>
          <w:numId w:val="4"/>
        </w:numPr>
        <w:spacing w:line="440" w:lineRule="exact"/>
        <w:rPr>
          <w:rFonts w:hAnsi="宋体"/>
          <w:color w:val="auto"/>
          <w:highlight w:val="none"/>
        </w:rPr>
      </w:pPr>
      <w:r>
        <w:rPr>
          <w:rFonts w:hint="eastAsia" w:hAnsi="宋体"/>
          <w:color w:val="auto"/>
          <w:highlight w:val="none"/>
        </w:rPr>
        <w:t>采取不正当手段诋毁、排挤其他供应商的；</w:t>
      </w:r>
    </w:p>
    <w:p w14:paraId="2AEB3174">
      <w:pPr>
        <w:pStyle w:val="14"/>
        <w:numPr>
          <w:ilvl w:val="0"/>
          <w:numId w:val="4"/>
        </w:numPr>
        <w:spacing w:line="440" w:lineRule="exact"/>
        <w:rPr>
          <w:color w:val="auto"/>
          <w:highlight w:val="none"/>
        </w:rPr>
      </w:pPr>
      <w:r>
        <w:rPr>
          <w:rFonts w:hint="eastAsia" w:hAnsi="宋体"/>
          <w:color w:val="auto"/>
          <w:highlight w:val="none"/>
        </w:rPr>
        <w:t>与采购人、其他供应商或者采购代理机构恶意串通的；</w:t>
      </w:r>
    </w:p>
    <w:p w14:paraId="1BD506F6">
      <w:pPr>
        <w:pStyle w:val="14"/>
        <w:numPr>
          <w:ilvl w:val="0"/>
          <w:numId w:val="4"/>
        </w:numPr>
        <w:spacing w:line="440" w:lineRule="exact"/>
        <w:rPr>
          <w:color w:val="auto"/>
          <w:highlight w:val="none"/>
        </w:rPr>
      </w:pPr>
      <w:r>
        <w:rPr>
          <w:rFonts w:hint="eastAsia" w:hAnsi="宋体"/>
          <w:color w:val="auto"/>
          <w:highlight w:val="none"/>
        </w:rPr>
        <w:t>向采购人、采购代理机构行贿或者提供其他不正当利益的；</w:t>
      </w:r>
    </w:p>
    <w:p w14:paraId="5678BA59">
      <w:pPr>
        <w:pStyle w:val="14"/>
        <w:numPr>
          <w:ilvl w:val="0"/>
          <w:numId w:val="4"/>
        </w:numPr>
        <w:spacing w:line="440" w:lineRule="exact"/>
        <w:rPr>
          <w:color w:val="auto"/>
          <w:highlight w:val="none"/>
        </w:rPr>
      </w:pPr>
      <w:r>
        <w:rPr>
          <w:rFonts w:hint="eastAsia" w:hAnsi="宋体"/>
          <w:color w:val="auto"/>
          <w:highlight w:val="none"/>
        </w:rPr>
        <w:t>在招标采购过程中与采购人进行协商谈判的；</w:t>
      </w:r>
    </w:p>
    <w:p w14:paraId="7091BDE6">
      <w:pPr>
        <w:pStyle w:val="14"/>
        <w:numPr>
          <w:ilvl w:val="0"/>
          <w:numId w:val="4"/>
        </w:numPr>
        <w:spacing w:line="440" w:lineRule="exact"/>
        <w:rPr>
          <w:color w:val="auto"/>
          <w:highlight w:val="none"/>
        </w:rPr>
      </w:pPr>
      <w:r>
        <w:rPr>
          <w:rFonts w:hint="eastAsia" w:hAnsi="宋体"/>
          <w:color w:val="auto"/>
          <w:highlight w:val="none"/>
        </w:rPr>
        <w:t>拒绝有关部门监督检查或提供虚假情况的。</w:t>
      </w:r>
    </w:p>
    <w:p w14:paraId="222F0B08">
      <w:pPr>
        <w:pStyle w:val="14"/>
        <w:spacing w:line="440" w:lineRule="exact"/>
        <w:ind w:left="420"/>
        <w:rPr>
          <w:color w:val="auto"/>
          <w:highlight w:val="none"/>
        </w:rPr>
      </w:pPr>
      <w:r>
        <w:rPr>
          <w:rFonts w:hint="eastAsia"/>
          <w:color w:val="auto"/>
          <w:highlight w:val="none"/>
          <w:lang w:eastAsia="zh-CN"/>
        </w:rPr>
        <w:t>10.</w:t>
      </w:r>
      <w:r>
        <w:rPr>
          <w:rFonts w:hint="eastAsia"/>
          <w:color w:val="auto"/>
          <w:highlight w:val="none"/>
        </w:rPr>
        <w:t>我方及由本人担任法定代表人的其他机构最近三年内被处罚的违法行为有：</w:t>
      </w:r>
      <w:r>
        <w:rPr>
          <w:rFonts w:hint="eastAsia"/>
          <w:color w:val="auto"/>
          <w:highlight w:val="none"/>
          <w:u w:val="single"/>
        </w:rPr>
        <w:t xml:space="preserve">                                        </w:t>
      </w:r>
    </w:p>
    <w:p w14:paraId="01C6E9BB">
      <w:pPr>
        <w:pStyle w:val="14"/>
        <w:spacing w:line="440" w:lineRule="exact"/>
        <w:ind w:left="420"/>
        <w:rPr>
          <w:color w:val="auto"/>
          <w:highlight w:val="none"/>
        </w:rPr>
      </w:pPr>
      <w:r>
        <w:rPr>
          <w:rFonts w:hint="eastAsia"/>
          <w:color w:val="auto"/>
          <w:highlight w:val="none"/>
          <w:u w:val="single"/>
        </w:rPr>
        <w:t xml:space="preserve">                                                                                                                        </w:t>
      </w:r>
    </w:p>
    <w:p w14:paraId="47016AC6">
      <w:pPr>
        <w:pStyle w:val="14"/>
        <w:spacing w:line="360" w:lineRule="auto"/>
        <w:ind w:firstLine="420"/>
        <w:rPr>
          <w:color w:val="auto"/>
          <w:highlight w:val="none"/>
        </w:rPr>
      </w:pPr>
      <w:r>
        <w:rPr>
          <w:rFonts w:hint="eastAsia"/>
          <w:color w:val="auto"/>
          <w:highlight w:val="none"/>
          <w:lang w:eastAsia="zh-CN"/>
        </w:rPr>
        <w:t>11.</w:t>
      </w:r>
      <w:r>
        <w:rPr>
          <w:rFonts w:hint="eastAsia"/>
          <w:color w:val="auto"/>
          <w:highlight w:val="none"/>
        </w:rPr>
        <w:t>以上事项如有虚假或隐瞒，我方愿意承担一切后果，并不再寻求任何旨在减轻或免除法律责任的辩解。</w:t>
      </w:r>
    </w:p>
    <w:p w14:paraId="1C69FE7C">
      <w:pPr>
        <w:pStyle w:val="14"/>
        <w:spacing w:line="360" w:lineRule="auto"/>
        <w:ind w:firstLine="420"/>
        <w:rPr>
          <w:color w:val="auto"/>
          <w:highlight w:val="none"/>
        </w:rPr>
      </w:pPr>
      <w:r>
        <w:rPr>
          <w:rFonts w:hint="eastAsia"/>
          <w:color w:val="auto"/>
          <w:highlight w:val="none"/>
          <w:lang w:eastAsia="zh-CN"/>
        </w:rPr>
        <w:t>12.</w:t>
      </w:r>
      <w:r>
        <w:rPr>
          <w:rFonts w:hint="eastAsia"/>
          <w:color w:val="auto"/>
          <w:highlight w:val="none"/>
        </w:rPr>
        <w:t>与本投标有关的一切正式往来信函请寄：</w:t>
      </w:r>
    </w:p>
    <w:p w14:paraId="29548948">
      <w:pPr>
        <w:pStyle w:val="14"/>
        <w:spacing w:line="360" w:lineRule="auto"/>
        <w:ind w:firstLine="420"/>
        <w:rPr>
          <w:color w:val="auto"/>
          <w:highlight w:val="none"/>
        </w:rPr>
      </w:pPr>
      <w:r>
        <w:rPr>
          <w:rFonts w:hint="eastAsia"/>
          <w:color w:val="auto"/>
          <w:highlight w:val="none"/>
        </w:rPr>
        <w:t>地址：</w:t>
      </w:r>
      <w:r>
        <w:rPr>
          <w:rFonts w:hint="eastAsia"/>
          <w:color w:val="auto"/>
          <w:highlight w:val="none"/>
          <w:u w:val="single"/>
        </w:rPr>
        <w:t xml:space="preserve">                                                        </w:t>
      </w:r>
      <w:r>
        <w:rPr>
          <w:rFonts w:hint="eastAsia"/>
          <w:color w:val="auto"/>
          <w:highlight w:val="none"/>
        </w:rPr>
        <w:t xml:space="preserve"> </w:t>
      </w:r>
    </w:p>
    <w:p w14:paraId="2B234568">
      <w:pPr>
        <w:pStyle w:val="14"/>
        <w:spacing w:line="360" w:lineRule="auto"/>
        <w:ind w:firstLine="420"/>
        <w:rPr>
          <w:color w:val="auto"/>
          <w:highlight w:val="none"/>
          <w:u w:val="single"/>
        </w:rPr>
      </w:pPr>
      <w:r>
        <w:rPr>
          <w:rFonts w:hint="eastAsia"/>
          <w:color w:val="auto"/>
          <w:highlight w:val="none"/>
        </w:rPr>
        <w:t>电话：</w:t>
      </w:r>
      <w:r>
        <w:rPr>
          <w:rFonts w:hint="eastAsia"/>
          <w:color w:val="auto"/>
          <w:highlight w:val="none"/>
          <w:u w:val="single"/>
        </w:rPr>
        <w:t xml:space="preserve">                                      　　　　　　　　　</w:t>
      </w:r>
    </w:p>
    <w:p w14:paraId="032A6DBE">
      <w:pPr>
        <w:pStyle w:val="14"/>
        <w:spacing w:line="360" w:lineRule="auto"/>
        <w:ind w:firstLine="420"/>
        <w:rPr>
          <w:color w:val="auto"/>
          <w:highlight w:val="none"/>
        </w:rPr>
      </w:pPr>
      <w:r>
        <w:rPr>
          <w:rFonts w:hint="eastAsia"/>
          <w:color w:val="auto"/>
          <w:highlight w:val="none"/>
        </w:rPr>
        <w:t>传真：</w:t>
      </w:r>
      <w:r>
        <w:rPr>
          <w:rFonts w:hint="eastAsia"/>
          <w:color w:val="auto"/>
          <w:highlight w:val="none"/>
          <w:u w:val="single"/>
        </w:rPr>
        <w:t>　　　　　　　　　　　　　　　　　　　　　　　　　　　　</w:t>
      </w:r>
    </w:p>
    <w:p w14:paraId="0DC0C607">
      <w:pPr>
        <w:pStyle w:val="14"/>
        <w:spacing w:line="360" w:lineRule="auto"/>
        <w:ind w:firstLine="420"/>
        <w:rPr>
          <w:color w:val="auto"/>
          <w:highlight w:val="none"/>
          <w:u w:val="single"/>
        </w:rPr>
      </w:pPr>
      <w:r>
        <w:rPr>
          <w:rFonts w:hint="eastAsia"/>
          <w:color w:val="auto"/>
          <w:highlight w:val="none"/>
        </w:rPr>
        <w:t>邮政编码：</w:t>
      </w:r>
      <w:r>
        <w:rPr>
          <w:rFonts w:hint="eastAsia"/>
          <w:color w:val="auto"/>
          <w:highlight w:val="none"/>
          <w:u w:val="single"/>
        </w:rPr>
        <w:t xml:space="preserve">                                                    </w:t>
      </w:r>
    </w:p>
    <w:p w14:paraId="3779B045">
      <w:pPr>
        <w:pStyle w:val="14"/>
        <w:spacing w:line="360" w:lineRule="auto"/>
        <w:ind w:firstLine="420"/>
        <w:rPr>
          <w:color w:val="auto"/>
          <w:highlight w:val="none"/>
          <w:u w:val="single"/>
        </w:rPr>
      </w:pPr>
      <w:r>
        <w:rPr>
          <w:rFonts w:hint="eastAsia"/>
          <w:color w:val="auto"/>
          <w:highlight w:val="none"/>
        </w:rPr>
        <w:t>开户名称：</w:t>
      </w:r>
      <w:r>
        <w:rPr>
          <w:rFonts w:hint="eastAsia"/>
          <w:color w:val="auto"/>
          <w:highlight w:val="none"/>
          <w:u w:val="single"/>
        </w:rPr>
        <w:t xml:space="preserve">                                                    </w:t>
      </w:r>
    </w:p>
    <w:p w14:paraId="526C1A9C">
      <w:pPr>
        <w:pStyle w:val="14"/>
        <w:spacing w:line="360" w:lineRule="auto"/>
        <w:ind w:firstLine="420"/>
        <w:rPr>
          <w:color w:val="auto"/>
          <w:highlight w:val="none"/>
          <w:u w:val="single"/>
        </w:rPr>
      </w:pPr>
      <w:r>
        <w:rPr>
          <w:rFonts w:hint="eastAsia"/>
          <w:color w:val="auto"/>
          <w:highlight w:val="none"/>
        </w:rPr>
        <w:t>开户银行：</w:t>
      </w:r>
      <w:r>
        <w:rPr>
          <w:rFonts w:hint="eastAsia"/>
          <w:color w:val="auto"/>
          <w:highlight w:val="none"/>
          <w:u w:val="single"/>
        </w:rPr>
        <w:t xml:space="preserve">                                                    </w:t>
      </w:r>
    </w:p>
    <w:p w14:paraId="1845C0D2">
      <w:pPr>
        <w:pStyle w:val="14"/>
        <w:spacing w:line="360" w:lineRule="auto"/>
        <w:ind w:firstLine="420"/>
        <w:rPr>
          <w:color w:val="auto"/>
          <w:highlight w:val="none"/>
          <w:u w:val="single"/>
        </w:rPr>
      </w:pPr>
      <w:r>
        <w:rPr>
          <w:rFonts w:hint="eastAsia"/>
          <w:color w:val="auto"/>
          <w:highlight w:val="none"/>
        </w:rPr>
        <w:t>银行账号：</w:t>
      </w:r>
      <w:r>
        <w:rPr>
          <w:rFonts w:hint="eastAsia"/>
          <w:color w:val="auto"/>
          <w:highlight w:val="none"/>
          <w:u w:val="single"/>
        </w:rPr>
        <w:t xml:space="preserve">                                                    </w:t>
      </w:r>
    </w:p>
    <w:p w14:paraId="4702EC37">
      <w:pPr>
        <w:snapToGrid w:val="0"/>
        <w:spacing w:line="360" w:lineRule="auto"/>
        <w:ind w:firstLine="5040" w:firstLineChars="2100"/>
        <w:rPr>
          <w:rFonts w:ascii="仿宋_GB2312" w:hAnsi="仿宋" w:eastAsia="仿宋_GB2312" w:cs="仿宋_GB2312"/>
          <w:color w:val="auto"/>
          <w:kern w:val="0"/>
          <w:sz w:val="24"/>
          <w:highlight w:val="none"/>
          <w:lang w:val="zh-CN"/>
        </w:rPr>
      </w:pPr>
    </w:p>
    <w:p w14:paraId="562CCF19">
      <w:pPr>
        <w:snapToGrid w:val="0"/>
        <w:spacing w:line="360" w:lineRule="auto"/>
        <w:ind w:firstLine="5040" w:firstLineChars="21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投标人名称（电子签章）：</w:t>
      </w:r>
    </w:p>
    <w:p w14:paraId="1011D91D">
      <w:pPr>
        <w:snapToGrid w:val="0"/>
        <w:spacing w:line="360" w:lineRule="auto"/>
        <w:ind w:firstLine="5160" w:firstLineChars="215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17C2D7A6">
      <w:pPr>
        <w:widowControl/>
        <w:spacing w:line="360" w:lineRule="auto"/>
        <w:jc w:val="left"/>
        <w:rPr>
          <w:rFonts w:ascii="仿宋" w:hAnsi="仿宋" w:eastAsia="仿宋" w:cs="仿宋"/>
          <w:color w:val="auto"/>
          <w:kern w:val="0"/>
          <w:sz w:val="24"/>
          <w:highlight w:val="none"/>
          <w:lang w:val="zh-CN"/>
        </w:rPr>
        <w:sectPr>
          <w:pgSz w:w="11906" w:h="16838"/>
          <w:pgMar w:top="1134" w:right="1134" w:bottom="1134" w:left="1134" w:header="720" w:footer="720" w:gutter="0"/>
          <w:cols w:space="720" w:num="1"/>
          <w:docGrid w:type="lines" w:linePitch="331" w:charSpace="0"/>
        </w:sectPr>
      </w:pPr>
    </w:p>
    <w:p w14:paraId="28D7B1EE">
      <w:pPr>
        <w:pStyle w:val="14"/>
        <w:spacing w:line="360" w:lineRule="auto"/>
        <w:jc w:val="center"/>
        <w:rPr>
          <w:b/>
          <w:color w:val="auto"/>
          <w:sz w:val="30"/>
          <w:szCs w:val="30"/>
          <w:highlight w:val="none"/>
        </w:rPr>
      </w:pPr>
      <w:r>
        <w:rPr>
          <w:rFonts w:hint="eastAsia" w:hAnsi="宋体"/>
          <w:color w:val="auto"/>
          <w:sz w:val="30"/>
          <w:highlight w:val="none"/>
        </w:rPr>
        <w:t>二、</w:t>
      </w:r>
      <w:r>
        <w:rPr>
          <w:rFonts w:hint="eastAsia"/>
          <w:b/>
          <w:color w:val="auto"/>
          <w:sz w:val="30"/>
          <w:szCs w:val="30"/>
          <w:highlight w:val="none"/>
        </w:rPr>
        <w:t>开标一览表</w:t>
      </w:r>
      <w:r>
        <w:rPr>
          <w:rFonts w:hint="eastAsia"/>
          <w:b/>
          <w:color w:val="auto"/>
          <w:sz w:val="30"/>
          <w:szCs w:val="30"/>
          <w:highlight w:val="none"/>
          <w:lang w:eastAsia="zh-CN"/>
        </w:rPr>
        <w:t>（</w:t>
      </w:r>
      <w:r>
        <w:rPr>
          <w:rFonts w:hint="eastAsia" w:ascii="仿宋_GB2312" w:hAnsi="仿宋" w:eastAsia="仿宋_GB2312" w:cs="仿宋_GB2312"/>
          <w:b/>
          <w:color w:val="auto"/>
          <w:kern w:val="0"/>
          <w:sz w:val="24"/>
          <w:highlight w:val="none"/>
          <w:lang w:val="zh-CN"/>
        </w:rPr>
        <w:t>单位均为人民币元）</w:t>
      </w:r>
    </w:p>
    <w:p w14:paraId="75D1BAE5">
      <w:pPr>
        <w:snapToGrid w:val="0"/>
        <w:spacing w:before="50" w:after="50" w:line="460" w:lineRule="exact"/>
        <w:rPr>
          <w:rFonts w:ascii="宋体" w:hAnsi="宋体"/>
          <w:color w:val="auto"/>
          <w:sz w:val="24"/>
          <w:highlight w:val="non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宾阳县县域公共就业服务能力提升项目</w:t>
      </w:r>
      <w:r>
        <w:rPr>
          <w:rFonts w:hint="eastAsia" w:ascii="宋体" w:hAnsi="宋体"/>
          <w:color w:val="auto"/>
          <w:sz w:val="24"/>
          <w:highlight w:val="none"/>
        </w:rPr>
        <w:t xml:space="preserve">  </w:t>
      </w:r>
    </w:p>
    <w:p w14:paraId="09FBCF51">
      <w:pPr>
        <w:snapToGrid w:val="0"/>
        <w:spacing w:before="50" w:after="50" w:line="460" w:lineRule="exact"/>
        <w:rPr>
          <w:rFonts w:ascii="宋体" w:hAnsi="宋体"/>
          <w:color w:val="auto"/>
          <w:sz w:val="24"/>
          <w:highlight w:val="none"/>
        </w:rPr>
      </w:pP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color w:val="auto"/>
          <w:highlight w:val="none"/>
        </w:rPr>
        <w:fldChar w:fldCharType="begin"/>
      </w:r>
      <w:r>
        <w:rPr>
          <w:color w:val="auto"/>
          <w:highlight w:val="none"/>
        </w:rPr>
        <w:instrText xml:space="preserve"> HYPERLINK "https://www.gcy.zfcg.gxzf.gov.cn/gaea/api/project/flow/redirect?projectId=7228427269057806418&amp;newUrl=https://www.gcy.zfcg.gxzf.gov.cn/micro-app-back-index/blank?_flow_type_=agency&amp;_flow_projectId_=7228427269057806418&amp;_jump_page_type_=project_procurement_management_flow&amp;_app_=zcy.procurement&amp;oldUrl=https://www.gcy.zfcg.gxzf.gov.cn/project-center/_procurement_/project-result-detail/7228427269057806418&amp;utm=web-project-center-front.42c12ca3.0.0.90a2dec0b62a11f084b5c3fd09c47019" \t "https://www.gcy.zfcg.gxzf.gov.cn/project-center/_procurement_/self-project/_blank" </w:instrText>
      </w:r>
      <w:r>
        <w:rPr>
          <w:color w:val="auto"/>
          <w:highlight w:val="none"/>
        </w:rPr>
        <w:fldChar w:fldCharType="separate"/>
      </w:r>
      <w:r>
        <w:rPr>
          <w:rFonts w:hint="eastAsia" w:ascii="宋体" w:hAnsi="宋体"/>
          <w:color w:val="auto"/>
          <w:sz w:val="24"/>
          <w:highlight w:val="none"/>
          <w:u w:val="single"/>
        </w:rPr>
        <w:t>NNZC2026-G3-260135-JDZB</w:t>
      </w:r>
      <w:r>
        <w:rPr>
          <w:rFonts w:hint="eastAsia" w:ascii="宋体" w:hAnsi="宋体"/>
          <w:color w:val="auto"/>
          <w:sz w:val="24"/>
          <w:highlight w:val="none"/>
          <w:u w:val="single"/>
        </w:rPr>
        <w:fldChar w:fldCharType="end"/>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p w14:paraId="1C4D0E1A">
      <w:pPr>
        <w:pStyle w:val="14"/>
        <w:spacing w:line="460" w:lineRule="exact"/>
        <w:rPr>
          <w:color w:val="auto"/>
          <w:highlight w:val="none"/>
        </w:rPr>
      </w:pPr>
      <w:r>
        <w:rPr>
          <w:rFonts w:hint="eastAsia" w:hAnsi="宋体"/>
          <w:color w:val="auto"/>
          <w:sz w:val="24"/>
          <w:highlight w:val="none"/>
        </w:rPr>
        <w:t>投标人名称：</w:t>
      </w:r>
      <w:r>
        <w:rPr>
          <w:rFonts w:hint="eastAsia" w:hAnsi="宋体"/>
          <w:color w:val="auto"/>
          <w:sz w:val="24"/>
          <w:highlight w:val="none"/>
          <w:u w:val="single"/>
        </w:rPr>
        <w:t xml:space="preserve">                     </w:t>
      </w:r>
      <w:r>
        <w:rPr>
          <w:rFonts w:hint="eastAsia" w:hAnsi="宋体"/>
          <w:color w:val="auto"/>
          <w:sz w:val="24"/>
          <w:highlight w:val="none"/>
        </w:rPr>
        <w:t xml:space="preserve">   </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3930"/>
        <w:gridCol w:w="2709"/>
        <w:gridCol w:w="1762"/>
        <w:gridCol w:w="714"/>
      </w:tblGrid>
      <w:tr w14:paraId="2CF1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6" w:hRule="atLeast"/>
        </w:trPr>
        <w:tc>
          <w:tcPr>
            <w:tcW w:w="720" w:type="dxa"/>
            <w:tcBorders>
              <w:top w:val="single" w:color="auto" w:sz="4" w:space="0"/>
              <w:left w:val="single" w:color="auto" w:sz="4" w:space="0"/>
              <w:bottom w:val="single" w:color="auto" w:sz="4" w:space="0"/>
              <w:right w:val="single" w:color="auto" w:sz="4" w:space="0"/>
            </w:tcBorders>
            <w:vAlign w:val="center"/>
          </w:tcPr>
          <w:p w14:paraId="5322AD59">
            <w:pPr>
              <w:jc w:val="center"/>
              <w:rPr>
                <w:rFonts w:ascii="宋体" w:hAnsi="宋体"/>
                <w:color w:val="auto"/>
                <w:szCs w:val="22"/>
                <w:highlight w:val="none"/>
              </w:rPr>
            </w:pPr>
            <w:r>
              <w:rPr>
                <w:rFonts w:hint="eastAsia" w:ascii="宋体" w:hAnsi="宋体"/>
                <w:color w:val="auto"/>
                <w:szCs w:val="22"/>
                <w:highlight w:val="none"/>
              </w:rPr>
              <w:t>序号</w:t>
            </w:r>
          </w:p>
        </w:tc>
        <w:tc>
          <w:tcPr>
            <w:tcW w:w="3930" w:type="dxa"/>
            <w:tcBorders>
              <w:top w:val="single" w:color="auto" w:sz="4" w:space="0"/>
              <w:left w:val="single" w:color="auto" w:sz="4" w:space="0"/>
              <w:bottom w:val="single" w:color="auto" w:sz="4" w:space="0"/>
              <w:right w:val="single" w:color="auto" w:sz="4" w:space="0"/>
            </w:tcBorders>
            <w:vAlign w:val="center"/>
          </w:tcPr>
          <w:p w14:paraId="7461081F">
            <w:pPr>
              <w:jc w:val="center"/>
              <w:rPr>
                <w:rFonts w:ascii="宋体" w:hAnsi="宋体"/>
                <w:color w:val="auto"/>
                <w:szCs w:val="22"/>
                <w:highlight w:val="none"/>
              </w:rPr>
            </w:pPr>
            <w:r>
              <w:rPr>
                <w:rFonts w:hint="eastAsia" w:ascii="宋体" w:hAnsi="宋体"/>
                <w:color w:val="auto"/>
                <w:szCs w:val="22"/>
                <w:highlight w:val="none"/>
              </w:rPr>
              <w:t>服务名称</w:t>
            </w:r>
          </w:p>
        </w:tc>
        <w:tc>
          <w:tcPr>
            <w:tcW w:w="2709" w:type="dxa"/>
            <w:tcBorders>
              <w:top w:val="single" w:color="auto" w:sz="4" w:space="0"/>
              <w:left w:val="single" w:color="auto" w:sz="4" w:space="0"/>
              <w:bottom w:val="single" w:color="auto" w:sz="4" w:space="0"/>
              <w:right w:val="single" w:color="auto" w:sz="4" w:space="0"/>
            </w:tcBorders>
            <w:vAlign w:val="center"/>
          </w:tcPr>
          <w:p w14:paraId="49817077">
            <w:pPr>
              <w:jc w:val="center"/>
              <w:rPr>
                <w:rFonts w:ascii="宋体" w:hAnsi="宋体"/>
                <w:color w:val="auto"/>
                <w:szCs w:val="22"/>
                <w:highlight w:val="none"/>
              </w:rPr>
            </w:pPr>
            <w:r>
              <w:rPr>
                <w:rFonts w:hint="eastAsia" w:ascii="宋体" w:hAnsi="宋体"/>
                <w:color w:val="auto"/>
                <w:szCs w:val="22"/>
                <w:highlight w:val="none"/>
              </w:rPr>
              <w:t>投标报价（元）</w:t>
            </w:r>
          </w:p>
        </w:tc>
        <w:tc>
          <w:tcPr>
            <w:tcW w:w="1762" w:type="dxa"/>
            <w:tcBorders>
              <w:top w:val="single" w:color="auto" w:sz="4" w:space="0"/>
              <w:left w:val="single" w:color="auto" w:sz="4" w:space="0"/>
              <w:bottom w:val="single" w:color="auto" w:sz="4" w:space="0"/>
              <w:right w:val="single" w:color="auto" w:sz="4" w:space="0"/>
            </w:tcBorders>
            <w:vAlign w:val="center"/>
          </w:tcPr>
          <w:p w14:paraId="05C471F5">
            <w:pPr>
              <w:spacing w:line="360" w:lineRule="auto"/>
              <w:jc w:val="center"/>
              <w:rPr>
                <w:rFonts w:ascii="宋体" w:hAnsi="宋体"/>
                <w:color w:val="auto"/>
                <w:szCs w:val="22"/>
                <w:highlight w:val="none"/>
              </w:rPr>
            </w:pPr>
            <w:r>
              <w:rPr>
                <w:rFonts w:hint="eastAsia" w:ascii="宋体" w:hAnsi="宋体"/>
                <w:color w:val="auto"/>
                <w:szCs w:val="22"/>
                <w:highlight w:val="none"/>
              </w:rPr>
              <w:t>服务时间</w:t>
            </w:r>
          </w:p>
        </w:tc>
        <w:tc>
          <w:tcPr>
            <w:tcW w:w="714" w:type="dxa"/>
            <w:tcBorders>
              <w:top w:val="single" w:color="auto" w:sz="4" w:space="0"/>
              <w:left w:val="single" w:color="auto" w:sz="4" w:space="0"/>
              <w:bottom w:val="single" w:color="auto" w:sz="4" w:space="0"/>
              <w:right w:val="single" w:color="auto" w:sz="4" w:space="0"/>
            </w:tcBorders>
            <w:vAlign w:val="center"/>
          </w:tcPr>
          <w:p w14:paraId="5C54669F">
            <w:pPr>
              <w:jc w:val="center"/>
              <w:rPr>
                <w:rFonts w:ascii="宋体" w:hAnsi="宋体"/>
                <w:color w:val="auto"/>
                <w:szCs w:val="22"/>
                <w:highlight w:val="none"/>
              </w:rPr>
            </w:pPr>
            <w:r>
              <w:rPr>
                <w:rFonts w:hint="eastAsia" w:ascii="宋体" w:hAnsi="宋体"/>
                <w:color w:val="auto"/>
                <w:szCs w:val="22"/>
                <w:highlight w:val="none"/>
              </w:rPr>
              <w:t>备注</w:t>
            </w:r>
          </w:p>
        </w:tc>
      </w:tr>
      <w:tr w14:paraId="5202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6" w:hRule="atLeast"/>
        </w:trPr>
        <w:tc>
          <w:tcPr>
            <w:tcW w:w="720" w:type="dxa"/>
            <w:tcBorders>
              <w:top w:val="single" w:color="auto" w:sz="4" w:space="0"/>
              <w:left w:val="single" w:color="auto" w:sz="4" w:space="0"/>
              <w:bottom w:val="single" w:color="auto" w:sz="4" w:space="0"/>
              <w:right w:val="single" w:color="auto" w:sz="4" w:space="0"/>
            </w:tcBorders>
            <w:vAlign w:val="center"/>
          </w:tcPr>
          <w:p w14:paraId="503E1A0C">
            <w:pPr>
              <w:jc w:val="center"/>
              <w:rPr>
                <w:rFonts w:ascii="宋体" w:hAnsi="宋体"/>
                <w:color w:val="auto"/>
                <w:szCs w:val="22"/>
                <w:highlight w:val="none"/>
              </w:rPr>
            </w:pPr>
            <w:r>
              <w:rPr>
                <w:rFonts w:ascii="宋体" w:hAnsi="宋体"/>
                <w:color w:val="auto"/>
                <w:szCs w:val="22"/>
                <w:highlight w:val="none"/>
              </w:rPr>
              <w:t>1</w:t>
            </w:r>
          </w:p>
        </w:tc>
        <w:tc>
          <w:tcPr>
            <w:tcW w:w="3930" w:type="dxa"/>
            <w:tcBorders>
              <w:top w:val="single" w:color="auto" w:sz="4" w:space="0"/>
              <w:left w:val="single" w:color="auto" w:sz="4" w:space="0"/>
              <w:bottom w:val="single" w:color="auto" w:sz="4" w:space="0"/>
              <w:right w:val="single" w:color="auto" w:sz="4" w:space="0"/>
            </w:tcBorders>
            <w:vAlign w:val="center"/>
          </w:tcPr>
          <w:p w14:paraId="797A2B60">
            <w:pPr>
              <w:rPr>
                <w:rFonts w:ascii="宋体" w:hAnsi="宋体"/>
                <w:color w:val="auto"/>
                <w:szCs w:val="22"/>
                <w:highlight w:val="none"/>
              </w:rPr>
            </w:pPr>
          </w:p>
        </w:tc>
        <w:tc>
          <w:tcPr>
            <w:tcW w:w="2709" w:type="dxa"/>
            <w:tcBorders>
              <w:top w:val="single" w:color="auto" w:sz="4" w:space="0"/>
              <w:left w:val="single" w:color="auto" w:sz="4" w:space="0"/>
              <w:bottom w:val="single" w:color="auto" w:sz="4" w:space="0"/>
              <w:right w:val="single" w:color="auto" w:sz="4" w:space="0"/>
            </w:tcBorders>
            <w:vAlign w:val="center"/>
          </w:tcPr>
          <w:p w14:paraId="5EDF0D17">
            <w:pPr>
              <w:rPr>
                <w:rFonts w:ascii="宋体" w:hAnsi="宋体"/>
                <w:color w:val="auto"/>
                <w:szCs w:val="22"/>
                <w:highlight w:val="none"/>
              </w:rPr>
            </w:pPr>
          </w:p>
        </w:tc>
        <w:tc>
          <w:tcPr>
            <w:tcW w:w="1762" w:type="dxa"/>
            <w:tcBorders>
              <w:top w:val="single" w:color="auto" w:sz="4" w:space="0"/>
              <w:left w:val="single" w:color="auto" w:sz="4" w:space="0"/>
              <w:bottom w:val="single" w:color="auto" w:sz="4" w:space="0"/>
              <w:right w:val="single" w:color="auto" w:sz="4" w:space="0"/>
            </w:tcBorders>
          </w:tcPr>
          <w:p w14:paraId="2E061814">
            <w:pPr>
              <w:rPr>
                <w:rFonts w:ascii="宋体" w:hAnsi="宋体"/>
                <w:color w:val="auto"/>
                <w:szCs w:val="22"/>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3AD6803F">
            <w:pPr>
              <w:rPr>
                <w:rFonts w:ascii="宋体" w:hAnsi="宋体"/>
                <w:color w:val="auto"/>
                <w:szCs w:val="22"/>
                <w:highlight w:val="none"/>
              </w:rPr>
            </w:pPr>
          </w:p>
        </w:tc>
      </w:tr>
      <w:tr w14:paraId="14E9A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8" w:hRule="atLeast"/>
        </w:trPr>
        <w:tc>
          <w:tcPr>
            <w:tcW w:w="9835" w:type="dxa"/>
            <w:gridSpan w:val="5"/>
            <w:tcBorders>
              <w:top w:val="single" w:color="auto" w:sz="4" w:space="0"/>
              <w:left w:val="single" w:color="auto" w:sz="4" w:space="0"/>
              <w:bottom w:val="single" w:color="auto" w:sz="4" w:space="0"/>
              <w:right w:val="single" w:color="auto" w:sz="4" w:space="0"/>
            </w:tcBorders>
          </w:tcPr>
          <w:p w14:paraId="4FAF58AC">
            <w:pPr>
              <w:rPr>
                <w:rFonts w:ascii="宋体" w:hAnsi="宋体"/>
                <w:color w:val="auto"/>
                <w:szCs w:val="22"/>
                <w:highlight w:val="none"/>
              </w:rPr>
            </w:pPr>
            <w:r>
              <w:rPr>
                <w:rFonts w:hint="eastAsia" w:ascii="宋体" w:hAnsi="宋体"/>
                <w:color w:val="auto"/>
                <w:szCs w:val="22"/>
                <w:highlight w:val="none"/>
              </w:rPr>
              <w:t>报价合计（包含税费等所有费用）：（大写）人民币</w:t>
            </w:r>
            <w:r>
              <w:rPr>
                <w:rFonts w:ascii="宋体" w:hAnsi="宋体"/>
                <w:color w:val="auto"/>
                <w:szCs w:val="22"/>
                <w:highlight w:val="none"/>
              </w:rPr>
              <w:t xml:space="preserve">                                       </w:t>
            </w:r>
            <w:r>
              <w:rPr>
                <w:rFonts w:hint="eastAsia" w:ascii="宋体" w:hAnsi="宋体"/>
                <w:color w:val="auto"/>
                <w:szCs w:val="22"/>
                <w:highlight w:val="none"/>
              </w:rPr>
              <w:t>（￥</w:t>
            </w:r>
            <w:r>
              <w:rPr>
                <w:rFonts w:ascii="宋体" w:hAnsi="宋体"/>
                <w:color w:val="auto"/>
                <w:szCs w:val="22"/>
                <w:highlight w:val="none"/>
              </w:rPr>
              <w:t xml:space="preserve">                </w:t>
            </w:r>
            <w:r>
              <w:rPr>
                <w:rFonts w:hint="eastAsia" w:ascii="宋体" w:hAnsi="宋体"/>
                <w:color w:val="auto"/>
                <w:szCs w:val="22"/>
                <w:highlight w:val="none"/>
              </w:rPr>
              <w:t>元）</w:t>
            </w:r>
          </w:p>
        </w:tc>
      </w:tr>
      <w:tr w14:paraId="198E9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6" w:hRule="atLeast"/>
        </w:trPr>
        <w:tc>
          <w:tcPr>
            <w:tcW w:w="9835" w:type="dxa"/>
            <w:gridSpan w:val="5"/>
            <w:tcBorders>
              <w:top w:val="single" w:color="auto" w:sz="4" w:space="0"/>
              <w:left w:val="single" w:color="auto" w:sz="4" w:space="0"/>
              <w:bottom w:val="single" w:color="auto" w:sz="4" w:space="0"/>
              <w:right w:val="single" w:color="auto" w:sz="4" w:space="0"/>
            </w:tcBorders>
          </w:tcPr>
          <w:p w14:paraId="636558B7">
            <w:pPr>
              <w:rPr>
                <w:rFonts w:ascii="宋体" w:hAnsi="宋体"/>
                <w:color w:val="auto"/>
                <w:szCs w:val="22"/>
                <w:highlight w:val="none"/>
              </w:rPr>
            </w:pPr>
            <w:r>
              <w:rPr>
                <w:rFonts w:hint="eastAsia" w:ascii="宋体" w:hAnsi="宋体"/>
                <w:color w:val="auto"/>
                <w:szCs w:val="22"/>
                <w:highlight w:val="none"/>
              </w:rPr>
              <w:t>报价为人民币含税价，总价包干。包括但不限于：</w:t>
            </w:r>
          </w:p>
          <w:p w14:paraId="4209510D">
            <w:pPr>
              <w:rPr>
                <w:rFonts w:ascii="宋体" w:hAnsi="宋体"/>
                <w:color w:val="auto"/>
                <w:szCs w:val="22"/>
                <w:highlight w:val="none"/>
              </w:rPr>
            </w:pPr>
            <w:r>
              <w:rPr>
                <w:rFonts w:hint="eastAsia" w:ascii="宋体" w:hAnsi="宋体"/>
                <w:color w:val="auto"/>
                <w:szCs w:val="22"/>
                <w:highlight w:val="none"/>
              </w:rPr>
              <w:t>（1）完成本次服务的价格（包括但不限于支持零工市场、就业服务站公共就业服务的规范配备（全新）、运营团队人员投入、人员报酬/住宿/交通</w:t>
            </w:r>
            <w:r>
              <w:rPr>
                <w:rFonts w:hint="eastAsia" w:ascii="宋体" w:hAnsi="宋体"/>
                <w:color w:val="auto"/>
                <w:szCs w:val="22"/>
                <w:highlight w:val="none"/>
                <w:lang w:eastAsia="zh-CN"/>
              </w:rPr>
              <w:t>，以</w:t>
            </w:r>
            <w:r>
              <w:rPr>
                <w:rFonts w:hint="eastAsia" w:ascii="宋体" w:hAnsi="宋体"/>
                <w:color w:val="auto"/>
                <w:szCs w:val="22"/>
                <w:highlight w:val="none"/>
              </w:rPr>
              <w:t>及为群众和用人单位提供咨询服务、求职服务、零工服务、创业服务、技能培训、就业援助、劳动维权、信息平台投入等）；</w:t>
            </w:r>
          </w:p>
          <w:p w14:paraId="7A774120">
            <w:pPr>
              <w:rPr>
                <w:rFonts w:ascii="宋体" w:hAnsi="宋体"/>
                <w:color w:val="auto"/>
                <w:szCs w:val="22"/>
                <w:highlight w:val="none"/>
              </w:rPr>
            </w:pPr>
            <w:r>
              <w:rPr>
                <w:rFonts w:hint="eastAsia" w:ascii="宋体" w:hAnsi="宋体"/>
                <w:color w:val="auto"/>
                <w:szCs w:val="22"/>
                <w:highlight w:val="none"/>
              </w:rPr>
              <w:t>（2）必要的保险费用和各项税金；</w:t>
            </w:r>
          </w:p>
          <w:p w14:paraId="4C0A6DEC">
            <w:pPr>
              <w:rPr>
                <w:rFonts w:ascii="宋体" w:hAnsi="宋体"/>
                <w:color w:val="auto"/>
                <w:szCs w:val="22"/>
                <w:highlight w:val="none"/>
              </w:rPr>
            </w:pPr>
            <w:r>
              <w:rPr>
                <w:rFonts w:hint="eastAsia" w:ascii="宋体" w:hAnsi="宋体"/>
                <w:color w:val="auto"/>
                <w:szCs w:val="22"/>
                <w:highlight w:val="none"/>
              </w:rPr>
              <w:t>（3）项目验收的费用、后期的技术支持、售后服务（如有）的费用；</w:t>
            </w:r>
          </w:p>
          <w:p w14:paraId="4727D5F8">
            <w:pPr>
              <w:rPr>
                <w:rFonts w:ascii="宋体" w:hAnsi="宋体"/>
                <w:color w:val="auto"/>
                <w:szCs w:val="22"/>
                <w:highlight w:val="none"/>
              </w:rPr>
            </w:pPr>
            <w:r>
              <w:rPr>
                <w:rFonts w:hint="eastAsia" w:ascii="宋体" w:hAnsi="宋体"/>
                <w:color w:val="auto"/>
                <w:szCs w:val="22"/>
                <w:highlight w:val="none"/>
              </w:rPr>
              <w:t>（4）招标代理服务费、管理、保险、税费、利润等，以及合同明示或暗示的所有责任、义务和一般风险等。</w:t>
            </w:r>
          </w:p>
          <w:p w14:paraId="5E485FC3">
            <w:pPr>
              <w:rPr>
                <w:rFonts w:ascii="宋体" w:hAnsi="宋体"/>
                <w:color w:val="auto"/>
                <w:szCs w:val="22"/>
                <w:highlight w:val="none"/>
              </w:rPr>
            </w:pPr>
            <w:r>
              <w:rPr>
                <w:rFonts w:hint="eastAsia" w:ascii="宋体" w:hAnsi="宋体"/>
                <w:color w:val="auto"/>
                <w:szCs w:val="22"/>
                <w:highlight w:val="none"/>
              </w:rPr>
              <w:t>（5）投标人需提供18个站点的分项报价。</w:t>
            </w:r>
          </w:p>
        </w:tc>
      </w:tr>
    </w:tbl>
    <w:p w14:paraId="0F86B513">
      <w:pPr>
        <w:snapToGrid w:val="0"/>
        <w:spacing w:before="50" w:after="50"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注： </w:t>
      </w:r>
    </w:p>
    <w:p w14:paraId="3DDD4E47">
      <w:pPr>
        <w:snapToGrid w:val="0"/>
        <w:spacing w:before="50" w:after="50"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1.本表内容均不能涂改，</w:t>
      </w:r>
      <w:r>
        <w:rPr>
          <w:rFonts w:hint="eastAsia" w:ascii="仿宋" w:hAnsi="仿宋" w:eastAsia="仿宋" w:cs="仿宋"/>
          <w:b/>
          <w:color w:val="auto"/>
          <w:kern w:val="0"/>
          <w:sz w:val="24"/>
          <w:highlight w:val="none"/>
          <w:lang w:val="zh-CN"/>
        </w:rPr>
        <w:t>否则其投标作无效标处理。</w:t>
      </w:r>
    </w:p>
    <w:p w14:paraId="6E10D25B">
      <w:pPr>
        <w:snapToGri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eastAsia="zh-CN"/>
        </w:rPr>
        <w:t>2.</w:t>
      </w:r>
      <w:r>
        <w:rPr>
          <w:rFonts w:hint="eastAsia" w:ascii="仿宋" w:hAnsi="仿宋" w:eastAsia="仿宋" w:cs="仿宋"/>
          <w:color w:val="auto"/>
          <w:kern w:val="0"/>
          <w:sz w:val="24"/>
          <w:highlight w:val="none"/>
          <w:lang w:val="zh-CN"/>
        </w:rPr>
        <w:t>特别提示：采购机构将对项目名称和项目编号，中标供应商名称、地址和中标金额，主要中标标的的名称、服务范围、服务要求、服务时间、服务标准等予以公示。</w:t>
      </w:r>
    </w:p>
    <w:p w14:paraId="1662E1BA">
      <w:pPr>
        <w:snapToGri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eastAsia="zh-CN"/>
        </w:rPr>
        <w:t>3.</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6A7A4900">
      <w:pPr>
        <w:snapToGrid w:val="0"/>
        <w:spacing w:line="360" w:lineRule="auto"/>
        <w:ind w:firstLine="5040" w:firstLineChars="2100"/>
        <w:rPr>
          <w:rFonts w:ascii="仿宋" w:hAnsi="仿宋" w:eastAsia="仿宋" w:cs="仿宋"/>
          <w:color w:val="auto"/>
          <w:kern w:val="0"/>
          <w:sz w:val="24"/>
          <w:highlight w:val="none"/>
          <w:lang w:val="zh-CN"/>
        </w:rPr>
      </w:pPr>
    </w:p>
    <w:p w14:paraId="704F7A2F">
      <w:pPr>
        <w:snapToGrid w:val="0"/>
        <w:spacing w:line="360" w:lineRule="auto"/>
        <w:ind w:firstLine="5040" w:firstLineChars="21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投标人名称（电子签章）：</w:t>
      </w:r>
    </w:p>
    <w:p w14:paraId="340F6093">
      <w:pPr>
        <w:snapToGrid w:val="0"/>
        <w:spacing w:line="360" w:lineRule="auto"/>
        <w:ind w:firstLine="5160" w:firstLineChars="215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4CF8B8D9">
      <w:pPr>
        <w:snapToGrid w:val="0"/>
        <w:spacing w:line="360" w:lineRule="auto"/>
        <w:ind w:firstLine="5160" w:firstLineChars="2150"/>
        <w:rPr>
          <w:rFonts w:ascii="仿宋" w:hAnsi="仿宋" w:eastAsia="仿宋" w:cs="仿宋"/>
          <w:color w:val="auto"/>
          <w:kern w:val="0"/>
          <w:sz w:val="24"/>
          <w:highlight w:val="none"/>
          <w:lang w:val="zh-CN"/>
        </w:rPr>
      </w:pPr>
    </w:p>
    <w:p w14:paraId="7CD847AD">
      <w:pPr>
        <w:snapToGrid w:val="0"/>
        <w:spacing w:line="360" w:lineRule="auto"/>
        <w:ind w:firstLine="5160" w:firstLineChars="2150"/>
        <w:rPr>
          <w:rFonts w:ascii="仿宋" w:hAnsi="仿宋" w:eastAsia="仿宋" w:cs="仿宋"/>
          <w:color w:val="auto"/>
          <w:kern w:val="0"/>
          <w:sz w:val="24"/>
          <w:highlight w:val="none"/>
          <w:lang w:val="zh-CN"/>
        </w:rPr>
      </w:pPr>
    </w:p>
    <w:p w14:paraId="1042B8CD">
      <w:pPr>
        <w:snapToGrid w:val="0"/>
        <w:spacing w:line="360" w:lineRule="auto"/>
        <w:ind w:firstLine="5160" w:firstLineChars="2150"/>
        <w:rPr>
          <w:rFonts w:ascii="仿宋" w:hAnsi="仿宋" w:eastAsia="仿宋" w:cs="仿宋"/>
          <w:color w:val="auto"/>
          <w:kern w:val="0"/>
          <w:sz w:val="24"/>
          <w:highlight w:val="none"/>
          <w:lang w:val="zh-CN"/>
        </w:rPr>
      </w:pPr>
    </w:p>
    <w:p w14:paraId="6AB85B2D">
      <w:pPr>
        <w:pStyle w:val="14"/>
        <w:spacing w:line="360" w:lineRule="auto"/>
        <w:jc w:val="center"/>
        <w:rPr>
          <w:b/>
          <w:color w:val="auto"/>
          <w:sz w:val="30"/>
          <w:szCs w:val="30"/>
          <w:highlight w:val="none"/>
        </w:rPr>
      </w:pPr>
      <w:r>
        <w:rPr>
          <w:rFonts w:hint="eastAsia" w:ascii="仿宋" w:hAnsi="仿宋" w:eastAsia="仿宋" w:cs="仿宋"/>
          <w:color w:val="auto"/>
          <w:kern w:val="0"/>
          <w:sz w:val="24"/>
          <w:highlight w:val="none"/>
          <w:lang w:val="zh-CN"/>
        </w:rPr>
        <w:br w:type="page"/>
      </w:r>
      <w:r>
        <w:rPr>
          <w:rFonts w:hint="eastAsia" w:hAnsi="宋体"/>
          <w:color w:val="auto"/>
          <w:sz w:val="30"/>
          <w:highlight w:val="none"/>
        </w:rPr>
        <w:t>二、</w:t>
      </w:r>
      <w:r>
        <w:rPr>
          <w:rFonts w:hint="eastAsia"/>
          <w:b/>
          <w:color w:val="auto"/>
          <w:sz w:val="30"/>
          <w:szCs w:val="30"/>
          <w:highlight w:val="none"/>
        </w:rPr>
        <w:t>报价明细表</w:t>
      </w:r>
    </w:p>
    <w:tbl>
      <w:tblPr>
        <w:tblStyle w:val="35"/>
        <w:tblpPr w:leftFromText="180" w:rightFromText="180" w:vertAnchor="text" w:horzAnchor="page" w:tblpX="902" w:tblpY="586"/>
        <w:tblOverlap w:val="never"/>
        <w:tblW w:w="9740" w:type="dxa"/>
        <w:tblInd w:w="0" w:type="dxa"/>
        <w:tblLayout w:type="fixed"/>
        <w:tblCellMar>
          <w:top w:w="0" w:type="dxa"/>
          <w:left w:w="0" w:type="dxa"/>
          <w:bottom w:w="0" w:type="dxa"/>
          <w:right w:w="0" w:type="dxa"/>
        </w:tblCellMar>
      </w:tblPr>
      <w:tblGrid>
        <w:gridCol w:w="307"/>
        <w:gridCol w:w="700"/>
        <w:gridCol w:w="1921"/>
        <w:gridCol w:w="2203"/>
        <w:gridCol w:w="960"/>
        <w:gridCol w:w="852"/>
        <w:gridCol w:w="440"/>
        <w:gridCol w:w="684"/>
        <w:gridCol w:w="584"/>
        <w:gridCol w:w="701"/>
        <w:gridCol w:w="388"/>
      </w:tblGrid>
      <w:tr w14:paraId="253D87C6">
        <w:tblPrEx>
          <w:tblCellMar>
            <w:top w:w="0" w:type="dxa"/>
            <w:left w:w="0" w:type="dxa"/>
            <w:bottom w:w="0" w:type="dxa"/>
            <w:right w:w="0" w:type="dxa"/>
          </w:tblCellMar>
        </w:tblPrEx>
        <w:trPr>
          <w:cantSplit/>
          <w:trHeight w:val="645" w:hRule="atLeast"/>
        </w:trPr>
        <w:tc>
          <w:tcPr>
            <w:tcW w:w="974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EAADC">
            <w:pPr>
              <w:spacing w:line="560" w:lineRule="exact"/>
              <w:jc w:val="center"/>
              <w:rPr>
                <w:rFonts w:ascii="Arial" w:hAnsi="Arial" w:cs="Arial"/>
                <w:b/>
                <w:color w:val="auto"/>
                <w:szCs w:val="21"/>
                <w:highlight w:val="none"/>
                <w:lang w:bidi="ar"/>
              </w:rPr>
            </w:pPr>
            <w:r>
              <w:rPr>
                <w:rFonts w:ascii="Arial" w:hAnsi="Arial" w:cs="Arial"/>
                <w:color w:val="auto"/>
                <w:sz w:val="32"/>
                <w:szCs w:val="32"/>
                <w:highlight w:val="none"/>
                <w:lang w:bidi="ar"/>
              </w:rPr>
              <w:t>宾阳县县域公共就业服务能力提升项目站点分布明细表</w:t>
            </w:r>
            <w:r>
              <w:rPr>
                <w:rFonts w:hint="eastAsia" w:ascii="Arial" w:hAnsi="Arial" w:cs="Arial"/>
                <w:color w:val="auto"/>
                <w:sz w:val="32"/>
                <w:szCs w:val="32"/>
                <w:highlight w:val="none"/>
                <w:lang w:bidi="ar"/>
              </w:rPr>
              <w:t>（报价明细表）</w:t>
            </w:r>
          </w:p>
        </w:tc>
      </w:tr>
      <w:tr w14:paraId="7F37A4C5">
        <w:tblPrEx>
          <w:tblCellMar>
            <w:top w:w="0" w:type="dxa"/>
            <w:left w:w="0" w:type="dxa"/>
            <w:bottom w:w="0" w:type="dxa"/>
            <w:right w:w="0" w:type="dxa"/>
          </w:tblCellMar>
        </w:tblPrEx>
        <w:trPr>
          <w:cantSplit/>
          <w:trHeight w:val="645" w:hRule="atLeast"/>
        </w:trPr>
        <w:tc>
          <w:tcPr>
            <w:tcW w:w="3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E8634">
            <w:pPr>
              <w:widowControl/>
              <w:spacing w:line="360" w:lineRule="exact"/>
              <w:jc w:val="center"/>
              <w:textAlignment w:val="center"/>
              <w:rPr>
                <w:rFonts w:ascii="Arial" w:hAnsi="Arial" w:cs="Arial"/>
                <w:b/>
                <w:color w:val="auto"/>
                <w:szCs w:val="21"/>
                <w:highlight w:val="none"/>
              </w:rPr>
            </w:pPr>
            <w:r>
              <w:rPr>
                <w:rFonts w:ascii="Arial" w:hAnsi="Arial" w:cs="Arial"/>
                <w:b/>
                <w:color w:val="auto"/>
                <w:kern w:val="0"/>
                <w:szCs w:val="21"/>
                <w:highlight w:val="none"/>
                <w:lang w:bidi="ar"/>
              </w:rPr>
              <w:t>序号</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F597A">
            <w:pPr>
              <w:widowControl/>
              <w:spacing w:line="360" w:lineRule="exact"/>
              <w:jc w:val="center"/>
              <w:textAlignment w:val="center"/>
              <w:rPr>
                <w:rFonts w:ascii="Arial" w:hAnsi="Arial" w:cs="Arial"/>
                <w:b/>
                <w:color w:val="auto"/>
                <w:kern w:val="0"/>
                <w:szCs w:val="21"/>
                <w:highlight w:val="none"/>
              </w:rPr>
            </w:pPr>
            <w:r>
              <w:rPr>
                <w:rFonts w:ascii="Arial" w:hAnsi="Arial" w:cs="Arial"/>
                <w:b/>
                <w:color w:val="auto"/>
                <w:kern w:val="0"/>
                <w:szCs w:val="21"/>
                <w:highlight w:val="none"/>
                <w:lang w:bidi="ar"/>
              </w:rPr>
              <w:t>乡镇</w:t>
            </w:r>
          </w:p>
        </w:tc>
        <w:tc>
          <w:tcPr>
            <w:tcW w:w="192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D855F8">
            <w:pPr>
              <w:widowControl/>
              <w:spacing w:line="360" w:lineRule="exact"/>
              <w:jc w:val="center"/>
              <w:textAlignment w:val="center"/>
              <w:rPr>
                <w:rFonts w:ascii="Arial" w:hAnsi="Arial" w:cs="Arial"/>
                <w:b/>
                <w:color w:val="auto"/>
                <w:szCs w:val="21"/>
                <w:highlight w:val="none"/>
              </w:rPr>
            </w:pPr>
            <w:r>
              <w:rPr>
                <w:rFonts w:ascii="Arial" w:hAnsi="Arial" w:cs="Arial"/>
                <w:b/>
                <w:color w:val="auto"/>
                <w:kern w:val="0"/>
                <w:szCs w:val="21"/>
                <w:highlight w:val="none"/>
                <w:lang w:bidi="ar"/>
              </w:rPr>
              <w:t>站点名称</w:t>
            </w:r>
          </w:p>
        </w:tc>
        <w:tc>
          <w:tcPr>
            <w:tcW w:w="220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66CADB">
            <w:pPr>
              <w:widowControl/>
              <w:spacing w:line="360" w:lineRule="exact"/>
              <w:jc w:val="center"/>
              <w:textAlignment w:val="center"/>
              <w:rPr>
                <w:rFonts w:ascii="Arial" w:hAnsi="Arial" w:cs="Arial"/>
                <w:b/>
                <w:color w:val="auto"/>
                <w:szCs w:val="21"/>
                <w:highlight w:val="none"/>
              </w:rPr>
            </w:pPr>
            <w:r>
              <w:rPr>
                <w:rFonts w:ascii="Arial" w:hAnsi="Arial" w:cs="Arial"/>
                <w:b/>
                <w:color w:val="auto"/>
                <w:kern w:val="0"/>
                <w:szCs w:val="21"/>
                <w:highlight w:val="none"/>
                <w:lang w:bidi="ar"/>
              </w:rPr>
              <w:t>站点位置</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12380">
            <w:pPr>
              <w:widowControl/>
              <w:spacing w:line="360" w:lineRule="exact"/>
              <w:jc w:val="center"/>
              <w:textAlignment w:val="center"/>
              <w:rPr>
                <w:rFonts w:ascii="Arial" w:hAnsi="Arial" w:cs="Arial"/>
                <w:b/>
                <w:color w:val="auto"/>
                <w:szCs w:val="21"/>
                <w:highlight w:val="none"/>
              </w:rPr>
            </w:pPr>
            <w:r>
              <w:rPr>
                <w:rFonts w:ascii="Arial" w:hAnsi="Arial" w:cs="Arial"/>
                <w:b/>
                <w:color w:val="auto"/>
                <w:kern w:val="0"/>
                <w:szCs w:val="21"/>
                <w:highlight w:val="none"/>
                <w:lang w:bidi="ar"/>
              </w:rPr>
              <w:t>站点类型</w:t>
            </w:r>
          </w:p>
        </w:tc>
        <w:tc>
          <w:tcPr>
            <w:tcW w:w="8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BCD94">
            <w:pPr>
              <w:widowControl/>
              <w:spacing w:line="360" w:lineRule="exact"/>
              <w:jc w:val="center"/>
              <w:textAlignment w:val="center"/>
              <w:rPr>
                <w:rFonts w:ascii="Arial" w:hAnsi="Arial" w:cs="Arial"/>
                <w:b/>
                <w:color w:val="auto"/>
                <w:kern w:val="0"/>
                <w:szCs w:val="21"/>
                <w:highlight w:val="none"/>
              </w:rPr>
            </w:pPr>
            <w:r>
              <w:rPr>
                <w:rFonts w:ascii="Arial" w:hAnsi="Arial" w:cs="Arial"/>
                <w:b/>
                <w:color w:val="auto"/>
                <w:kern w:val="0"/>
                <w:szCs w:val="21"/>
                <w:highlight w:val="none"/>
                <w:lang w:bidi="ar"/>
              </w:rPr>
              <w:t>场地面积</w:t>
            </w:r>
          </w:p>
          <w:p w14:paraId="1B4A65B5">
            <w:pPr>
              <w:widowControl/>
              <w:spacing w:line="360" w:lineRule="exact"/>
              <w:textAlignment w:val="center"/>
              <w:rPr>
                <w:rFonts w:ascii="Arial" w:hAnsi="Arial" w:cs="Arial"/>
                <w:b/>
                <w:color w:val="auto"/>
                <w:szCs w:val="21"/>
                <w:highlight w:val="none"/>
              </w:rPr>
            </w:pPr>
            <w:r>
              <w:rPr>
                <w:rFonts w:ascii="Arial" w:hAnsi="Arial" w:cs="Arial"/>
                <w:b/>
                <w:color w:val="auto"/>
                <w:kern w:val="0"/>
                <w:szCs w:val="21"/>
                <w:highlight w:val="none"/>
                <w:lang w:bidi="ar"/>
              </w:rPr>
              <w:t>（平方米）</w:t>
            </w:r>
          </w:p>
        </w:tc>
        <w:tc>
          <w:tcPr>
            <w:tcW w:w="17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C9A69">
            <w:pPr>
              <w:widowControl/>
              <w:spacing w:line="36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经费预算（万元）</w:t>
            </w:r>
          </w:p>
        </w:tc>
        <w:tc>
          <w:tcPr>
            <w:tcW w:w="70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C76D4">
            <w:pPr>
              <w:widowControl/>
              <w:tabs>
                <w:tab w:val="left" w:pos="205"/>
              </w:tabs>
              <w:spacing w:line="360" w:lineRule="exact"/>
              <w:textAlignment w:val="center"/>
              <w:rPr>
                <w:rFonts w:ascii="Arial" w:hAnsi="Arial" w:cs="Arial"/>
                <w:b/>
                <w:color w:val="auto"/>
                <w:szCs w:val="21"/>
                <w:highlight w:val="none"/>
              </w:rPr>
            </w:pPr>
            <w:r>
              <w:rPr>
                <w:rFonts w:ascii="Arial" w:hAnsi="Arial" w:cs="Arial"/>
                <w:b/>
                <w:color w:val="auto"/>
                <w:szCs w:val="21"/>
                <w:highlight w:val="none"/>
                <w:lang w:bidi="ar"/>
              </w:rPr>
              <w:t>人员配备（不少于）</w:t>
            </w:r>
          </w:p>
        </w:tc>
        <w:tc>
          <w:tcPr>
            <w:tcW w:w="3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75DD6">
            <w:pPr>
              <w:widowControl/>
              <w:tabs>
                <w:tab w:val="left" w:pos="205"/>
              </w:tabs>
              <w:spacing w:line="360" w:lineRule="exact"/>
              <w:jc w:val="left"/>
              <w:textAlignment w:val="center"/>
              <w:rPr>
                <w:rFonts w:ascii="Arial" w:hAnsi="Arial" w:cs="Arial"/>
                <w:b/>
                <w:color w:val="auto"/>
                <w:szCs w:val="21"/>
                <w:highlight w:val="none"/>
              </w:rPr>
            </w:pPr>
            <w:r>
              <w:rPr>
                <w:rFonts w:ascii="Arial" w:hAnsi="Arial" w:cs="Arial"/>
                <w:b/>
                <w:color w:val="auto"/>
                <w:szCs w:val="21"/>
                <w:highlight w:val="none"/>
                <w:lang w:bidi="ar"/>
              </w:rPr>
              <w:t>备注</w:t>
            </w:r>
          </w:p>
        </w:tc>
      </w:tr>
      <w:tr w14:paraId="6FD274C2">
        <w:tblPrEx>
          <w:tblCellMar>
            <w:top w:w="0" w:type="dxa"/>
            <w:left w:w="0" w:type="dxa"/>
            <w:bottom w:w="0" w:type="dxa"/>
            <w:right w:w="0" w:type="dxa"/>
          </w:tblCellMar>
        </w:tblPrEx>
        <w:trPr>
          <w:cantSplit/>
          <w:trHeight w:val="853" w:hRule="atLeast"/>
        </w:trPr>
        <w:tc>
          <w:tcPr>
            <w:tcW w:w="3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90517">
            <w:pPr>
              <w:rPr>
                <w:rFonts w:ascii="Arial" w:hAnsi="Arial" w:cs="Arial"/>
                <w:color w:val="auto"/>
                <w:szCs w:val="21"/>
                <w:highlight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51003">
            <w:pPr>
              <w:rPr>
                <w:rFonts w:ascii="Arial" w:hAnsi="Arial" w:cs="Arial"/>
                <w:color w:val="auto"/>
                <w:szCs w:val="21"/>
                <w:highlight w:val="none"/>
              </w:rPr>
            </w:pPr>
          </w:p>
        </w:tc>
        <w:tc>
          <w:tcPr>
            <w:tcW w:w="19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3EF98">
            <w:pPr>
              <w:rPr>
                <w:rFonts w:ascii="Arial" w:hAnsi="Arial" w:cs="Arial"/>
                <w:color w:val="auto"/>
                <w:szCs w:val="21"/>
                <w:highlight w:val="none"/>
              </w:rPr>
            </w:pPr>
          </w:p>
        </w:tc>
        <w:tc>
          <w:tcPr>
            <w:tcW w:w="22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B9660">
            <w:pPr>
              <w:rPr>
                <w:rFonts w:ascii="Arial" w:hAnsi="Arial" w:cs="Arial"/>
                <w:color w:val="auto"/>
                <w:szCs w:val="21"/>
                <w:highlight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4B9F6">
            <w:pPr>
              <w:rPr>
                <w:rFonts w:ascii="Arial" w:hAnsi="Arial" w:cs="Arial"/>
                <w:color w:val="auto"/>
                <w:szCs w:val="21"/>
                <w:highlight w:val="none"/>
              </w:rPr>
            </w:pPr>
          </w:p>
        </w:tc>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F1171">
            <w:pPr>
              <w:rPr>
                <w:rFonts w:ascii="Arial" w:hAnsi="Arial" w:cs="Arial"/>
                <w:color w:val="auto"/>
                <w:szCs w:val="21"/>
                <w:highlight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D1EA6">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合计</w:t>
            </w:r>
          </w:p>
        </w:tc>
        <w:tc>
          <w:tcPr>
            <w:tcW w:w="68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DB739">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第一年</w:t>
            </w:r>
          </w:p>
        </w:tc>
        <w:tc>
          <w:tcPr>
            <w:tcW w:w="58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AD55C">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第二年</w:t>
            </w: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7E11F">
            <w:pPr>
              <w:rPr>
                <w:rFonts w:ascii="Arial" w:hAnsi="Arial" w:cs="Arial"/>
                <w:color w:val="auto"/>
                <w:szCs w:val="21"/>
                <w:highlight w:val="none"/>
              </w:rPr>
            </w:pPr>
          </w:p>
        </w:tc>
        <w:tc>
          <w:tcPr>
            <w:tcW w:w="3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42CAA">
            <w:pPr>
              <w:rPr>
                <w:rFonts w:ascii="Arial" w:hAnsi="Arial" w:cs="Arial"/>
                <w:color w:val="auto"/>
                <w:szCs w:val="21"/>
                <w:highlight w:val="none"/>
              </w:rPr>
            </w:pPr>
          </w:p>
        </w:tc>
      </w:tr>
      <w:tr w14:paraId="1E4224E8">
        <w:tblPrEx>
          <w:tblCellMar>
            <w:top w:w="0" w:type="dxa"/>
            <w:left w:w="0" w:type="dxa"/>
            <w:bottom w:w="0" w:type="dxa"/>
            <w:right w:w="0" w:type="dxa"/>
          </w:tblCellMar>
        </w:tblPrEx>
        <w:trPr>
          <w:cantSplit/>
          <w:trHeight w:val="1630"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6322E">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w:t>
            </w:r>
          </w:p>
        </w:tc>
        <w:tc>
          <w:tcPr>
            <w:tcW w:w="7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F500AB7">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宾州镇</w:t>
            </w:r>
          </w:p>
        </w:tc>
        <w:tc>
          <w:tcPr>
            <w:tcW w:w="192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CB7FFFF">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宾阳县人力资源市场（加挂宾阳县零工市场）</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4BAAB">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宾阳县宾州镇临浦路457号</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A14A8">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人力资源市场（加挂零工市场）</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71F09">
            <w:pPr>
              <w:widowControl/>
              <w:spacing w:line="400" w:lineRule="exact"/>
              <w:jc w:val="center"/>
              <w:textAlignment w:val="center"/>
              <w:rPr>
                <w:rFonts w:ascii="Arial" w:hAnsi="Arial" w:cs="Arial"/>
                <w:bCs/>
                <w:color w:val="auto"/>
                <w:szCs w:val="21"/>
                <w:highlight w:val="none"/>
              </w:rPr>
            </w:pPr>
            <w:r>
              <w:rPr>
                <w:rFonts w:hint="eastAsia" w:ascii="Arial" w:hAnsi="Arial" w:cs="Arial"/>
                <w:bCs/>
                <w:color w:val="auto"/>
                <w:szCs w:val="21"/>
                <w:highlight w:val="none"/>
                <w:lang w:val="en-US" w:eastAsia="zh-CN" w:bidi="ar"/>
              </w:rPr>
              <w:t>800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E8A56">
            <w:pPr>
              <w:widowControl/>
              <w:spacing w:line="400" w:lineRule="exact"/>
              <w:jc w:val="center"/>
              <w:textAlignment w:val="center"/>
              <w:rPr>
                <w:rFonts w:ascii="Arial" w:hAnsi="Arial" w:cs="Arial"/>
                <w:bCs/>
                <w:color w:val="auto"/>
                <w:szCs w:val="21"/>
                <w:highlight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DFF00">
            <w:pPr>
              <w:widowControl/>
              <w:spacing w:line="400" w:lineRule="exact"/>
              <w:jc w:val="center"/>
              <w:textAlignment w:val="center"/>
              <w:rPr>
                <w:rFonts w:ascii="Arial" w:hAnsi="Arial" w:cs="Arial"/>
                <w:bCs/>
                <w:color w:val="auto"/>
                <w:szCs w:val="21"/>
                <w:highlight w:val="none"/>
              </w:rPr>
            </w:pP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C8334">
            <w:pPr>
              <w:widowControl/>
              <w:spacing w:line="400" w:lineRule="exact"/>
              <w:jc w:val="center"/>
              <w:textAlignment w:val="center"/>
              <w:rPr>
                <w:rFonts w:ascii="Arial" w:hAnsi="Arial" w:cs="Arial"/>
                <w:bCs/>
                <w:color w:val="auto"/>
                <w:szCs w:val="21"/>
                <w:highlight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26AC9">
            <w:pPr>
              <w:widowControl/>
              <w:spacing w:line="400" w:lineRule="exact"/>
              <w:ind w:firstLine="210" w:firstLineChars="100"/>
              <w:textAlignment w:val="center"/>
              <w:rPr>
                <w:rFonts w:ascii="Arial" w:hAnsi="Arial" w:cs="Arial"/>
                <w:bCs/>
                <w:color w:val="auto"/>
                <w:szCs w:val="21"/>
                <w:highlight w:val="none"/>
              </w:rPr>
            </w:pPr>
            <w:r>
              <w:rPr>
                <w:rFonts w:ascii="Arial" w:hAnsi="Arial" w:cs="Arial"/>
                <w:bCs/>
                <w:color w:val="auto"/>
                <w:szCs w:val="21"/>
                <w:highlight w:val="none"/>
                <w:lang w:bidi="ar"/>
              </w:rPr>
              <w:t>3人</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77578">
            <w:pPr>
              <w:widowControl/>
              <w:spacing w:line="400" w:lineRule="exact"/>
              <w:jc w:val="center"/>
              <w:textAlignment w:val="center"/>
              <w:rPr>
                <w:rFonts w:ascii="Arial" w:hAnsi="Arial" w:cs="Arial"/>
                <w:bCs/>
                <w:color w:val="auto"/>
                <w:szCs w:val="21"/>
                <w:highlight w:val="none"/>
              </w:rPr>
            </w:pPr>
          </w:p>
        </w:tc>
      </w:tr>
      <w:tr w14:paraId="023AC367">
        <w:tblPrEx>
          <w:tblCellMar>
            <w:top w:w="0" w:type="dxa"/>
            <w:left w:w="0" w:type="dxa"/>
            <w:bottom w:w="0" w:type="dxa"/>
            <w:right w:w="0" w:type="dxa"/>
          </w:tblCellMar>
        </w:tblPrEx>
        <w:trPr>
          <w:cantSplit/>
          <w:trHeight w:val="1235"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EA77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DBBF34B">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宾州镇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E718DBE">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宾阳县宾州产业园区就业服务站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7717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宾阳县东环路与中山路交叉路口（和鑫科技园）</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99C7C">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园区一级站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4ECE2">
            <w:pPr>
              <w:widowControl/>
              <w:spacing w:line="400" w:lineRule="exact"/>
              <w:jc w:val="center"/>
              <w:textAlignment w:val="center"/>
              <w:rPr>
                <w:rFonts w:ascii="Arial" w:hAnsi="Arial" w:cs="Arial"/>
                <w:bCs/>
                <w:color w:val="auto"/>
                <w:szCs w:val="21"/>
                <w:highlight w:val="none"/>
              </w:rPr>
            </w:pPr>
            <w:r>
              <w:rPr>
                <w:rFonts w:hint="eastAsia" w:ascii="Arial" w:hAnsi="Arial" w:cs="Arial"/>
                <w:bCs/>
                <w:color w:val="auto"/>
                <w:szCs w:val="21"/>
                <w:highlight w:val="none"/>
                <w:lang w:val="en-US" w:eastAsia="zh-CN" w:bidi="ar"/>
              </w:rPr>
              <w:t>70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0578C">
            <w:pPr>
              <w:widowControl/>
              <w:spacing w:line="400" w:lineRule="exact"/>
              <w:jc w:val="center"/>
              <w:textAlignment w:val="center"/>
              <w:rPr>
                <w:rFonts w:ascii="Arial" w:hAnsi="Arial" w:cs="Arial"/>
                <w:bCs/>
                <w:color w:val="auto"/>
                <w:szCs w:val="21"/>
                <w:highlight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B473E">
            <w:pPr>
              <w:widowControl/>
              <w:spacing w:line="400" w:lineRule="exact"/>
              <w:jc w:val="center"/>
              <w:textAlignment w:val="center"/>
              <w:rPr>
                <w:rFonts w:ascii="Arial" w:hAnsi="Arial" w:cs="Arial"/>
                <w:bCs/>
                <w:color w:val="auto"/>
                <w:szCs w:val="21"/>
                <w:highlight w:val="none"/>
              </w:rPr>
            </w:pP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8BD89">
            <w:pPr>
              <w:widowControl/>
              <w:spacing w:line="400" w:lineRule="exact"/>
              <w:jc w:val="center"/>
              <w:textAlignment w:val="center"/>
              <w:rPr>
                <w:rFonts w:ascii="Arial" w:hAnsi="Arial" w:cs="Arial"/>
                <w:bCs/>
                <w:color w:val="auto"/>
                <w:szCs w:val="21"/>
                <w:highlight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4C18D6">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19FC2">
            <w:pPr>
              <w:widowControl/>
              <w:spacing w:line="400" w:lineRule="exact"/>
              <w:jc w:val="center"/>
              <w:textAlignment w:val="center"/>
              <w:rPr>
                <w:rFonts w:ascii="Arial" w:hAnsi="Arial" w:cs="Arial"/>
                <w:bCs/>
                <w:color w:val="auto"/>
                <w:szCs w:val="21"/>
                <w:highlight w:val="none"/>
              </w:rPr>
            </w:pPr>
          </w:p>
        </w:tc>
      </w:tr>
      <w:tr w14:paraId="26B0701B">
        <w:tblPrEx>
          <w:tblCellMar>
            <w:top w:w="0" w:type="dxa"/>
            <w:left w:w="0" w:type="dxa"/>
            <w:bottom w:w="0" w:type="dxa"/>
            <w:right w:w="0" w:type="dxa"/>
          </w:tblCellMar>
        </w:tblPrEx>
        <w:trPr>
          <w:cantSplit/>
          <w:trHeight w:val="840"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6E584">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D7FBB0B">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宾州镇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837676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宾州镇就业服务站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74638">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宾阳县宾州镇枫江路45号</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D9DB9">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乡镇二级站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B891B5">
            <w:pPr>
              <w:widowControl/>
              <w:spacing w:line="400" w:lineRule="exact"/>
              <w:jc w:val="center"/>
              <w:textAlignment w:val="center"/>
              <w:rPr>
                <w:rFonts w:ascii="Arial" w:hAnsi="Arial" w:cs="Arial"/>
                <w:bCs/>
                <w:color w:val="auto"/>
                <w:szCs w:val="21"/>
                <w:highlight w:val="none"/>
              </w:rPr>
            </w:pPr>
            <w:r>
              <w:rPr>
                <w:rFonts w:hint="eastAsia" w:ascii="Arial" w:hAnsi="Arial" w:cs="Arial"/>
                <w:bCs/>
                <w:color w:val="auto"/>
                <w:szCs w:val="21"/>
                <w:highlight w:val="none"/>
                <w:lang w:val="en-US" w:eastAsia="zh-CN" w:bidi="ar"/>
              </w:rPr>
              <w:t>80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A9BE1">
            <w:pPr>
              <w:widowControl/>
              <w:spacing w:line="400" w:lineRule="exact"/>
              <w:jc w:val="center"/>
              <w:textAlignment w:val="center"/>
              <w:rPr>
                <w:rFonts w:ascii="Arial" w:hAnsi="Arial" w:cs="Arial"/>
                <w:bCs/>
                <w:color w:val="auto"/>
                <w:szCs w:val="21"/>
                <w:highlight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AD963">
            <w:pPr>
              <w:widowControl/>
              <w:spacing w:line="400" w:lineRule="exact"/>
              <w:jc w:val="center"/>
              <w:textAlignment w:val="center"/>
              <w:rPr>
                <w:rFonts w:ascii="Arial" w:hAnsi="Arial" w:cs="Arial"/>
                <w:bCs/>
                <w:color w:val="auto"/>
                <w:szCs w:val="21"/>
                <w:highlight w:val="none"/>
              </w:rPr>
            </w:pP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26BDA">
            <w:pPr>
              <w:widowControl/>
              <w:spacing w:line="400" w:lineRule="exact"/>
              <w:jc w:val="center"/>
              <w:textAlignment w:val="center"/>
              <w:rPr>
                <w:rFonts w:ascii="Arial" w:hAnsi="Arial" w:cs="Arial"/>
                <w:bCs/>
                <w:color w:val="auto"/>
                <w:szCs w:val="21"/>
                <w:highlight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06F9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52B06">
            <w:pPr>
              <w:widowControl/>
              <w:spacing w:line="400" w:lineRule="exact"/>
              <w:jc w:val="center"/>
              <w:textAlignment w:val="center"/>
              <w:rPr>
                <w:rFonts w:ascii="Arial" w:hAnsi="Arial" w:cs="Arial"/>
                <w:bCs/>
                <w:color w:val="auto"/>
                <w:szCs w:val="21"/>
                <w:highlight w:val="none"/>
              </w:rPr>
            </w:pPr>
          </w:p>
        </w:tc>
      </w:tr>
      <w:tr w14:paraId="1FF6BBE4">
        <w:tblPrEx>
          <w:tblCellMar>
            <w:top w:w="0" w:type="dxa"/>
            <w:left w:w="0" w:type="dxa"/>
            <w:bottom w:w="0" w:type="dxa"/>
            <w:right w:w="0" w:type="dxa"/>
          </w:tblCellMar>
        </w:tblPrEx>
        <w:trPr>
          <w:cantSplit/>
          <w:trHeight w:val="1235"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97700">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0E727DF">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黎塘镇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EF16CE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黎塘镇就业服务站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CB4E9">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宾阳县黎塘镇龙珠广场步行街（现退役军人事务站）</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52F4E">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4831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80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64607">
            <w:pPr>
              <w:widowControl/>
              <w:spacing w:line="400" w:lineRule="exact"/>
              <w:jc w:val="center"/>
              <w:textAlignment w:val="center"/>
              <w:rPr>
                <w:rFonts w:ascii="Arial" w:hAnsi="Arial" w:cs="Arial"/>
                <w:bCs/>
                <w:color w:val="auto"/>
                <w:szCs w:val="21"/>
                <w:highlight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93C41">
            <w:pPr>
              <w:widowControl/>
              <w:spacing w:line="400" w:lineRule="exact"/>
              <w:jc w:val="center"/>
              <w:textAlignment w:val="center"/>
              <w:rPr>
                <w:rFonts w:ascii="Arial" w:hAnsi="Arial" w:cs="Arial"/>
                <w:bCs/>
                <w:color w:val="auto"/>
                <w:szCs w:val="21"/>
                <w:highlight w:val="none"/>
              </w:rPr>
            </w:pP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96EEB">
            <w:pPr>
              <w:widowControl/>
              <w:spacing w:line="400" w:lineRule="exact"/>
              <w:jc w:val="center"/>
              <w:textAlignment w:val="center"/>
              <w:rPr>
                <w:rFonts w:ascii="Arial" w:hAnsi="Arial" w:cs="Arial"/>
                <w:bCs/>
                <w:color w:val="auto"/>
                <w:szCs w:val="21"/>
                <w:highlight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0F707">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19038">
            <w:pPr>
              <w:widowControl/>
              <w:spacing w:line="400" w:lineRule="exact"/>
              <w:jc w:val="center"/>
              <w:textAlignment w:val="center"/>
              <w:rPr>
                <w:rFonts w:ascii="Arial" w:hAnsi="Arial" w:cs="Arial"/>
                <w:bCs/>
                <w:color w:val="auto"/>
                <w:szCs w:val="21"/>
                <w:highlight w:val="none"/>
              </w:rPr>
            </w:pPr>
          </w:p>
        </w:tc>
      </w:tr>
      <w:tr w14:paraId="3152CAAB">
        <w:tblPrEx>
          <w:tblCellMar>
            <w:top w:w="0" w:type="dxa"/>
            <w:left w:w="0" w:type="dxa"/>
            <w:bottom w:w="0" w:type="dxa"/>
            <w:right w:w="0" w:type="dxa"/>
          </w:tblCellMar>
        </w:tblPrEx>
        <w:trPr>
          <w:cantSplit/>
          <w:trHeight w:val="840"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2E3EE">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5</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93F13F4">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甘棠镇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3ED4019">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甘棠镇就业服务站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0CB5B">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宾阳县甘棠镇斑江街8号政府大门旁</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65ED1">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03C0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50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C0362">
            <w:pPr>
              <w:widowControl/>
              <w:spacing w:line="400" w:lineRule="exact"/>
              <w:jc w:val="center"/>
              <w:textAlignment w:val="center"/>
              <w:rPr>
                <w:rFonts w:ascii="Arial" w:hAnsi="Arial" w:cs="Arial"/>
                <w:bCs/>
                <w:color w:val="auto"/>
                <w:szCs w:val="21"/>
                <w:highlight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A7F78">
            <w:pPr>
              <w:widowControl/>
              <w:spacing w:line="400" w:lineRule="exact"/>
              <w:jc w:val="center"/>
              <w:textAlignment w:val="center"/>
              <w:rPr>
                <w:rFonts w:ascii="Arial" w:hAnsi="Arial" w:cs="Arial"/>
                <w:bCs/>
                <w:color w:val="auto"/>
                <w:szCs w:val="21"/>
                <w:highlight w:val="none"/>
              </w:rPr>
            </w:pP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99251F">
            <w:pPr>
              <w:widowControl/>
              <w:spacing w:line="400" w:lineRule="exact"/>
              <w:jc w:val="center"/>
              <w:textAlignment w:val="center"/>
              <w:rPr>
                <w:rFonts w:ascii="Arial" w:hAnsi="Arial" w:cs="Arial"/>
                <w:bCs/>
                <w:color w:val="auto"/>
                <w:szCs w:val="21"/>
                <w:highlight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200E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8CA39">
            <w:pPr>
              <w:widowControl/>
              <w:spacing w:line="400" w:lineRule="exact"/>
              <w:jc w:val="center"/>
              <w:textAlignment w:val="center"/>
              <w:rPr>
                <w:rFonts w:ascii="Arial" w:hAnsi="Arial" w:cs="Arial"/>
                <w:bCs/>
                <w:color w:val="auto"/>
                <w:szCs w:val="21"/>
                <w:highlight w:val="none"/>
              </w:rPr>
            </w:pPr>
          </w:p>
        </w:tc>
      </w:tr>
      <w:tr w14:paraId="54F095F3">
        <w:tblPrEx>
          <w:tblCellMar>
            <w:top w:w="0" w:type="dxa"/>
            <w:left w:w="0" w:type="dxa"/>
            <w:bottom w:w="0" w:type="dxa"/>
            <w:right w:w="0" w:type="dxa"/>
          </w:tblCellMar>
        </w:tblPrEx>
        <w:trPr>
          <w:cantSplit/>
          <w:trHeight w:val="1235"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5D36B">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6</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BFC8CC8">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思陇镇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2B1B77C">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思陇镇就业服务站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D9004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宾阳县思陇镇西街99号（原镇农服中心办公楼）</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CF477">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6B7469">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50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DD1A9">
            <w:pPr>
              <w:widowControl/>
              <w:spacing w:line="400" w:lineRule="exact"/>
              <w:jc w:val="center"/>
              <w:textAlignment w:val="center"/>
              <w:rPr>
                <w:rFonts w:ascii="Arial" w:hAnsi="Arial" w:cs="Arial"/>
                <w:bCs/>
                <w:color w:val="auto"/>
                <w:szCs w:val="21"/>
                <w:highlight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1215B">
            <w:pPr>
              <w:widowControl/>
              <w:spacing w:line="400" w:lineRule="exact"/>
              <w:jc w:val="center"/>
              <w:textAlignment w:val="center"/>
              <w:rPr>
                <w:rFonts w:ascii="Arial" w:hAnsi="Arial" w:cs="Arial"/>
                <w:bCs/>
                <w:color w:val="auto"/>
                <w:szCs w:val="21"/>
                <w:highlight w:val="none"/>
              </w:rPr>
            </w:pP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9552F">
            <w:pPr>
              <w:widowControl/>
              <w:spacing w:line="400" w:lineRule="exact"/>
              <w:jc w:val="center"/>
              <w:textAlignment w:val="center"/>
              <w:rPr>
                <w:rFonts w:ascii="Arial" w:hAnsi="Arial" w:cs="Arial"/>
                <w:bCs/>
                <w:color w:val="auto"/>
                <w:szCs w:val="21"/>
                <w:highlight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5BD9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76D7F">
            <w:pPr>
              <w:widowControl/>
              <w:spacing w:line="400" w:lineRule="exact"/>
              <w:jc w:val="center"/>
              <w:textAlignment w:val="center"/>
              <w:rPr>
                <w:rFonts w:ascii="Arial" w:hAnsi="Arial" w:cs="Arial"/>
                <w:bCs/>
                <w:color w:val="auto"/>
                <w:szCs w:val="21"/>
                <w:highlight w:val="none"/>
              </w:rPr>
            </w:pPr>
          </w:p>
        </w:tc>
      </w:tr>
      <w:tr w14:paraId="23EC7535">
        <w:tblPrEx>
          <w:tblCellMar>
            <w:top w:w="0" w:type="dxa"/>
            <w:left w:w="0" w:type="dxa"/>
            <w:bottom w:w="0" w:type="dxa"/>
            <w:right w:w="0" w:type="dxa"/>
          </w:tblCellMar>
        </w:tblPrEx>
        <w:trPr>
          <w:cantSplit/>
          <w:trHeight w:val="645" w:hRule="atLeast"/>
        </w:trPr>
        <w:tc>
          <w:tcPr>
            <w:tcW w:w="3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56BF0">
            <w:pPr>
              <w:widowControl/>
              <w:spacing w:line="400" w:lineRule="exact"/>
              <w:jc w:val="center"/>
              <w:textAlignment w:val="center"/>
              <w:rPr>
                <w:rFonts w:ascii="Arial" w:hAnsi="Arial" w:cs="Arial"/>
                <w:bCs/>
                <w:color w:val="auto"/>
                <w:kern w:val="0"/>
                <w:szCs w:val="21"/>
                <w:highlight w:val="none"/>
              </w:rPr>
            </w:pPr>
            <w:r>
              <w:rPr>
                <w:rFonts w:ascii="Arial" w:hAnsi="Arial" w:cs="Arial"/>
                <w:b/>
                <w:color w:val="auto"/>
                <w:kern w:val="0"/>
                <w:szCs w:val="21"/>
                <w:highlight w:val="none"/>
                <w:lang w:bidi="ar"/>
              </w:rPr>
              <w:t>序号</w:t>
            </w:r>
          </w:p>
        </w:tc>
        <w:tc>
          <w:tcPr>
            <w:tcW w:w="700" w:type="dxa"/>
            <w:vMerge w:val="restart"/>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6FA95CD">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街道</w:t>
            </w:r>
          </w:p>
          <w:p w14:paraId="1651BB7B">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（乡镇）</w:t>
            </w:r>
          </w:p>
        </w:tc>
        <w:tc>
          <w:tcPr>
            <w:tcW w:w="1921" w:type="dxa"/>
            <w:vMerge w:val="restart"/>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89227A3">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站点名称</w:t>
            </w:r>
          </w:p>
        </w:tc>
        <w:tc>
          <w:tcPr>
            <w:tcW w:w="220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77CC4">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站点位置</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A6245">
            <w:pPr>
              <w:widowControl/>
              <w:spacing w:line="400" w:lineRule="exact"/>
              <w:jc w:val="center"/>
              <w:textAlignment w:val="center"/>
              <w:rPr>
                <w:rFonts w:ascii="Arial" w:hAnsi="Arial" w:cs="Arial"/>
                <w:b/>
                <w:color w:val="auto"/>
                <w:szCs w:val="21"/>
                <w:highlight w:val="none"/>
              </w:rPr>
            </w:pPr>
            <w:r>
              <w:rPr>
                <w:rFonts w:ascii="Arial" w:hAnsi="Arial" w:cs="Arial"/>
                <w:b/>
                <w:color w:val="auto"/>
                <w:kern w:val="0"/>
                <w:szCs w:val="21"/>
                <w:highlight w:val="none"/>
                <w:lang w:bidi="ar"/>
              </w:rPr>
              <w:t>站点类型</w:t>
            </w:r>
          </w:p>
        </w:tc>
        <w:tc>
          <w:tcPr>
            <w:tcW w:w="8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A8964F">
            <w:pPr>
              <w:widowControl/>
              <w:spacing w:line="400" w:lineRule="exact"/>
              <w:jc w:val="center"/>
              <w:textAlignment w:val="center"/>
              <w:rPr>
                <w:rFonts w:ascii="Arial" w:hAnsi="Arial" w:cs="Arial"/>
                <w:b/>
                <w:color w:val="auto"/>
                <w:kern w:val="0"/>
                <w:szCs w:val="21"/>
                <w:highlight w:val="none"/>
              </w:rPr>
            </w:pPr>
            <w:r>
              <w:rPr>
                <w:rFonts w:ascii="Arial" w:hAnsi="Arial" w:cs="Arial"/>
                <w:b/>
                <w:color w:val="auto"/>
                <w:kern w:val="0"/>
                <w:szCs w:val="21"/>
                <w:highlight w:val="none"/>
                <w:lang w:bidi="ar"/>
              </w:rPr>
              <w:t>场地面积</w:t>
            </w:r>
          </w:p>
          <w:p w14:paraId="0A9B12BE">
            <w:pPr>
              <w:widowControl/>
              <w:spacing w:line="400" w:lineRule="exact"/>
              <w:jc w:val="center"/>
              <w:textAlignment w:val="center"/>
              <w:rPr>
                <w:rFonts w:ascii="Arial" w:hAnsi="Arial" w:cs="Arial"/>
                <w:b/>
                <w:color w:val="auto"/>
                <w:szCs w:val="21"/>
                <w:highlight w:val="none"/>
              </w:rPr>
            </w:pPr>
            <w:r>
              <w:rPr>
                <w:rFonts w:ascii="Arial" w:hAnsi="Arial" w:cs="Arial"/>
                <w:b/>
                <w:color w:val="auto"/>
                <w:kern w:val="0"/>
                <w:szCs w:val="21"/>
                <w:highlight w:val="none"/>
                <w:lang w:bidi="ar"/>
              </w:rPr>
              <w:t>（平方）</w:t>
            </w:r>
          </w:p>
        </w:tc>
        <w:tc>
          <w:tcPr>
            <w:tcW w:w="17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AC5C8">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经费预算（万元）</w:t>
            </w:r>
          </w:p>
        </w:tc>
        <w:tc>
          <w:tcPr>
            <w:tcW w:w="70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F283CA">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人员配备（不少于）</w:t>
            </w:r>
          </w:p>
        </w:tc>
        <w:tc>
          <w:tcPr>
            <w:tcW w:w="3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6B938">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备注</w:t>
            </w:r>
          </w:p>
        </w:tc>
      </w:tr>
      <w:tr w14:paraId="25376AB1">
        <w:tblPrEx>
          <w:tblCellMar>
            <w:top w:w="0" w:type="dxa"/>
            <w:left w:w="0" w:type="dxa"/>
            <w:bottom w:w="0" w:type="dxa"/>
            <w:right w:w="0" w:type="dxa"/>
          </w:tblCellMar>
        </w:tblPrEx>
        <w:trPr>
          <w:cantSplit/>
          <w:trHeight w:val="840" w:hRule="atLeast"/>
        </w:trPr>
        <w:tc>
          <w:tcPr>
            <w:tcW w:w="3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594041">
            <w:pPr>
              <w:rPr>
                <w:rFonts w:ascii="Arial" w:hAnsi="Arial" w:cs="Arial"/>
                <w:color w:val="auto"/>
                <w:szCs w:val="21"/>
                <w:highlight w:val="none"/>
              </w:rPr>
            </w:pPr>
          </w:p>
        </w:tc>
        <w:tc>
          <w:tcPr>
            <w:tcW w:w="700" w:type="dxa"/>
            <w:vMerge w:val="continue"/>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802DAD4">
            <w:pPr>
              <w:rPr>
                <w:rFonts w:ascii="Arial" w:hAnsi="Arial" w:cs="Arial"/>
                <w:color w:val="auto"/>
                <w:szCs w:val="21"/>
                <w:highlight w:val="none"/>
              </w:rPr>
            </w:pPr>
          </w:p>
        </w:tc>
        <w:tc>
          <w:tcPr>
            <w:tcW w:w="1921" w:type="dxa"/>
            <w:vMerge w:val="continue"/>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091A8FE">
            <w:pPr>
              <w:rPr>
                <w:rFonts w:ascii="Arial" w:hAnsi="Arial" w:cs="Arial"/>
                <w:color w:val="auto"/>
                <w:szCs w:val="21"/>
                <w:highlight w:val="none"/>
              </w:rPr>
            </w:pPr>
          </w:p>
        </w:tc>
        <w:tc>
          <w:tcPr>
            <w:tcW w:w="22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CF808">
            <w:pPr>
              <w:rPr>
                <w:rFonts w:ascii="Arial" w:hAnsi="Arial" w:cs="Arial"/>
                <w:color w:val="auto"/>
                <w:szCs w:val="21"/>
                <w:highlight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429FE">
            <w:pPr>
              <w:rPr>
                <w:rFonts w:ascii="Arial" w:hAnsi="Arial" w:cs="Arial"/>
                <w:color w:val="auto"/>
                <w:szCs w:val="21"/>
                <w:highlight w:val="none"/>
              </w:rPr>
            </w:pPr>
          </w:p>
        </w:tc>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1BBC02">
            <w:pPr>
              <w:rPr>
                <w:rFonts w:ascii="Arial" w:hAnsi="Arial" w:cs="Arial"/>
                <w:color w:val="auto"/>
                <w:szCs w:val="21"/>
                <w:highlight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85E2F">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合计</w:t>
            </w:r>
          </w:p>
        </w:tc>
        <w:tc>
          <w:tcPr>
            <w:tcW w:w="68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21986">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第一年</w:t>
            </w:r>
          </w:p>
        </w:tc>
        <w:tc>
          <w:tcPr>
            <w:tcW w:w="58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A0B76">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第二年</w:t>
            </w: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68948">
            <w:pPr>
              <w:rPr>
                <w:rFonts w:ascii="Arial" w:hAnsi="Arial" w:cs="Arial"/>
                <w:color w:val="auto"/>
                <w:szCs w:val="21"/>
                <w:highlight w:val="none"/>
              </w:rPr>
            </w:pPr>
          </w:p>
        </w:tc>
        <w:tc>
          <w:tcPr>
            <w:tcW w:w="3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0D59B7">
            <w:pPr>
              <w:rPr>
                <w:rFonts w:ascii="Arial" w:hAnsi="Arial" w:cs="Arial"/>
                <w:color w:val="auto"/>
                <w:szCs w:val="21"/>
                <w:highlight w:val="none"/>
              </w:rPr>
            </w:pPr>
          </w:p>
        </w:tc>
      </w:tr>
      <w:tr w14:paraId="151B82F5">
        <w:tblPrEx>
          <w:tblCellMar>
            <w:top w:w="0" w:type="dxa"/>
            <w:left w:w="0" w:type="dxa"/>
            <w:bottom w:w="0" w:type="dxa"/>
            <w:right w:w="0" w:type="dxa"/>
          </w:tblCellMar>
        </w:tblPrEx>
        <w:trPr>
          <w:cantSplit/>
          <w:trHeight w:val="1235"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4DE64">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7</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7D49738">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新桥镇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1BA009C">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新桥镇就业服务站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61C2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宾阳县新桥镇尚武街1-2号便民中心一楼大厅</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359A5">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2C60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105</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34E57">
            <w:pPr>
              <w:widowControl/>
              <w:spacing w:line="400" w:lineRule="exact"/>
              <w:jc w:val="center"/>
              <w:textAlignment w:val="center"/>
              <w:rPr>
                <w:rFonts w:ascii="Arial" w:hAnsi="Arial" w:cs="Arial"/>
                <w:bCs/>
                <w:color w:val="auto"/>
                <w:szCs w:val="21"/>
                <w:highlight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811B06">
            <w:pPr>
              <w:widowControl/>
              <w:spacing w:line="400" w:lineRule="exact"/>
              <w:jc w:val="center"/>
              <w:textAlignment w:val="center"/>
              <w:rPr>
                <w:rFonts w:ascii="Arial" w:hAnsi="Arial" w:cs="Arial"/>
                <w:bCs/>
                <w:color w:val="auto"/>
                <w:szCs w:val="21"/>
                <w:highlight w:val="none"/>
              </w:rPr>
            </w:pP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69097">
            <w:pPr>
              <w:widowControl/>
              <w:spacing w:line="400" w:lineRule="exact"/>
              <w:jc w:val="center"/>
              <w:textAlignment w:val="center"/>
              <w:rPr>
                <w:rFonts w:ascii="Arial" w:hAnsi="Arial" w:cs="Arial"/>
                <w:bCs/>
                <w:color w:val="auto"/>
                <w:szCs w:val="21"/>
                <w:highlight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5E1C7">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833882">
            <w:pPr>
              <w:widowControl/>
              <w:spacing w:line="400" w:lineRule="exact"/>
              <w:jc w:val="center"/>
              <w:textAlignment w:val="center"/>
              <w:rPr>
                <w:rFonts w:ascii="Arial" w:hAnsi="Arial" w:cs="Arial"/>
                <w:bCs/>
                <w:color w:val="auto"/>
                <w:szCs w:val="21"/>
                <w:highlight w:val="none"/>
              </w:rPr>
            </w:pPr>
          </w:p>
        </w:tc>
      </w:tr>
      <w:tr w14:paraId="0C80A468">
        <w:tblPrEx>
          <w:tblCellMar>
            <w:top w:w="0" w:type="dxa"/>
            <w:left w:w="0" w:type="dxa"/>
            <w:bottom w:w="0" w:type="dxa"/>
            <w:right w:w="0" w:type="dxa"/>
          </w:tblCellMar>
        </w:tblPrEx>
        <w:trPr>
          <w:cantSplit/>
          <w:trHeight w:val="946"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BBF87">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8</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56F85AB">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新圩镇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267D2FB">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新圩镇就业服务站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5A334">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宾阳县新圩镇四镇街168号</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2C85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BE819">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B40005">
            <w:pPr>
              <w:widowControl/>
              <w:spacing w:line="400" w:lineRule="exact"/>
              <w:jc w:val="center"/>
              <w:textAlignment w:val="center"/>
              <w:rPr>
                <w:rFonts w:ascii="Arial" w:hAnsi="Arial" w:cs="Arial"/>
                <w:bCs/>
                <w:color w:val="auto"/>
                <w:szCs w:val="21"/>
                <w:highlight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179E3">
            <w:pPr>
              <w:widowControl/>
              <w:spacing w:line="400" w:lineRule="exact"/>
              <w:jc w:val="center"/>
              <w:textAlignment w:val="center"/>
              <w:rPr>
                <w:rFonts w:ascii="Arial" w:hAnsi="Arial" w:cs="Arial"/>
                <w:bCs/>
                <w:color w:val="auto"/>
                <w:szCs w:val="21"/>
                <w:highlight w:val="none"/>
              </w:rPr>
            </w:pP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DCA8A">
            <w:pPr>
              <w:widowControl/>
              <w:spacing w:line="400" w:lineRule="exact"/>
              <w:jc w:val="center"/>
              <w:textAlignment w:val="center"/>
              <w:rPr>
                <w:rFonts w:ascii="Arial" w:hAnsi="Arial" w:cs="Arial"/>
                <w:bCs/>
                <w:color w:val="auto"/>
                <w:szCs w:val="21"/>
                <w:highlight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FD825">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3A5E9">
            <w:pPr>
              <w:widowControl/>
              <w:spacing w:line="400" w:lineRule="exact"/>
              <w:jc w:val="center"/>
              <w:textAlignment w:val="center"/>
              <w:rPr>
                <w:rFonts w:ascii="Arial" w:hAnsi="Arial" w:cs="Arial"/>
                <w:bCs/>
                <w:color w:val="auto"/>
                <w:szCs w:val="21"/>
                <w:highlight w:val="none"/>
              </w:rPr>
            </w:pPr>
          </w:p>
        </w:tc>
      </w:tr>
      <w:tr w14:paraId="78480896">
        <w:tblPrEx>
          <w:tblCellMar>
            <w:top w:w="0" w:type="dxa"/>
            <w:left w:w="0" w:type="dxa"/>
            <w:bottom w:w="0" w:type="dxa"/>
            <w:right w:w="0" w:type="dxa"/>
          </w:tblCellMar>
        </w:tblPrEx>
        <w:trPr>
          <w:cantSplit/>
          <w:trHeight w:val="1235"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2FD0B5">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9</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B66844F">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邹圩镇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6EEB70C">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邹圩镇就业服务站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113DC">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宾阳县邹圩镇新街南92号镇便民中心大院内</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93CA39">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1A462">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BF582">
            <w:pPr>
              <w:widowControl/>
              <w:spacing w:line="400" w:lineRule="exact"/>
              <w:jc w:val="center"/>
              <w:textAlignment w:val="center"/>
              <w:rPr>
                <w:rFonts w:ascii="Arial" w:hAnsi="Arial" w:cs="Arial"/>
                <w:bCs/>
                <w:color w:val="auto"/>
                <w:szCs w:val="21"/>
                <w:highlight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63A28">
            <w:pPr>
              <w:widowControl/>
              <w:spacing w:line="400" w:lineRule="exact"/>
              <w:jc w:val="center"/>
              <w:textAlignment w:val="center"/>
              <w:rPr>
                <w:rFonts w:ascii="Arial" w:hAnsi="Arial" w:cs="Arial"/>
                <w:bCs/>
                <w:color w:val="auto"/>
                <w:szCs w:val="21"/>
                <w:highlight w:val="none"/>
              </w:rPr>
            </w:pP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1DC06">
            <w:pPr>
              <w:widowControl/>
              <w:spacing w:line="400" w:lineRule="exact"/>
              <w:jc w:val="center"/>
              <w:textAlignment w:val="center"/>
              <w:rPr>
                <w:rFonts w:ascii="Arial" w:hAnsi="Arial" w:cs="Arial"/>
                <w:bCs/>
                <w:color w:val="auto"/>
                <w:szCs w:val="21"/>
                <w:highlight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298F2">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27E66">
            <w:pPr>
              <w:widowControl/>
              <w:spacing w:line="400" w:lineRule="exact"/>
              <w:jc w:val="center"/>
              <w:textAlignment w:val="center"/>
              <w:rPr>
                <w:rFonts w:ascii="Arial" w:hAnsi="Arial" w:cs="Arial"/>
                <w:bCs/>
                <w:color w:val="auto"/>
                <w:szCs w:val="21"/>
                <w:highlight w:val="none"/>
              </w:rPr>
            </w:pPr>
          </w:p>
        </w:tc>
      </w:tr>
      <w:tr w14:paraId="738D55A4">
        <w:tblPrEx>
          <w:tblCellMar>
            <w:top w:w="0" w:type="dxa"/>
            <w:left w:w="0" w:type="dxa"/>
            <w:bottom w:w="0" w:type="dxa"/>
            <w:right w:w="0" w:type="dxa"/>
          </w:tblCellMar>
        </w:tblPrEx>
        <w:trPr>
          <w:cantSplit/>
          <w:trHeight w:val="946"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E544E">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10</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F75313E">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大桥镇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EEE992">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大桥镇就业服务站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35BE8">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宾阳县大桥镇永兴街67号</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9B344">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F0554">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43</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C483F">
            <w:pPr>
              <w:widowControl/>
              <w:spacing w:line="400" w:lineRule="exact"/>
              <w:jc w:val="center"/>
              <w:textAlignment w:val="center"/>
              <w:rPr>
                <w:rFonts w:ascii="Arial" w:hAnsi="Arial" w:cs="Arial"/>
                <w:bCs/>
                <w:color w:val="auto"/>
                <w:szCs w:val="21"/>
                <w:highlight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C85D6">
            <w:pPr>
              <w:widowControl/>
              <w:spacing w:line="400" w:lineRule="exact"/>
              <w:jc w:val="center"/>
              <w:textAlignment w:val="center"/>
              <w:rPr>
                <w:rFonts w:ascii="Arial" w:hAnsi="Arial" w:cs="Arial"/>
                <w:bCs/>
                <w:color w:val="auto"/>
                <w:szCs w:val="21"/>
                <w:highlight w:val="none"/>
              </w:rPr>
            </w:pP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71A43">
            <w:pPr>
              <w:widowControl/>
              <w:spacing w:line="400" w:lineRule="exact"/>
              <w:jc w:val="center"/>
              <w:textAlignment w:val="center"/>
              <w:rPr>
                <w:rFonts w:ascii="Arial" w:hAnsi="Arial" w:cs="Arial"/>
                <w:bCs/>
                <w:color w:val="auto"/>
                <w:szCs w:val="21"/>
                <w:highlight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76D08">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EACF0">
            <w:pPr>
              <w:widowControl/>
              <w:spacing w:line="400" w:lineRule="exact"/>
              <w:jc w:val="center"/>
              <w:textAlignment w:val="center"/>
              <w:rPr>
                <w:rFonts w:ascii="Arial" w:hAnsi="Arial" w:cs="Arial"/>
                <w:bCs/>
                <w:color w:val="auto"/>
                <w:szCs w:val="21"/>
                <w:highlight w:val="none"/>
              </w:rPr>
            </w:pPr>
          </w:p>
        </w:tc>
      </w:tr>
      <w:tr w14:paraId="78682A98">
        <w:tblPrEx>
          <w:tblCellMar>
            <w:top w:w="0" w:type="dxa"/>
            <w:left w:w="0" w:type="dxa"/>
            <w:bottom w:w="0" w:type="dxa"/>
            <w:right w:w="0" w:type="dxa"/>
          </w:tblCellMar>
        </w:tblPrEx>
        <w:trPr>
          <w:cantSplit/>
          <w:trHeight w:val="946"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B6858">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11</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67EC3E0">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武陵镇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82D1BE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武陵镇就业服务站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52BBE">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宾阳县武陵镇振武街（现武陵镇农技站旁）</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BC6EE">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B6710">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D990C">
            <w:pPr>
              <w:widowControl/>
              <w:spacing w:line="400" w:lineRule="exact"/>
              <w:jc w:val="center"/>
              <w:textAlignment w:val="center"/>
              <w:rPr>
                <w:rFonts w:ascii="Arial" w:hAnsi="Arial" w:cs="Arial"/>
                <w:bCs/>
                <w:color w:val="auto"/>
                <w:szCs w:val="21"/>
                <w:highlight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18BB">
            <w:pPr>
              <w:widowControl/>
              <w:spacing w:line="400" w:lineRule="exact"/>
              <w:jc w:val="center"/>
              <w:textAlignment w:val="center"/>
              <w:rPr>
                <w:rFonts w:ascii="Arial" w:hAnsi="Arial" w:cs="Arial"/>
                <w:bCs/>
                <w:color w:val="auto"/>
                <w:szCs w:val="21"/>
                <w:highlight w:val="none"/>
              </w:rPr>
            </w:pP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2A0B1">
            <w:pPr>
              <w:widowControl/>
              <w:spacing w:line="400" w:lineRule="exact"/>
              <w:jc w:val="center"/>
              <w:textAlignment w:val="center"/>
              <w:rPr>
                <w:rFonts w:ascii="Arial" w:hAnsi="Arial" w:cs="Arial"/>
                <w:bCs/>
                <w:color w:val="auto"/>
                <w:szCs w:val="21"/>
                <w:highlight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B6936">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01E54">
            <w:pPr>
              <w:widowControl/>
              <w:spacing w:line="400" w:lineRule="exact"/>
              <w:jc w:val="center"/>
              <w:textAlignment w:val="center"/>
              <w:rPr>
                <w:rFonts w:ascii="Arial" w:hAnsi="Arial" w:cs="Arial"/>
                <w:bCs/>
                <w:color w:val="auto"/>
                <w:szCs w:val="21"/>
                <w:highlight w:val="none"/>
              </w:rPr>
            </w:pPr>
          </w:p>
        </w:tc>
      </w:tr>
      <w:tr w14:paraId="2C8B4DE0">
        <w:tblPrEx>
          <w:tblCellMar>
            <w:top w:w="0" w:type="dxa"/>
            <w:left w:w="0" w:type="dxa"/>
            <w:bottom w:w="0" w:type="dxa"/>
            <w:right w:w="0" w:type="dxa"/>
          </w:tblCellMar>
        </w:tblPrEx>
        <w:trPr>
          <w:cantSplit/>
          <w:trHeight w:val="946"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36FE42">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12</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BC4F954">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中华镇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E9DCCB5">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中华镇就业服务站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2F048">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宾阳县中华镇中华街140号</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8BA4C">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FBBA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25</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F6298">
            <w:pPr>
              <w:widowControl/>
              <w:spacing w:line="400" w:lineRule="exact"/>
              <w:jc w:val="center"/>
              <w:textAlignment w:val="center"/>
              <w:rPr>
                <w:rFonts w:ascii="Arial" w:hAnsi="Arial" w:cs="Arial"/>
                <w:bCs/>
                <w:color w:val="auto"/>
                <w:szCs w:val="21"/>
                <w:highlight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62209">
            <w:pPr>
              <w:widowControl/>
              <w:spacing w:line="400" w:lineRule="exact"/>
              <w:jc w:val="center"/>
              <w:textAlignment w:val="center"/>
              <w:rPr>
                <w:rFonts w:ascii="Arial" w:hAnsi="Arial" w:cs="Arial"/>
                <w:bCs/>
                <w:color w:val="auto"/>
                <w:szCs w:val="21"/>
                <w:highlight w:val="none"/>
              </w:rPr>
            </w:pP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46B51">
            <w:pPr>
              <w:widowControl/>
              <w:spacing w:line="400" w:lineRule="exact"/>
              <w:jc w:val="center"/>
              <w:textAlignment w:val="center"/>
              <w:rPr>
                <w:rFonts w:ascii="Arial" w:hAnsi="Arial" w:cs="Arial"/>
                <w:bCs/>
                <w:color w:val="auto"/>
                <w:szCs w:val="21"/>
                <w:highlight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05EE2C">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EEF9D">
            <w:pPr>
              <w:widowControl/>
              <w:spacing w:line="400" w:lineRule="exact"/>
              <w:jc w:val="center"/>
              <w:textAlignment w:val="center"/>
              <w:rPr>
                <w:rFonts w:ascii="Arial" w:hAnsi="Arial" w:cs="Arial"/>
                <w:bCs/>
                <w:color w:val="auto"/>
                <w:szCs w:val="21"/>
                <w:highlight w:val="none"/>
              </w:rPr>
            </w:pPr>
          </w:p>
        </w:tc>
      </w:tr>
      <w:tr w14:paraId="5F8B987A">
        <w:tblPrEx>
          <w:tblCellMar>
            <w:top w:w="0" w:type="dxa"/>
            <w:left w:w="0" w:type="dxa"/>
            <w:bottom w:w="0" w:type="dxa"/>
            <w:right w:w="0" w:type="dxa"/>
          </w:tblCellMar>
        </w:tblPrEx>
        <w:trPr>
          <w:cantSplit/>
          <w:trHeight w:val="1113"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75D2B">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13</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1FE2FD0">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古辣镇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F7CF556">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古辣镇就业服务站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CB59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宾阳县古辣镇东兴街（原古辣镇建设站）</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02BEB">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18EB7">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80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CF31A">
            <w:pPr>
              <w:widowControl/>
              <w:spacing w:line="400" w:lineRule="exact"/>
              <w:jc w:val="center"/>
              <w:textAlignment w:val="center"/>
              <w:rPr>
                <w:rFonts w:ascii="Arial" w:hAnsi="Arial" w:cs="Arial"/>
                <w:bCs/>
                <w:color w:val="auto"/>
                <w:szCs w:val="21"/>
                <w:highlight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6E026">
            <w:pPr>
              <w:widowControl/>
              <w:spacing w:line="400" w:lineRule="exact"/>
              <w:jc w:val="center"/>
              <w:textAlignment w:val="center"/>
              <w:rPr>
                <w:rFonts w:ascii="Arial" w:hAnsi="Arial" w:cs="Arial"/>
                <w:bCs/>
                <w:color w:val="auto"/>
                <w:szCs w:val="21"/>
                <w:highlight w:val="none"/>
              </w:rPr>
            </w:pP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1D205">
            <w:pPr>
              <w:widowControl/>
              <w:spacing w:line="400" w:lineRule="exact"/>
              <w:jc w:val="center"/>
              <w:textAlignment w:val="center"/>
              <w:rPr>
                <w:rFonts w:ascii="Arial" w:hAnsi="Arial" w:cs="Arial"/>
                <w:bCs/>
                <w:color w:val="auto"/>
                <w:szCs w:val="21"/>
                <w:highlight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2D6D8">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8EBD1">
            <w:pPr>
              <w:widowControl/>
              <w:spacing w:line="400" w:lineRule="exact"/>
              <w:jc w:val="center"/>
              <w:textAlignment w:val="center"/>
              <w:rPr>
                <w:rFonts w:ascii="Arial" w:hAnsi="Arial" w:cs="Arial"/>
                <w:bCs/>
                <w:color w:val="auto"/>
                <w:szCs w:val="21"/>
                <w:highlight w:val="none"/>
              </w:rPr>
            </w:pPr>
          </w:p>
        </w:tc>
      </w:tr>
      <w:tr w14:paraId="25CF48B8">
        <w:tblPrEx>
          <w:tblCellMar>
            <w:top w:w="0" w:type="dxa"/>
            <w:left w:w="0" w:type="dxa"/>
            <w:bottom w:w="0" w:type="dxa"/>
            <w:right w:w="0" w:type="dxa"/>
          </w:tblCellMar>
        </w:tblPrEx>
        <w:trPr>
          <w:cantSplit/>
          <w:trHeight w:val="645" w:hRule="atLeast"/>
        </w:trPr>
        <w:tc>
          <w:tcPr>
            <w:tcW w:w="3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655B36">
            <w:pPr>
              <w:widowControl/>
              <w:spacing w:line="400" w:lineRule="exact"/>
              <w:jc w:val="center"/>
              <w:textAlignment w:val="center"/>
              <w:rPr>
                <w:rFonts w:ascii="Arial" w:hAnsi="Arial" w:cs="Arial"/>
                <w:bCs/>
                <w:color w:val="auto"/>
                <w:kern w:val="0"/>
                <w:szCs w:val="21"/>
                <w:highlight w:val="none"/>
              </w:rPr>
            </w:pPr>
            <w:r>
              <w:rPr>
                <w:rFonts w:ascii="Arial" w:hAnsi="Arial" w:cs="Arial"/>
                <w:b/>
                <w:color w:val="auto"/>
                <w:kern w:val="0"/>
                <w:szCs w:val="21"/>
                <w:highlight w:val="none"/>
                <w:lang w:bidi="ar"/>
              </w:rPr>
              <w:t>序号</w:t>
            </w:r>
          </w:p>
        </w:tc>
        <w:tc>
          <w:tcPr>
            <w:tcW w:w="700" w:type="dxa"/>
            <w:vMerge w:val="restart"/>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068E6C2">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街道</w:t>
            </w:r>
          </w:p>
          <w:p w14:paraId="23696689">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（乡镇）</w:t>
            </w:r>
          </w:p>
        </w:tc>
        <w:tc>
          <w:tcPr>
            <w:tcW w:w="1921" w:type="dxa"/>
            <w:vMerge w:val="restart"/>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D8F693E">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站点名称</w:t>
            </w:r>
          </w:p>
        </w:tc>
        <w:tc>
          <w:tcPr>
            <w:tcW w:w="220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53057">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站点位置</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DC31A7">
            <w:pPr>
              <w:widowControl/>
              <w:spacing w:line="400" w:lineRule="exact"/>
              <w:jc w:val="center"/>
              <w:textAlignment w:val="center"/>
              <w:rPr>
                <w:rFonts w:ascii="Arial" w:hAnsi="Arial" w:cs="Arial"/>
                <w:b/>
                <w:color w:val="auto"/>
                <w:szCs w:val="21"/>
                <w:highlight w:val="none"/>
              </w:rPr>
            </w:pPr>
            <w:r>
              <w:rPr>
                <w:rFonts w:ascii="Arial" w:hAnsi="Arial" w:cs="Arial"/>
                <w:b/>
                <w:color w:val="auto"/>
                <w:kern w:val="0"/>
                <w:szCs w:val="21"/>
                <w:highlight w:val="none"/>
                <w:lang w:bidi="ar"/>
              </w:rPr>
              <w:t>站点类型</w:t>
            </w:r>
          </w:p>
        </w:tc>
        <w:tc>
          <w:tcPr>
            <w:tcW w:w="8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9A86A">
            <w:pPr>
              <w:widowControl/>
              <w:spacing w:line="400" w:lineRule="exact"/>
              <w:jc w:val="center"/>
              <w:textAlignment w:val="center"/>
              <w:rPr>
                <w:rFonts w:ascii="Arial" w:hAnsi="Arial" w:cs="Arial"/>
                <w:b/>
                <w:color w:val="auto"/>
                <w:kern w:val="0"/>
                <w:szCs w:val="21"/>
                <w:highlight w:val="none"/>
              </w:rPr>
            </w:pPr>
            <w:r>
              <w:rPr>
                <w:rFonts w:ascii="Arial" w:hAnsi="Arial" w:cs="Arial"/>
                <w:b/>
                <w:color w:val="auto"/>
                <w:kern w:val="0"/>
                <w:szCs w:val="21"/>
                <w:highlight w:val="none"/>
                <w:lang w:bidi="ar"/>
              </w:rPr>
              <w:t>场地面积</w:t>
            </w:r>
          </w:p>
          <w:p w14:paraId="266EAEB2">
            <w:pPr>
              <w:widowControl/>
              <w:spacing w:line="400" w:lineRule="exact"/>
              <w:jc w:val="center"/>
              <w:textAlignment w:val="center"/>
              <w:rPr>
                <w:rFonts w:ascii="Arial" w:hAnsi="Arial" w:cs="Arial"/>
                <w:b/>
                <w:color w:val="auto"/>
                <w:szCs w:val="21"/>
                <w:highlight w:val="none"/>
              </w:rPr>
            </w:pPr>
            <w:r>
              <w:rPr>
                <w:rFonts w:ascii="Arial" w:hAnsi="Arial" w:cs="Arial"/>
                <w:b/>
                <w:color w:val="auto"/>
                <w:kern w:val="0"/>
                <w:szCs w:val="21"/>
                <w:highlight w:val="none"/>
                <w:lang w:bidi="ar"/>
              </w:rPr>
              <w:t>（平方）</w:t>
            </w:r>
          </w:p>
        </w:tc>
        <w:tc>
          <w:tcPr>
            <w:tcW w:w="17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0A160">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经费预算（万元）</w:t>
            </w:r>
          </w:p>
        </w:tc>
        <w:tc>
          <w:tcPr>
            <w:tcW w:w="70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BE15B">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人员配备（不少于）</w:t>
            </w:r>
          </w:p>
        </w:tc>
        <w:tc>
          <w:tcPr>
            <w:tcW w:w="3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10EBD">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备注</w:t>
            </w:r>
          </w:p>
        </w:tc>
      </w:tr>
      <w:tr w14:paraId="3F5841D7">
        <w:tblPrEx>
          <w:tblCellMar>
            <w:top w:w="0" w:type="dxa"/>
            <w:left w:w="0" w:type="dxa"/>
            <w:bottom w:w="0" w:type="dxa"/>
            <w:right w:w="0" w:type="dxa"/>
          </w:tblCellMar>
        </w:tblPrEx>
        <w:trPr>
          <w:cantSplit/>
          <w:trHeight w:val="840" w:hRule="atLeast"/>
        </w:trPr>
        <w:tc>
          <w:tcPr>
            <w:tcW w:w="3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58F71">
            <w:pPr>
              <w:rPr>
                <w:rFonts w:ascii="Arial" w:hAnsi="Arial" w:cs="Arial"/>
                <w:color w:val="auto"/>
                <w:szCs w:val="21"/>
                <w:highlight w:val="none"/>
              </w:rPr>
            </w:pPr>
          </w:p>
        </w:tc>
        <w:tc>
          <w:tcPr>
            <w:tcW w:w="700" w:type="dxa"/>
            <w:vMerge w:val="continue"/>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7FC984C">
            <w:pPr>
              <w:rPr>
                <w:rFonts w:ascii="Arial" w:hAnsi="Arial" w:cs="Arial"/>
                <w:color w:val="auto"/>
                <w:szCs w:val="21"/>
                <w:highlight w:val="none"/>
              </w:rPr>
            </w:pPr>
          </w:p>
        </w:tc>
        <w:tc>
          <w:tcPr>
            <w:tcW w:w="1921" w:type="dxa"/>
            <w:vMerge w:val="continue"/>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06B88EE">
            <w:pPr>
              <w:rPr>
                <w:rFonts w:ascii="Arial" w:hAnsi="Arial" w:cs="Arial"/>
                <w:color w:val="auto"/>
                <w:szCs w:val="21"/>
                <w:highlight w:val="none"/>
              </w:rPr>
            </w:pPr>
          </w:p>
        </w:tc>
        <w:tc>
          <w:tcPr>
            <w:tcW w:w="220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0ECD4">
            <w:pPr>
              <w:rPr>
                <w:rFonts w:ascii="Arial" w:hAnsi="Arial" w:cs="Arial"/>
                <w:color w:val="auto"/>
                <w:szCs w:val="21"/>
                <w:highlight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A36BD">
            <w:pPr>
              <w:rPr>
                <w:rFonts w:ascii="Arial" w:hAnsi="Arial" w:cs="Arial"/>
                <w:color w:val="auto"/>
                <w:szCs w:val="21"/>
                <w:highlight w:val="none"/>
              </w:rPr>
            </w:pPr>
          </w:p>
        </w:tc>
        <w:tc>
          <w:tcPr>
            <w:tcW w:w="8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2D391">
            <w:pPr>
              <w:rPr>
                <w:rFonts w:ascii="Arial" w:hAnsi="Arial" w:cs="Arial"/>
                <w:color w:val="auto"/>
                <w:szCs w:val="21"/>
                <w:highlight w:val="none"/>
              </w:rPr>
            </w:pP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B3285">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合计</w:t>
            </w:r>
          </w:p>
        </w:tc>
        <w:tc>
          <w:tcPr>
            <w:tcW w:w="68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E1826">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第一年</w:t>
            </w:r>
          </w:p>
        </w:tc>
        <w:tc>
          <w:tcPr>
            <w:tcW w:w="58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118CA">
            <w:pPr>
              <w:widowControl/>
              <w:spacing w:line="400" w:lineRule="exact"/>
              <w:jc w:val="center"/>
              <w:textAlignment w:val="center"/>
              <w:rPr>
                <w:rFonts w:ascii="Arial" w:hAnsi="Arial" w:cs="Arial"/>
                <w:b/>
                <w:color w:val="auto"/>
                <w:szCs w:val="21"/>
                <w:highlight w:val="none"/>
              </w:rPr>
            </w:pPr>
            <w:r>
              <w:rPr>
                <w:rFonts w:ascii="Arial" w:hAnsi="Arial" w:cs="Arial"/>
                <w:b/>
                <w:color w:val="auto"/>
                <w:szCs w:val="21"/>
                <w:highlight w:val="none"/>
                <w:lang w:bidi="ar"/>
              </w:rPr>
              <w:t>第二年</w:t>
            </w: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0AC96">
            <w:pPr>
              <w:rPr>
                <w:rFonts w:ascii="Arial" w:hAnsi="Arial" w:cs="Arial"/>
                <w:color w:val="auto"/>
                <w:szCs w:val="21"/>
                <w:highlight w:val="none"/>
              </w:rPr>
            </w:pPr>
          </w:p>
        </w:tc>
        <w:tc>
          <w:tcPr>
            <w:tcW w:w="3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9E0F8">
            <w:pPr>
              <w:rPr>
                <w:rFonts w:ascii="Arial" w:hAnsi="Arial" w:cs="Arial"/>
                <w:color w:val="auto"/>
                <w:szCs w:val="21"/>
                <w:highlight w:val="none"/>
              </w:rPr>
            </w:pPr>
          </w:p>
        </w:tc>
      </w:tr>
      <w:tr w14:paraId="64F49153">
        <w:tblPrEx>
          <w:tblCellMar>
            <w:top w:w="0" w:type="dxa"/>
            <w:left w:w="0" w:type="dxa"/>
            <w:bottom w:w="0" w:type="dxa"/>
            <w:right w:w="0" w:type="dxa"/>
          </w:tblCellMar>
        </w:tblPrEx>
        <w:trPr>
          <w:cantSplit/>
          <w:trHeight w:val="946"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2B457">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14</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0F2D4247">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露圩镇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6545B02">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露圩镇就业服务站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444EC">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宾阳县露圩镇露灵街（露圩镇农贸市场旁）</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512D6">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F07462">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32</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DA8DF">
            <w:pPr>
              <w:widowControl/>
              <w:spacing w:line="400" w:lineRule="exact"/>
              <w:jc w:val="center"/>
              <w:textAlignment w:val="center"/>
              <w:rPr>
                <w:rFonts w:ascii="Arial" w:hAnsi="Arial" w:cs="Arial"/>
                <w:bCs/>
                <w:color w:val="auto"/>
                <w:szCs w:val="21"/>
                <w:highlight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4419D">
            <w:pPr>
              <w:widowControl/>
              <w:spacing w:line="400" w:lineRule="exact"/>
              <w:jc w:val="center"/>
              <w:textAlignment w:val="center"/>
              <w:rPr>
                <w:rFonts w:ascii="Arial" w:hAnsi="Arial" w:cs="Arial"/>
                <w:bCs/>
                <w:color w:val="auto"/>
                <w:szCs w:val="21"/>
                <w:highlight w:val="none"/>
              </w:rPr>
            </w:pP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5EC44">
            <w:pPr>
              <w:widowControl/>
              <w:spacing w:line="400" w:lineRule="exact"/>
              <w:jc w:val="center"/>
              <w:textAlignment w:val="center"/>
              <w:rPr>
                <w:rFonts w:ascii="Arial" w:hAnsi="Arial" w:cs="Arial"/>
                <w:bCs/>
                <w:color w:val="auto"/>
                <w:szCs w:val="21"/>
                <w:highlight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5CA70">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40D72">
            <w:pPr>
              <w:widowControl/>
              <w:spacing w:line="400" w:lineRule="exact"/>
              <w:jc w:val="center"/>
              <w:textAlignment w:val="center"/>
              <w:rPr>
                <w:rFonts w:ascii="Arial" w:hAnsi="Arial" w:cs="Arial"/>
                <w:bCs/>
                <w:color w:val="auto"/>
                <w:szCs w:val="21"/>
                <w:highlight w:val="none"/>
              </w:rPr>
            </w:pPr>
          </w:p>
        </w:tc>
      </w:tr>
      <w:tr w14:paraId="0C7F6A95">
        <w:tblPrEx>
          <w:tblCellMar>
            <w:top w:w="0" w:type="dxa"/>
            <w:left w:w="0" w:type="dxa"/>
            <w:bottom w:w="0" w:type="dxa"/>
            <w:right w:w="0" w:type="dxa"/>
          </w:tblCellMar>
        </w:tblPrEx>
        <w:trPr>
          <w:cantSplit/>
          <w:trHeight w:val="1235"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7FED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15</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779125E">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王灵镇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AC26ED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王灵镇就业服务站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263DA">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宾阳县王灵镇兴灵街（乡村建设综合保障中心大厅）</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5D7BCF">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639754">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50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B15744">
            <w:pPr>
              <w:widowControl/>
              <w:spacing w:line="400" w:lineRule="exact"/>
              <w:jc w:val="center"/>
              <w:textAlignment w:val="center"/>
              <w:rPr>
                <w:rFonts w:ascii="Arial" w:hAnsi="Arial" w:cs="Arial"/>
                <w:bCs/>
                <w:color w:val="auto"/>
                <w:szCs w:val="21"/>
                <w:highlight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DBF2C">
            <w:pPr>
              <w:widowControl/>
              <w:spacing w:line="400" w:lineRule="exact"/>
              <w:jc w:val="center"/>
              <w:textAlignment w:val="center"/>
              <w:rPr>
                <w:rFonts w:ascii="Arial" w:hAnsi="Arial" w:cs="Arial"/>
                <w:bCs/>
                <w:color w:val="auto"/>
                <w:szCs w:val="21"/>
                <w:highlight w:val="none"/>
              </w:rPr>
            </w:pP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BAB03">
            <w:pPr>
              <w:widowControl/>
              <w:spacing w:line="400" w:lineRule="exact"/>
              <w:jc w:val="center"/>
              <w:textAlignment w:val="center"/>
              <w:rPr>
                <w:rFonts w:ascii="Arial" w:hAnsi="Arial" w:cs="Arial"/>
                <w:bCs/>
                <w:color w:val="auto"/>
                <w:szCs w:val="21"/>
                <w:highlight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C7C7E">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09E8D">
            <w:pPr>
              <w:widowControl/>
              <w:spacing w:line="400" w:lineRule="exact"/>
              <w:jc w:val="center"/>
              <w:textAlignment w:val="center"/>
              <w:rPr>
                <w:rFonts w:ascii="Arial" w:hAnsi="Arial" w:cs="Arial"/>
                <w:bCs/>
                <w:color w:val="auto"/>
                <w:szCs w:val="21"/>
                <w:highlight w:val="none"/>
              </w:rPr>
            </w:pPr>
          </w:p>
        </w:tc>
      </w:tr>
      <w:tr w14:paraId="2CA75949">
        <w:tblPrEx>
          <w:tblCellMar>
            <w:top w:w="0" w:type="dxa"/>
            <w:left w:w="0" w:type="dxa"/>
            <w:bottom w:w="0" w:type="dxa"/>
            <w:right w:w="0" w:type="dxa"/>
          </w:tblCellMar>
        </w:tblPrEx>
        <w:trPr>
          <w:cantSplit/>
          <w:trHeight w:val="946"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89B11">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16</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3D192D9">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和吉镇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9FB6719">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和吉镇就业服务站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F02DE">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宾阳县和吉镇和吉街（人民政府旁）</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0E0837">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E12B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31</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004C60">
            <w:pPr>
              <w:widowControl/>
              <w:spacing w:line="400" w:lineRule="exact"/>
              <w:jc w:val="center"/>
              <w:textAlignment w:val="center"/>
              <w:rPr>
                <w:rFonts w:ascii="Arial" w:hAnsi="Arial" w:cs="Arial"/>
                <w:bCs/>
                <w:color w:val="auto"/>
                <w:szCs w:val="21"/>
                <w:highlight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EAF5B">
            <w:pPr>
              <w:widowControl/>
              <w:spacing w:line="400" w:lineRule="exact"/>
              <w:jc w:val="center"/>
              <w:textAlignment w:val="center"/>
              <w:rPr>
                <w:rFonts w:ascii="Arial" w:hAnsi="Arial" w:cs="Arial"/>
                <w:bCs/>
                <w:color w:val="auto"/>
                <w:szCs w:val="21"/>
                <w:highlight w:val="none"/>
              </w:rPr>
            </w:pP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9FD8A">
            <w:pPr>
              <w:widowControl/>
              <w:spacing w:line="400" w:lineRule="exact"/>
              <w:jc w:val="center"/>
              <w:textAlignment w:val="center"/>
              <w:rPr>
                <w:rFonts w:ascii="Arial" w:hAnsi="Arial" w:cs="Arial"/>
                <w:bCs/>
                <w:color w:val="auto"/>
                <w:szCs w:val="21"/>
                <w:highlight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07BE9">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E7F53">
            <w:pPr>
              <w:widowControl/>
              <w:spacing w:line="400" w:lineRule="exact"/>
              <w:jc w:val="center"/>
              <w:textAlignment w:val="center"/>
              <w:rPr>
                <w:rFonts w:ascii="Arial" w:hAnsi="Arial" w:cs="Arial"/>
                <w:bCs/>
                <w:color w:val="auto"/>
                <w:szCs w:val="21"/>
                <w:highlight w:val="none"/>
              </w:rPr>
            </w:pPr>
          </w:p>
        </w:tc>
      </w:tr>
      <w:tr w14:paraId="7ABBDFFB">
        <w:tblPrEx>
          <w:tblCellMar>
            <w:top w:w="0" w:type="dxa"/>
            <w:left w:w="0" w:type="dxa"/>
            <w:bottom w:w="0" w:type="dxa"/>
            <w:right w:w="0" w:type="dxa"/>
          </w:tblCellMar>
        </w:tblPrEx>
        <w:trPr>
          <w:cantSplit/>
          <w:trHeight w:val="1235"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91FF6">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17</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DEBDD0E">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洋桥镇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C8C673B">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洋桥镇就业服务站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13A19">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宾阳县洋桥镇建兴街8号（镇人民政府旁边一楼）</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FE87A1">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60E52">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029AB">
            <w:pPr>
              <w:widowControl/>
              <w:spacing w:line="400" w:lineRule="exact"/>
              <w:jc w:val="center"/>
              <w:textAlignment w:val="center"/>
              <w:rPr>
                <w:rFonts w:ascii="Arial" w:hAnsi="Arial" w:cs="Arial"/>
                <w:bCs/>
                <w:color w:val="auto"/>
                <w:szCs w:val="21"/>
                <w:highlight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B62B4">
            <w:pPr>
              <w:widowControl/>
              <w:spacing w:line="400" w:lineRule="exact"/>
              <w:jc w:val="center"/>
              <w:textAlignment w:val="center"/>
              <w:rPr>
                <w:rFonts w:ascii="Arial" w:hAnsi="Arial" w:cs="Arial"/>
                <w:bCs/>
                <w:color w:val="auto"/>
                <w:szCs w:val="21"/>
                <w:highlight w:val="none"/>
              </w:rPr>
            </w:pP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68E92">
            <w:pPr>
              <w:widowControl/>
              <w:spacing w:line="400" w:lineRule="exact"/>
              <w:jc w:val="center"/>
              <w:textAlignment w:val="center"/>
              <w:rPr>
                <w:rFonts w:ascii="Arial" w:hAnsi="Arial" w:cs="Arial"/>
                <w:bCs/>
                <w:color w:val="auto"/>
                <w:szCs w:val="21"/>
                <w:highlight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8688F">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2人</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FFF08B">
            <w:pPr>
              <w:widowControl/>
              <w:spacing w:line="400" w:lineRule="exact"/>
              <w:jc w:val="center"/>
              <w:textAlignment w:val="center"/>
              <w:rPr>
                <w:rFonts w:ascii="Arial" w:hAnsi="Arial" w:cs="Arial"/>
                <w:bCs/>
                <w:color w:val="auto"/>
                <w:szCs w:val="21"/>
                <w:highlight w:val="none"/>
              </w:rPr>
            </w:pPr>
          </w:p>
        </w:tc>
      </w:tr>
      <w:tr w14:paraId="55F69EC6">
        <w:tblPrEx>
          <w:tblCellMar>
            <w:top w:w="0" w:type="dxa"/>
            <w:left w:w="0" w:type="dxa"/>
            <w:bottom w:w="0" w:type="dxa"/>
            <w:right w:w="0" w:type="dxa"/>
          </w:tblCellMar>
        </w:tblPrEx>
        <w:trPr>
          <w:cantSplit/>
          <w:trHeight w:val="946" w:hRule="atLeast"/>
        </w:trPr>
        <w:tc>
          <w:tcPr>
            <w:tcW w:w="3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C9812">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18</w:t>
            </w:r>
          </w:p>
        </w:tc>
        <w:tc>
          <w:tcPr>
            <w:tcW w:w="700"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B2B5FD">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陈平镇</w:t>
            </w:r>
          </w:p>
        </w:tc>
        <w:tc>
          <w:tcPr>
            <w:tcW w:w="1921"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2FCA7BE">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陈平镇就业服务站</w:t>
            </w:r>
          </w:p>
        </w:tc>
        <w:tc>
          <w:tcPr>
            <w:tcW w:w="22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BEF2E">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宾阳县陈平镇便民服务中心旁</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3724F">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乡镇一级站</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4F5D3">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40</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E7882D">
            <w:pPr>
              <w:widowControl/>
              <w:spacing w:line="400" w:lineRule="exact"/>
              <w:jc w:val="center"/>
              <w:textAlignment w:val="center"/>
              <w:rPr>
                <w:rFonts w:ascii="Arial" w:hAnsi="Arial" w:cs="Arial"/>
                <w:bCs/>
                <w:color w:val="auto"/>
                <w:szCs w:val="21"/>
                <w:highlight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00F1A">
            <w:pPr>
              <w:widowControl/>
              <w:spacing w:line="400" w:lineRule="exact"/>
              <w:jc w:val="center"/>
              <w:textAlignment w:val="center"/>
              <w:rPr>
                <w:rFonts w:ascii="Arial" w:hAnsi="Arial" w:cs="Arial"/>
                <w:bCs/>
                <w:color w:val="auto"/>
                <w:szCs w:val="21"/>
                <w:highlight w:val="none"/>
              </w:rPr>
            </w:pP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00961">
            <w:pPr>
              <w:widowControl/>
              <w:spacing w:line="400" w:lineRule="exact"/>
              <w:jc w:val="center"/>
              <w:textAlignment w:val="center"/>
              <w:rPr>
                <w:rFonts w:ascii="Arial" w:hAnsi="Arial" w:cs="Arial"/>
                <w:bCs/>
                <w:color w:val="auto"/>
                <w:szCs w:val="21"/>
                <w:highlight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472CE">
            <w:pPr>
              <w:widowControl/>
              <w:spacing w:line="400" w:lineRule="exact"/>
              <w:jc w:val="center"/>
              <w:textAlignment w:val="center"/>
              <w:rPr>
                <w:rFonts w:ascii="Arial" w:hAnsi="Arial" w:cs="Arial"/>
                <w:bCs/>
                <w:color w:val="auto"/>
                <w:szCs w:val="21"/>
                <w:highlight w:val="none"/>
              </w:rPr>
            </w:pPr>
            <w:r>
              <w:rPr>
                <w:rFonts w:hint="eastAsia" w:ascii="Arial" w:hAnsi="Arial" w:cs="Arial"/>
                <w:bCs/>
                <w:color w:val="auto"/>
                <w:szCs w:val="21"/>
                <w:highlight w:val="none"/>
                <w:lang w:val="en-US" w:eastAsia="zh-CN" w:bidi="ar"/>
              </w:rPr>
              <w:t>2</w:t>
            </w:r>
            <w:r>
              <w:rPr>
                <w:rFonts w:ascii="Arial" w:hAnsi="Arial" w:cs="Arial"/>
                <w:bCs/>
                <w:color w:val="auto"/>
                <w:szCs w:val="21"/>
                <w:highlight w:val="none"/>
                <w:lang w:bidi="ar"/>
              </w:rPr>
              <w:t>人</w:t>
            </w: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52343">
            <w:pPr>
              <w:widowControl/>
              <w:spacing w:line="400" w:lineRule="exact"/>
              <w:jc w:val="center"/>
              <w:textAlignment w:val="center"/>
              <w:rPr>
                <w:rFonts w:ascii="Arial" w:hAnsi="Arial" w:cs="Arial"/>
                <w:bCs/>
                <w:color w:val="auto"/>
                <w:szCs w:val="21"/>
                <w:highlight w:val="none"/>
              </w:rPr>
            </w:pPr>
          </w:p>
        </w:tc>
      </w:tr>
      <w:tr w14:paraId="0F9F5DDC">
        <w:tblPrEx>
          <w:tblCellMar>
            <w:top w:w="0" w:type="dxa"/>
            <w:left w:w="0" w:type="dxa"/>
            <w:bottom w:w="0" w:type="dxa"/>
            <w:right w:w="0" w:type="dxa"/>
          </w:tblCellMar>
        </w:tblPrEx>
        <w:trPr>
          <w:cantSplit/>
          <w:trHeight w:val="431" w:hRule="atLeast"/>
        </w:trPr>
        <w:tc>
          <w:tcPr>
            <w:tcW w:w="694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5FF2C">
            <w:pPr>
              <w:widowControl/>
              <w:spacing w:line="400" w:lineRule="exact"/>
              <w:jc w:val="center"/>
              <w:textAlignment w:val="center"/>
              <w:rPr>
                <w:rFonts w:ascii="Arial" w:hAnsi="Arial" w:cs="Arial"/>
                <w:bCs/>
                <w:color w:val="auto"/>
                <w:szCs w:val="21"/>
                <w:highlight w:val="none"/>
              </w:rPr>
            </w:pPr>
            <w:r>
              <w:rPr>
                <w:rFonts w:ascii="Arial" w:hAnsi="Arial" w:cs="Arial"/>
                <w:bCs/>
                <w:color w:val="auto"/>
                <w:szCs w:val="21"/>
                <w:highlight w:val="none"/>
                <w:lang w:bidi="ar"/>
              </w:rPr>
              <w:t>预算金额合计</w:t>
            </w:r>
          </w:p>
        </w:tc>
        <w:tc>
          <w:tcPr>
            <w:tcW w:w="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B34BE">
            <w:pPr>
              <w:widowControl/>
              <w:spacing w:line="400" w:lineRule="exact"/>
              <w:jc w:val="center"/>
              <w:textAlignment w:val="center"/>
              <w:rPr>
                <w:rFonts w:ascii="Arial" w:hAnsi="Arial" w:cs="Arial"/>
                <w:bCs/>
                <w:color w:val="auto"/>
                <w:szCs w:val="21"/>
                <w:highlight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33D4E">
            <w:pPr>
              <w:widowControl/>
              <w:spacing w:line="400" w:lineRule="exact"/>
              <w:jc w:val="center"/>
              <w:textAlignment w:val="center"/>
              <w:rPr>
                <w:rFonts w:ascii="Arial" w:hAnsi="Arial" w:cs="Arial"/>
                <w:bCs/>
                <w:color w:val="auto"/>
                <w:szCs w:val="21"/>
                <w:highlight w:val="none"/>
              </w:rPr>
            </w:pPr>
          </w:p>
        </w:tc>
        <w:tc>
          <w:tcPr>
            <w:tcW w:w="5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03C2D7">
            <w:pPr>
              <w:widowControl/>
              <w:spacing w:line="400" w:lineRule="exact"/>
              <w:jc w:val="center"/>
              <w:textAlignment w:val="center"/>
              <w:rPr>
                <w:rFonts w:ascii="Arial" w:hAnsi="Arial" w:cs="Arial"/>
                <w:bCs/>
                <w:color w:val="auto"/>
                <w:szCs w:val="21"/>
                <w:highlight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65BFE">
            <w:pPr>
              <w:widowControl/>
              <w:spacing w:line="400" w:lineRule="exact"/>
              <w:jc w:val="center"/>
              <w:textAlignment w:val="center"/>
              <w:rPr>
                <w:rFonts w:ascii="Arial" w:hAnsi="Arial" w:cs="Arial"/>
                <w:bCs/>
                <w:color w:val="auto"/>
                <w:szCs w:val="21"/>
                <w:highlight w:val="none"/>
              </w:rPr>
            </w:pPr>
          </w:p>
        </w:tc>
        <w:tc>
          <w:tcPr>
            <w:tcW w:w="3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3E75B">
            <w:pPr>
              <w:widowControl/>
              <w:spacing w:line="400" w:lineRule="exact"/>
              <w:jc w:val="center"/>
              <w:textAlignment w:val="center"/>
              <w:rPr>
                <w:rFonts w:ascii="Arial" w:hAnsi="Arial" w:cs="Arial"/>
                <w:bCs/>
                <w:color w:val="auto"/>
                <w:szCs w:val="21"/>
                <w:highlight w:val="none"/>
              </w:rPr>
            </w:pPr>
          </w:p>
        </w:tc>
      </w:tr>
    </w:tbl>
    <w:p w14:paraId="7290517F">
      <w:pPr>
        <w:snapToGrid w:val="0"/>
        <w:spacing w:line="360" w:lineRule="auto"/>
        <w:ind w:firstLine="5160" w:firstLineChars="2150"/>
        <w:rPr>
          <w:rFonts w:ascii="仿宋" w:hAnsi="仿宋" w:eastAsia="仿宋" w:cs="仿宋"/>
          <w:color w:val="auto"/>
          <w:kern w:val="0"/>
          <w:sz w:val="24"/>
          <w:highlight w:val="none"/>
          <w:lang w:val="zh-CN"/>
        </w:rPr>
      </w:pPr>
    </w:p>
    <w:p w14:paraId="1370811D">
      <w:pPr>
        <w:widowControl/>
        <w:jc w:val="left"/>
        <w:rPr>
          <w:rFonts w:ascii="仿宋" w:hAnsi="仿宋" w:eastAsia="仿宋" w:cs="仿宋"/>
          <w:color w:val="auto"/>
          <w:sz w:val="30"/>
          <w:szCs w:val="20"/>
          <w:highlight w:val="none"/>
        </w:rPr>
      </w:pPr>
    </w:p>
    <w:p w14:paraId="5E15F7FF">
      <w:pPr>
        <w:widowControl/>
        <w:jc w:val="left"/>
        <w:rPr>
          <w:rFonts w:ascii="仿宋" w:hAnsi="仿宋" w:eastAsia="仿宋" w:cs="仿宋"/>
          <w:color w:val="auto"/>
          <w:sz w:val="30"/>
          <w:szCs w:val="20"/>
          <w:highlight w:val="none"/>
        </w:rPr>
      </w:pPr>
    </w:p>
    <w:p w14:paraId="0BD7CFE6">
      <w:pPr>
        <w:widowControl/>
        <w:jc w:val="left"/>
        <w:rPr>
          <w:rFonts w:ascii="仿宋" w:hAnsi="仿宋" w:eastAsia="仿宋" w:cs="仿宋"/>
          <w:color w:val="auto"/>
          <w:sz w:val="30"/>
          <w:szCs w:val="20"/>
          <w:highlight w:val="none"/>
        </w:rPr>
      </w:pPr>
    </w:p>
    <w:p w14:paraId="714F715C">
      <w:pPr>
        <w:widowControl/>
        <w:jc w:val="left"/>
        <w:rPr>
          <w:rFonts w:ascii="仿宋" w:hAnsi="仿宋" w:eastAsia="仿宋" w:cs="仿宋"/>
          <w:color w:val="auto"/>
          <w:sz w:val="30"/>
          <w:szCs w:val="20"/>
          <w:highlight w:val="none"/>
        </w:rPr>
      </w:pPr>
    </w:p>
    <w:p w14:paraId="0FBCC937">
      <w:pPr>
        <w:spacing w:line="600" w:lineRule="exact"/>
        <w:jc w:val="center"/>
        <w:rPr>
          <w:color w:val="auto"/>
          <w:szCs w:val="20"/>
          <w:highlight w:val="none"/>
        </w:rPr>
      </w:pPr>
      <w:r>
        <w:rPr>
          <w:rFonts w:hint="eastAsia"/>
          <w:b/>
          <w:bCs/>
          <w:color w:val="auto"/>
          <w:sz w:val="30"/>
          <w:szCs w:val="30"/>
          <w:highlight w:val="none"/>
        </w:rPr>
        <w:t>三、中小企业声明函或监狱企业证明或残疾人福利声明函</w:t>
      </w:r>
    </w:p>
    <w:p w14:paraId="588000F2">
      <w:pPr>
        <w:autoSpaceDE w:val="0"/>
        <w:autoSpaceDN w:val="0"/>
        <w:adjustRightInd w:val="0"/>
        <w:spacing w:line="360" w:lineRule="auto"/>
        <w:jc w:val="left"/>
        <w:rPr>
          <w:rFonts w:ascii="宋体" w:cs="宋体"/>
          <w:color w:val="auto"/>
          <w:kern w:val="0"/>
          <w:szCs w:val="21"/>
          <w:highlight w:val="none"/>
          <w:u w:val="single"/>
        </w:rPr>
      </w:pPr>
    </w:p>
    <w:p w14:paraId="41B12612">
      <w:pPr>
        <w:jc w:val="center"/>
        <w:rPr>
          <w:b/>
          <w:color w:val="auto"/>
          <w:sz w:val="30"/>
          <w:szCs w:val="30"/>
          <w:highlight w:val="none"/>
        </w:rPr>
      </w:pPr>
      <w:r>
        <w:rPr>
          <w:rFonts w:hint="eastAsia"/>
          <w:b/>
          <w:color w:val="auto"/>
          <w:sz w:val="30"/>
          <w:szCs w:val="30"/>
          <w:highlight w:val="none"/>
        </w:rPr>
        <w:t>中小企业声明函</w:t>
      </w:r>
    </w:p>
    <w:p w14:paraId="440E586E">
      <w:pPr>
        <w:rPr>
          <w:rFonts w:ascii="宋体" w:hAnsi="宋体" w:cs="宋体"/>
          <w:color w:val="auto"/>
          <w:spacing w:val="-4"/>
          <w:szCs w:val="21"/>
          <w:highlight w:val="none"/>
        </w:rPr>
      </w:pPr>
      <w:r>
        <w:rPr>
          <w:rFonts w:hint="eastAsia" w:ascii="宋体" w:hAnsi="宋体" w:cs="宋体"/>
          <w:color w:val="auto"/>
          <w:spacing w:val="-4"/>
          <w:szCs w:val="21"/>
          <w:highlight w:val="none"/>
        </w:rPr>
        <w:t>说明：</w:t>
      </w:r>
    </w:p>
    <w:p w14:paraId="75635045">
      <w:pPr>
        <w:ind w:firstLine="404" w:firstLineChars="200"/>
        <w:rPr>
          <w:rFonts w:ascii="宋体" w:hAnsi="宋体" w:cs="宋体"/>
          <w:color w:val="auto"/>
          <w:spacing w:val="-4"/>
          <w:szCs w:val="21"/>
          <w:highlight w:val="none"/>
        </w:rPr>
      </w:pPr>
      <w:r>
        <w:rPr>
          <w:rFonts w:hint="eastAsia" w:ascii="宋体" w:hAnsi="宋体" w:cs="宋体"/>
          <w:color w:val="auto"/>
          <w:spacing w:val="-4"/>
          <w:szCs w:val="21"/>
          <w:highlight w:val="none"/>
          <w:lang w:eastAsia="zh-CN"/>
        </w:rPr>
        <w:t>1.</w:t>
      </w:r>
      <w:r>
        <w:rPr>
          <w:rFonts w:hint="eastAsia" w:ascii="宋体" w:hAnsi="宋体" w:cs="宋体"/>
          <w:color w:val="auto"/>
          <w:spacing w:val="-4"/>
          <w:szCs w:val="21"/>
          <w:highlight w:val="none"/>
        </w:rPr>
        <w:t>本声明函主要供参加政府采购活动的中小企业填写，非中小企业无需填写。</w:t>
      </w:r>
    </w:p>
    <w:p w14:paraId="7E0B5EE0">
      <w:pPr>
        <w:ind w:firstLine="404" w:firstLineChars="200"/>
        <w:rPr>
          <w:rFonts w:ascii="宋体" w:hAnsi="宋体" w:cs="宋体"/>
          <w:color w:val="auto"/>
          <w:spacing w:val="-4"/>
          <w:szCs w:val="21"/>
          <w:highlight w:val="none"/>
        </w:rPr>
      </w:pPr>
      <w:r>
        <w:rPr>
          <w:rFonts w:hint="eastAsia" w:ascii="宋体" w:hAnsi="宋体" w:cs="宋体"/>
          <w:color w:val="auto"/>
          <w:spacing w:val="-4"/>
          <w:szCs w:val="21"/>
          <w:highlight w:val="none"/>
          <w:lang w:eastAsia="zh-CN"/>
        </w:rPr>
        <w:t>2.</w:t>
      </w:r>
      <w:r>
        <w:rPr>
          <w:rFonts w:hint="eastAsia" w:ascii="宋体" w:hAnsi="宋体" w:cs="宋体"/>
          <w:color w:val="auto"/>
          <w:spacing w:val="-4"/>
          <w:szCs w:val="21"/>
          <w:highlight w:val="none"/>
        </w:rPr>
        <w:t>小型、微型企业提供中型企业提供的服务的，视同为中型企业。</w:t>
      </w:r>
    </w:p>
    <w:p w14:paraId="1543A24D">
      <w:pPr>
        <w:ind w:firstLine="404" w:firstLineChars="200"/>
        <w:rPr>
          <w:rFonts w:hAnsi="宋体"/>
          <w:color w:val="auto"/>
          <w:spacing w:val="-4"/>
          <w:szCs w:val="21"/>
          <w:highlight w:val="none"/>
        </w:rPr>
      </w:pPr>
    </w:p>
    <w:p w14:paraId="5EB61F3D">
      <w:pPr>
        <w:pStyle w:val="13"/>
        <w:spacing w:line="500" w:lineRule="exact"/>
        <w:ind w:right="142" w:firstLine="420" w:firstLineChars="200"/>
        <w:rPr>
          <w:rFonts w:ascii="宋体" w:hAnsi="宋体"/>
          <w:color w:val="auto"/>
          <w:highlight w:val="none"/>
        </w:rPr>
      </w:pPr>
      <w:r>
        <w:rPr>
          <w:rFonts w:hint="eastAsia" w:ascii="宋体" w:hAnsi="宋体"/>
          <w:color w:val="auto"/>
          <w:highlight w:val="none"/>
        </w:rPr>
        <w:t>本公司（联合体）郑重声明，根据《政府采购促进中小企业发展管理办法》（财库﹝2020﹞46号）的规定，本公司（联合体）参加</w:t>
      </w:r>
      <w:r>
        <w:rPr>
          <w:rFonts w:hint="eastAsia" w:ascii="宋体" w:hAnsi="宋体"/>
          <w:color w:val="auto"/>
          <w:highlight w:val="none"/>
          <w:u w:val="single"/>
        </w:rPr>
        <w:t>宾阳县就业服务中心</w:t>
      </w:r>
      <w:r>
        <w:rPr>
          <w:rFonts w:hint="eastAsia" w:ascii="宋体" w:hAnsi="宋体"/>
          <w:color w:val="auto"/>
          <w:highlight w:val="none"/>
        </w:rPr>
        <w:t>的</w:t>
      </w:r>
      <w:r>
        <w:rPr>
          <w:rFonts w:hint="eastAsia" w:ascii="宋体" w:hAnsi="宋体"/>
          <w:color w:val="auto"/>
          <w:highlight w:val="none"/>
          <w:u w:val="single"/>
        </w:rPr>
        <w:t>宾阳县县域公共就业服务能力提升项目</w:t>
      </w:r>
      <w:r>
        <w:rPr>
          <w:rFonts w:hint="eastAsia" w:ascii="宋体" w:hAnsi="宋体"/>
          <w:color w:val="auto"/>
          <w:highlight w:val="none"/>
        </w:rPr>
        <w:t>采购活动，服务全部由符合政策要求的中小企业承接。相关企业（含联合体中的中小企业、签订分包意向协议的中小企业）的具体情况如下：</w:t>
      </w:r>
    </w:p>
    <w:p w14:paraId="0BD95B01">
      <w:pPr>
        <w:tabs>
          <w:tab w:val="left" w:pos="1384"/>
          <w:tab w:val="left" w:pos="4562"/>
          <w:tab w:val="left" w:pos="6803"/>
        </w:tabs>
        <w:spacing w:before="13" w:line="500" w:lineRule="exact"/>
        <w:ind w:right="142" w:firstLine="600" w:firstLineChars="286"/>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single"/>
        </w:rPr>
        <w:t>（标的名称）</w:t>
      </w:r>
      <w:r>
        <w:rPr>
          <w:rFonts w:hint="eastAsia" w:ascii="宋体" w:hAnsi="宋体"/>
          <w:color w:val="auto"/>
          <w:szCs w:val="21"/>
          <w:highlight w:val="none"/>
        </w:rPr>
        <w:t>，属于</w:t>
      </w:r>
      <w:r>
        <w:rPr>
          <w:rFonts w:hint="eastAsia" w:ascii="宋体" w:hAnsi="宋体"/>
          <w:color w:val="auto"/>
          <w:szCs w:val="21"/>
          <w:highlight w:val="none"/>
          <w:u w:val="single"/>
        </w:rPr>
        <w:t>（采购文件中明确的所属行业）</w:t>
      </w:r>
      <w:r>
        <w:rPr>
          <w:rFonts w:hint="eastAsia" w:ascii="宋体" w:hAnsi="宋体"/>
          <w:color w:val="auto"/>
          <w:szCs w:val="21"/>
          <w:highlight w:val="none"/>
        </w:rPr>
        <w:t>；承接企业为</w:t>
      </w:r>
      <w:r>
        <w:rPr>
          <w:rFonts w:hint="eastAsia" w:ascii="宋体" w:hAnsi="宋体"/>
          <w:color w:val="auto"/>
          <w:szCs w:val="21"/>
          <w:highlight w:val="none"/>
          <w:u w:val="single"/>
        </w:rPr>
        <w:t>（企业名称）</w:t>
      </w:r>
      <w:r>
        <w:rPr>
          <w:rFonts w:hint="eastAsia" w:ascii="宋体" w:hAnsi="宋体"/>
          <w:color w:val="auto"/>
          <w:szCs w:val="21"/>
          <w:highlight w:val="none"/>
        </w:rPr>
        <w:t>，从业人员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14:paraId="2C84E1CC">
      <w:pPr>
        <w:tabs>
          <w:tab w:val="left" w:pos="1065"/>
          <w:tab w:val="left" w:pos="4262"/>
          <w:tab w:val="left" w:pos="6477"/>
        </w:tabs>
        <w:spacing w:before="20" w:line="500" w:lineRule="exact"/>
        <w:ind w:right="84" w:firstLine="600" w:firstLineChars="286"/>
        <w:rPr>
          <w:rFonts w:ascii="宋体" w:hAnsi="宋体"/>
          <w:color w:val="auto"/>
          <w:szCs w:val="21"/>
          <w:highlight w:val="none"/>
          <w:u w:val="single"/>
        </w:rPr>
      </w:pPr>
      <w:r>
        <w:rPr>
          <w:rFonts w:hint="eastAsia" w:ascii="宋体" w:hAnsi="宋体"/>
          <w:color w:val="auto"/>
          <w:szCs w:val="21"/>
          <w:highlight w:val="none"/>
        </w:rPr>
        <w:t>2.</w:t>
      </w:r>
      <w:r>
        <w:rPr>
          <w:rFonts w:hint="eastAsia" w:ascii="宋体" w:hAnsi="宋体"/>
          <w:color w:val="auto"/>
          <w:szCs w:val="21"/>
          <w:highlight w:val="none"/>
          <w:u w:val="single"/>
        </w:rPr>
        <w:t>（标的名称）</w:t>
      </w:r>
      <w:r>
        <w:rPr>
          <w:rFonts w:hint="eastAsia" w:ascii="宋体" w:hAnsi="宋体"/>
          <w:color w:val="auto"/>
          <w:szCs w:val="21"/>
          <w:highlight w:val="none"/>
        </w:rPr>
        <w:t>，属于</w:t>
      </w:r>
      <w:r>
        <w:rPr>
          <w:rFonts w:hint="eastAsia" w:ascii="宋体" w:hAnsi="宋体"/>
          <w:color w:val="auto"/>
          <w:szCs w:val="21"/>
          <w:highlight w:val="none"/>
          <w:u w:val="single"/>
        </w:rPr>
        <w:t>（采购文件中明确的所属行业）</w:t>
      </w:r>
      <w:r>
        <w:rPr>
          <w:rFonts w:hint="eastAsia" w:ascii="宋体" w:hAnsi="宋体"/>
          <w:color w:val="auto"/>
          <w:szCs w:val="21"/>
          <w:highlight w:val="none"/>
        </w:rPr>
        <w:t>；承接企业为</w:t>
      </w:r>
      <w:r>
        <w:rPr>
          <w:rFonts w:hint="eastAsia" w:ascii="宋体" w:hAnsi="宋体"/>
          <w:color w:val="auto"/>
          <w:szCs w:val="21"/>
          <w:highlight w:val="none"/>
          <w:u w:val="single"/>
        </w:rPr>
        <w:t>（企业名称）</w:t>
      </w:r>
      <w:r>
        <w:rPr>
          <w:rFonts w:hint="eastAsia" w:ascii="宋体" w:hAnsi="宋体"/>
          <w:color w:val="auto"/>
          <w:szCs w:val="21"/>
          <w:highlight w:val="none"/>
        </w:rPr>
        <w:t>，从业人员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14:paraId="00D71DF0">
      <w:pPr>
        <w:pStyle w:val="13"/>
        <w:spacing w:before="34" w:line="500" w:lineRule="exact"/>
        <w:ind w:left="765" w:right="142" w:hanging="5"/>
        <w:rPr>
          <w:rFonts w:ascii="宋体" w:hAnsi="宋体"/>
          <w:color w:val="auto"/>
          <w:highlight w:val="none"/>
        </w:rPr>
      </w:pPr>
      <w:r>
        <w:rPr>
          <w:rFonts w:hint="eastAsia" w:ascii="宋体" w:hAnsi="宋体"/>
          <w:color w:val="auto"/>
          <w:highlight w:val="none"/>
        </w:rPr>
        <w:t xml:space="preserve">…… </w:t>
      </w:r>
    </w:p>
    <w:p w14:paraId="57A436F5">
      <w:pPr>
        <w:pStyle w:val="13"/>
        <w:spacing w:before="34" w:line="500" w:lineRule="exact"/>
        <w:ind w:right="142" w:firstLine="420" w:firstLineChars="200"/>
        <w:rPr>
          <w:rFonts w:ascii="宋体" w:hAnsi="宋体"/>
          <w:color w:val="auto"/>
          <w:highlight w:val="none"/>
        </w:rPr>
      </w:pPr>
      <w:r>
        <w:rPr>
          <w:rFonts w:hint="eastAsia" w:ascii="宋体" w:hAnsi="宋体"/>
          <w:color w:val="auto"/>
          <w:highlight w:val="none"/>
        </w:rPr>
        <w:t>以上企业，不属于大企业的分支机构，不存在控股股东为大企业的情形，也不存在与大企业的负责人为同一人的情形。</w:t>
      </w:r>
    </w:p>
    <w:p w14:paraId="51DD4CBD">
      <w:pPr>
        <w:pStyle w:val="13"/>
        <w:spacing w:before="34" w:line="500" w:lineRule="exact"/>
        <w:ind w:right="142" w:firstLine="420" w:firstLineChars="200"/>
        <w:rPr>
          <w:rFonts w:ascii="宋体" w:hAnsi="宋体"/>
          <w:color w:val="auto"/>
          <w:highlight w:val="none"/>
        </w:rPr>
      </w:pPr>
      <w:r>
        <w:rPr>
          <w:rFonts w:hint="eastAsia" w:ascii="宋体" w:hAnsi="宋体"/>
          <w:color w:val="auto"/>
          <w:highlight w:val="none"/>
        </w:rPr>
        <w:t>本企业对上述声明内容的真实性负责。如有虚假，将依法承担相应责任。</w:t>
      </w:r>
    </w:p>
    <w:p w14:paraId="31D5DE01">
      <w:pPr>
        <w:spacing w:line="360" w:lineRule="auto"/>
        <w:ind w:firstLine="420" w:firstLineChars="200"/>
        <w:rPr>
          <w:rFonts w:ascii="宋体" w:hAnsi="宋体"/>
          <w:color w:val="auto"/>
          <w:szCs w:val="21"/>
          <w:highlight w:val="none"/>
        </w:rPr>
      </w:pPr>
    </w:p>
    <w:p w14:paraId="74B2A30D">
      <w:pPr>
        <w:spacing w:line="360" w:lineRule="auto"/>
        <w:rPr>
          <w:rFonts w:ascii="仿宋" w:hAnsi="仿宋" w:eastAsia="仿宋" w:cs="仿宋"/>
          <w:color w:val="auto"/>
          <w:szCs w:val="21"/>
          <w:highlight w:val="none"/>
        </w:rPr>
      </w:pPr>
    </w:p>
    <w:p w14:paraId="04263000">
      <w:pPr>
        <w:snapToGrid w:val="0"/>
        <w:spacing w:line="360" w:lineRule="auto"/>
        <w:ind w:firstLine="5040" w:firstLineChars="21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投标人名称（电子签章）：</w:t>
      </w:r>
    </w:p>
    <w:p w14:paraId="480C104B">
      <w:pPr>
        <w:snapToGrid w:val="0"/>
        <w:spacing w:line="360" w:lineRule="auto"/>
        <w:ind w:firstLine="5160" w:firstLineChars="215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11D9F21A">
      <w:pPr>
        <w:spacing w:line="360" w:lineRule="auto"/>
        <w:ind w:firstLine="420" w:firstLineChars="200"/>
        <w:rPr>
          <w:rFonts w:ascii="仿宋" w:hAnsi="仿宋" w:eastAsia="仿宋" w:cs="仿宋"/>
          <w:color w:val="auto"/>
          <w:szCs w:val="21"/>
          <w:highlight w:val="none"/>
        </w:rPr>
      </w:pPr>
    </w:p>
    <w:p w14:paraId="712995A7">
      <w:pPr>
        <w:snapToGrid w:val="0"/>
        <w:spacing w:before="50" w:after="165" w:afterLines="50" w:line="360" w:lineRule="auto"/>
        <w:jc w:val="left"/>
        <w:rPr>
          <w:rFonts w:ascii="仿宋" w:hAnsi="仿宋" w:eastAsia="仿宋" w:cs="仿宋"/>
          <w:color w:val="auto"/>
          <w:sz w:val="20"/>
          <w:highlight w:val="none"/>
        </w:rPr>
      </w:pPr>
      <w:r>
        <w:rPr>
          <w:rFonts w:hint="eastAsia" w:ascii="仿宋" w:hAnsi="仿宋" w:eastAsia="仿宋" w:cs="仿宋"/>
          <w:color w:val="auto"/>
          <w:sz w:val="20"/>
          <w:highlight w:val="none"/>
        </w:rPr>
        <w:t>注：</w:t>
      </w:r>
    </w:p>
    <w:p w14:paraId="635F0913">
      <w:pPr>
        <w:numPr>
          <w:ilvl w:val="0"/>
          <w:numId w:val="5"/>
        </w:numPr>
        <w:snapToGrid w:val="0"/>
        <w:spacing w:before="50" w:after="165" w:afterLines="50" w:line="360" w:lineRule="auto"/>
        <w:jc w:val="left"/>
        <w:rPr>
          <w:rFonts w:ascii="仿宋" w:hAnsi="仿宋" w:eastAsia="仿宋" w:cs="仿宋"/>
          <w:color w:val="auto"/>
          <w:sz w:val="20"/>
          <w:highlight w:val="none"/>
        </w:rPr>
      </w:pPr>
      <w:r>
        <w:rPr>
          <w:rFonts w:hint="eastAsia" w:ascii="仿宋" w:hAnsi="仿宋" w:eastAsia="仿宋" w:cs="仿宋"/>
          <w:color w:val="auto"/>
          <w:sz w:val="20"/>
          <w:highlight w:val="none"/>
        </w:rPr>
        <w:t>从业人员、营业收入、资产总额填报上一年度数据，无上一年度数据的新成立企业可不填报。</w:t>
      </w:r>
    </w:p>
    <w:p w14:paraId="4FEBFCD6">
      <w:pPr>
        <w:snapToGrid w:val="0"/>
        <w:spacing w:before="50" w:after="165" w:afterLines="50" w:line="360" w:lineRule="auto"/>
        <w:ind w:firstLine="300" w:firstLineChars="150"/>
        <w:jc w:val="left"/>
        <w:rPr>
          <w:rFonts w:ascii="仿宋" w:hAnsi="仿宋" w:eastAsia="仿宋" w:cs="仿宋"/>
          <w:color w:val="auto"/>
          <w:sz w:val="20"/>
          <w:highlight w:val="none"/>
        </w:rPr>
      </w:pPr>
      <w:r>
        <w:rPr>
          <w:rFonts w:hint="eastAsia" w:ascii="仿宋" w:hAnsi="仿宋" w:eastAsia="仿宋" w:cs="仿宋"/>
          <w:color w:val="auto"/>
          <w:sz w:val="20"/>
          <w:highlight w:val="none"/>
          <w:lang w:eastAsia="zh-CN"/>
        </w:rPr>
        <w:t>2.</w:t>
      </w:r>
      <w:r>
        <w:rPr>
          <w:rFonts w:hint="eastAsia" w:ascii="仿宋" w:hAnsi="仿宋" w:eastAsia="仿宋" w:cs="仿宋"/>
          <w:color w:val="auto"/>
          <w:sz w:val="20"/>
          <w:highlight w:val="none"/>
        </w:rPr>
        <w:t>请根据自己的真实情况出具《中小企业声明函》。依法享受中小企业优惠政策的，采购人或者采购代理机构在公告中标结果时，同时公告其《中小企业声明函》，接受社会监督。</w:t>
      </w:r>
    </w:p>
    <w:p w14:paraId="2B4F7CE7">
      <w:pPr>
        <w:spacing w:line="360" w:lineRule="auto"/>
        <w:jc w:val="center"/>
        <w:rPr>
          <w:rFonts w:ascii="宋体" w:hAnsi="Courier New"/>
          <w:b/>
          <w:color w:val="auto"/>
          <w:sz w:val="30"/>
          <w:szCs w:val="30"/>
          <w:highlight w:val="none"/>
        </w:rPr>
      </w:pPr>
      <w:r>
        <w:rPr>
          <w:rFonts w:hint="eastAsia" w:ascii="宋体" w:hAnsi="Courier New"/>
          <w:b/>
          <w:color w:val="auto"/>
          <w:sz w:val="30"/>
          <w:szCs w:val="30"/>
          <w:highlight w:val="none"/>
        </w:rPr>
        <w:t>残疾人福利性单位声明函（如有）</w:t>
      </w:r>
    </w:p>
    <w:p w14:paraId="2377779F">
      <w:pPr>
        <w:spacing w:line="360" w:lineRule="auto"/>
        <w:jc w:val="center"/>
        <w:rPr>
          <w:rFonts w:ascii="宋体" w:hAnsi="Courier New"/>
          <w:b/>
          <w:color w:val="auto"/>
          <w:sz w:val="30"/>
          <w:szCs w:val="30"/>
          <w:highlight w:val="none"/>
        </w:rPr>
      </w:pPr>
    </w:p>
    <w:p w14:paraId="3934D01A">
      <w:pPr>
        <w:spacing w:line="360" w:lineRule="auto"/>
        <w:jc w:val="left"/>
        <w:rPr>
          <w:rFonts w:ascii="仿宋" w:hAnsi="仿宋" w:eastAsia="仿宋" w:cs="仿宋"/>
          <w:color w:val="auto"/>
          <w:sz w:val="24"/>
          <w:highlight w:val="none"/>
        </w:rPr>
      </w:pPr>
      <w:r>
        <w:rPr>
          <w:rFonts w:hint="eastAsia" w:ascii="宋体" w:hAnsi="Courier New"/>
          <w:color w:val="auto"/>
          <w:sz w:val="30"/>
          <w:szCs w:val="30"/>
          <w:highlight w:val="none"/>
        </w:rPr>
        <w:t xml:space="preserve">  </w:t>
      </w:r>
      <w:r>
        <w:rPr>
          <w:rFonts w:hint="eastAsia" w:ascii="仿宋" w:hAnsi="仿宋" w:eastAsia="仿宋" w:cs="仿宋"/>
          <w:color w:val="auto"/>
          <w:sz w:val="30"/>
          <w:szCs w:val="30"/>
          <w:highlight w:val="none"/>
        </w:rPr>
        <w:t xml:space="preserve"> </w:t>
      </w:r>
      <w:r>
        <w:rPr>
          <w:rFonts w:hint="eastAsia" w:ascii="仿宋" w:hAnsi="仿宋" w:eastAsia="仿宋" w:cs="仿宋"/>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仿宋" w:hAnsi="仿宋" w:eastAsia="仿宋" w:cs="仿宋"/>
          <w:color w:val="auto"/>
          <w:sz w:val="24"/>
          <w:highlight w:val="none"/>
          <w:u w:val="single"/>
        </w:rPr>
        <w:t xml:space="preserve"> 宾阳县就业服务中心 </w:t>
      </w:r>
      <w:r>
        <w:rPr>
          <w:rFonts w:hint="eastAsia" w:ascii="仿宋" w:hAnsi="仿宋" w:eastAsia="仿宋" w:cs="仿宋"/>
          <w:color w:val="auto"/>
          <w:sz w:val="24"/>
          <w:highlight w:val="none"/>
        </w:rPr>
        <w:t>单位的</w:t>
      </w:r>
      <w:r>
        <w:rPr>
          <w:rFonts w:hint="eastAsia" w:ascii="仿宋" w:hAnsi="仿宋" w:eastAsia="仿宋" w:cs="仿宋"/>
          <w:color w:val="auto"/>
          <w:sz w:val="24"/>
          <w:highlight w:val="none"/>
          <w:u w:val="single"/>
        </w:rPr>
        <w:t>宾阳县县域公共就业服务能力提升项目</w:t>
      </w:r>
      <w:r>
        <w:rPr>
          <w:rFonts w:hint="eastAsia" w:ascii="仿宋" w:hAnsi="仿宋" w:eastAsia="仿宋" w:cs="仿宋"/>
          <w:color w:val="auto"/>
          <w:sz w:val="24"/>
          <w:highlight w:val="none"/>
        </w:rPr>
        <w:t>采购活动提供本单位制造的货物（由本单位承担工程/提供服务），或者提供其他残疾人福利性单位制造的货物（不包括使用非残疾人福利性单位注册商标的货物）。</w:t>
      </w:r>
    </w:p>
    <w:p w14:paraId="3A2037E8">
      <w:pPr>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本公司对上述声明的真实性负责。如有虚假，将依法承担相应责任。</w:t>
      </w:r>
    </w:p>
    <w:p w14:paraId="010D9D8C">
      <w:pPr>
        <w:spacing w:line="360" w:lineRule="auto"/>
        <w:jc w:val="left"/>
        <w:rPr>
          <w:rFonts w:ascii="仿宋" w:hAnsi="仿宋" w:eastAsia="仿宋" w:cs="仿宋"/>
          <w:b/>
          <w:color w:val="auto"/>
          <w:szCs w:val="21"/>
          <w:highlight w:val="none"/>
        </w:rPr>
      </w:pPr>
    </w:p>
    <w:p w14:paraId="0261A44F">
      <w:pPr>
        <w:spacing w:line="360" w:lineRule="auto"/>
        <w:jc w:val="left"/>
        <w:rPr>
          <w:rFonts w:ascii="仿宋" w:hAnsi="仿宋" w:eastAsia="仿宋" w:cs="仿宋"/>
          <w:b/>
          <w:color w:val="auto"/>
          <w:szCs w:val="21"/>
          <w:highlight w:val="none"/>
        </w:rPr>
      </w:pPr>
    </w:p>
    <w:p w14:paraId="76E910C3">
      <w:pPr>
        <w:snapToGrid w:val="0"/>
        <w:spacing w:line="360" w:lineRule="auto"/>
        <w:ind w:left="5137" w:leftChars="1736" w:hanging="1491" w:hangingChars="825"/>
        <w:rPr>
          <w:rFonts w:ascii="仿宋" w:hAnsi="仿宋" w:eastAsia="仿宋" w:cs="仿宋"/>
          <w:color w:val="auto"/>
          <w:kern w:val="0"/>
          <w:sz w:val="24"/>
          <w:highlight w:val="none"/>
        </w:rPr>
      </w:pPr>
      <w:r>
        <w:rPr>
          <w:rFonts w:hint="eastAsia" w:ascii="仿宋" w:hAnsi="仿宋" w:eastAsia="仿宋" w:cs="仿宋"/>
          <w:b/>
          <w:color w:val="auto"/>
          <w:sz w:val="18"/>
          <w:szCs w:val="18"/>
          <w:highlight w:val="none"/>
        </w:rPr>
        <w:t xml:space="preserve">                                                                    </w:t>
      </w:r>
      <w:r>
        <w:rPr>
          <w:rFonts w:hint="eastAsia" w:ascii="仿宋" w:hAnsi="仿宋" w:eastAsia="仿宋" w:cs="仿宋"/>
          <w:color w:val="auto"/>
          <w:kern w:val="0"/>
          <w:sz w:val="24"/>
          <w:highlight w:val="none"/>
          <w:lang w:val="zh-CN"/>
        </w:rPr>
        <w:t>投标人名称（电子签章）：</w:t>
      </w:r>
    </w:p>
    <w:p w14:paraId="6634F8AA">
      <w:pPr>
        <w:snapToGrid w:val="0"/>
        <w:spacing w:line="360" w:lineRule="auto"/>
        <w:ind w:firstLine="5160" w:firstLineChars="215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193491F6">
      <w:pPr>
        <w:spacing w:line="360" w:lineRule="auto"/>
        <w:ind w:left="5132" w:leftChars="1979" w:hanging="976" w:hangingChars="488"/>
        <w:rPr>
          <w:rFonts w:ascii="仿宋" w:hAnsi="仿宋" w:eastAsia="仿宋" w:cs="仿宋"/>
          <w:color w:val="auto"/>
          <w:sz w:val="20"/>
          <w:szCs w:val="20"/>
          <w:highlight w:val="none"/>
        </w:rPr>
      </w:pPr>
    </w:p>
    <w:p w14:paraId="10D05C0B">
      <w:pPr>
        <w:spacing w:line="360" w:lineRule="auto"/>
        <w:jc w:val="left"/>
        <w:rPr>
          <w:rFonts w:ascii="仿宋" w:hAnsi="仿宋" w:eastAsia="仿宋" w:cs="仿宋"/>
          <w:color w:val="auto"/>
          <w:sz w:val="24"/>
          <w:szCs w:val="20"/>
          <w:highlight w:val="none"/>
        </w:rPr>
      </w:pPr>
      <w:r>
        <w:rPr>
          <w:rFonts w:hint="eastAsia" w:ascii="仿宋" w:hAnsi="仿宋" w:eastAsia="仿宋" w:cs="仿宋"/>
          <w:color w:val="auto"/>
          <w:sz w:val="24"/>
          <w:szCs w:val="20"/>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w:t>
      </w:r>
      <w:r>
        <w:rPr>
          <w:rFonts w:hint="eastAsia" w:ascii="仿宋" w:hAnsi="仿宋" w:eastAsia="仿宋" w:cs="仿宋"/>
          <w:color w:val="auto"/>
          <w:sz w:val="24"/>
          <w:szCs w:val="20"/>
          <w:highlight w:val="none"/>
          <w:lang w:eastAsia="zh-CN"/>
        </w:rPr>
        <w:t>〔2014〕68号</w:t>
      </w:r>
      <w:r>
        <w:rPr>
          <w:rFonts w:hint="eastAsia" w:ascii="仿宋" w:hAnsi="仿宋" w:eastAsia="仿宋" w:cs="仿宋"/>
          <w:color w:val="auto"/>
          <w:sz w:val="24"/>
          <w:szCs w:val="20"/>
          <w:highlight w:val="none"/>
        </w:rPr>
        <w:t>）的规定，投标人提供由省级以上监狱管理局、戒毒管理局（含新疆生产建设兵团）出具的属于监狱企业证明文件的，视同为小型和微型企业。</w:t>
      </w:r>
    </w:p>
    <w:p w14:paraId="2467C506">
      <w:pPr>
        <w:spacing w:line="600" w:lineRule="exact"/>
        <w:rPr>
          <w:b/>
          <w:bCs/>
          <w:color w:val="auto"/>
          <w:sz w:val="30"/>
          <w:szCs w:val="30"/>
          <w:highlight w:val="none"/>
        </w:rPr>
      </w:pPr>
    </w:p>
    <w:p w14:paraId="3BFE4568">
      <w:pPr>
        <w:widowControl/>
        <w:jc w:val="left"/>
        <w:rPr>
          <w:rFonts w:ascii="仿宋" w:hAnsi="仿宋" w:eastAsia="仿宋" w:cs="仿宋"/>
          <w:color w:val="auto"/>
          <w:sz w:val="30"/>
          <w:szCs w:val="20"/>
          <w:highlight w:val="none"/>
        </w:rPr>
        <w:sectPr>
          <w:pgSz w:w="11906" w:h="16838"/>
          <w:pgMar w:top="1134" w:right="1134" w:bottom="1134" w:left="1134" w:header="720" w:footer="720" w:gutter="0"/>
          <w:cols w:space="720" w:num="1"/>
          <w:docGrid w:type="lines" w:linePitch="331" w:charSpace="0"/>
        </w:sectPr>
      </w:pPr>
    </w:p>
    <w:p w14:paraId="24B97289">
      <w:pPr>
        <w:snapToGrid w:val="0"/>
        <w:spacing w:before="165" w:beforeLines="50" w:after="50"/>
        <w:jc w:val="center"/>
        <w:outlineLvl w:val="1"/>
        <w:rPr>
          <w:rFonts w:ascii="宋体" w:hAnsi="宋体"/>
          <w:b/>
          <w:bCs/>
          <w:color w:val="auto"/>
          <w:sz w:val="28"/>
          <w:szCs w:val="28"/>
          <w:highlight w:val="none"/>
        </w:rPr>
      </w:pPr>
      <w:bookmarkStart w:id="35" w:name="_Toc32545"/>
      <w:r>
        <w:rPr>
          <w:rFonts w:hint="eastAsia" w:ascii="宋体" w:hAnsi="宋体"/>
          <w:b/>
          <w:bCs/>
          <w:color w:val="auto"/>
          <w:sz w:val="28"/>
          <w:szCs w:val="28"/>
          <w:highlight w:val="none"/>
        </w:rPr>
        <w:t>第六节 其他文书、文件格式</w:t>
      </w:r>
      <w:bookmarkEnd w:id="35"/>
    </w:p>
    <w:p w14:paraId="796BBDBE">
      <w:pPr>
        <w:jc w:val="center"/>
        <w:rPr>
          <w:rFonts w:ascii="宋体" w:hAnsi="宋体" w:cs="宋体"/>
          <w:b/>
          <w:bCs/>
          <w:color w:val="auto"/>
          <w:sz w:val="32"/>
          <w:szCs w:val="32"/>
          <w:highlight w:val="none"/>
          <w:lang w:val="en"/>
        </w:rPr>
      </w:pPr>
    </w:p>
    <w:p w14:paraId="355B2945">
      <w:pPr>
        <w:jc w:val="center"/>
        <w:rPr>
          <w:rFonts w:ascii="宋体" w:hAnsi="宋体" w:cs="宋体"/>
          <w:b/>
          <w:bCs/>
          <w:color w:val="auto"/>
          <w:sz w:val="32"/>
          <w:szCs w:val="32"/>
          <w:highlight w:val="none"/>
          <w:lang w:val="en"/>
        </w:rPr>
      </w:pPr>
      <w:r>
        <w:rPr>
          <w:rFonts w:hint="eastAsia" w:ascii="宋体" w:hAnsi="宋体" w:cs="宋体"/>
          <w:b/>
          <w:bCs/>
          <w:color w:val="auto"/>
          <w:sz w:val="32"/>
          <w:szCs w:val="32"/>
          <w:highlight w:val="none"/>
          <w:lang w:val="en"/>
        </w:rPr>
        <w:t>知识产权合规性声明</w:t>
      </w:r>
    </w:p>
    <w:p w14:paraId="054B10AA">
      <w:pPr>
        <w:rPr>
          <w:rFonts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 xml:space="preserve">    </w:t>
      </w:r>
    </w:p>
    <w:p w14:paraId="2BCB0002">
      <w:pPr>
        <w:rPr>
          <w:rFonts w:ascii="仿宋_GB2312" w:hAnsi="仿宋_GB2312" w:eastAsia="仿宋_GB2312" w:cs="仿宋_GB2312"/>
          <w:color w:val="auto"/>
          <w:sz w:val="30"/>
          <w:szCs w:val="30"/>
          <w:highlight w:val="none"/>
          <w:lang w:val="en"/>
        </w:rPr>
      </w:pPr>
      <w:r>
        <w:rPr>
          <w:rFonts w:hint="eastAsia" w:ascii="仿宋_GB2312" w:hAnsi="仿宋_GB2312" w:eastAsia="仿宋_GB2312" w:cs="仿宋_GB2312"/>
          <w:color w:val="auto"/>
          <w:sz w:val="30"/>
          <w:szCs w:val="30"/>
          <w:highlight w:val="none"/>
        </w:rPr>
        <w:t xml:space="preserve">    本</w:t>
      </w:r>
      <w:r>
        <w:rPr>
          <w:rFonts w:hint="eastAsia" w:ascii="仿宋_GB2312" w:hAnsi="仿宋_GB2312" w:eastAsia="仿宋_GB2312" w:cs="仿宋_GB2312"/>
          <w:color w:val="auto"/>
          <w:sz w:val="30"/>
          <w:szCs w:val="30"/>
          <w:highlight w:val="none"/>
          <w:lang w:val="en"/>
        </w:rPr>
        <w:t>企业自愿参与政府投资政府采购的</w:t>
      </w:r>
      <w:r>
        <w:rPr>
          <w:rFonts w:hint="eastAsia" w:ascii="仿宋_GB2312" w:hAnsi="仿宋_GB2312" w:eastAsia="仿宋_GB2312" w:cs="仿宋_GB2312"/>
          <w:color w:val="auto"/>
          <w:sz w:val="30"/>
          <w:szCs w:val="30"/>
          <w:highlight w:val="none"/>
          <w:u w:val="single"/>
        </w:rPr>
        <w:t>宾阳县县域公共就业服务能力提升</w:t>
      </w:r>
      <w:r>
        <w:rPr>
          <w:rFonts w:hint="eastAsia" w:ascii="仿宋_GB2312" w:hAnsi="仿宋_GB2312" w:eastAsia="仿宋_GB2312" w:cs="仿宋_GB2312"/>
          <w:color w:val="auto"/>
          <w:sz w:val="30"/>
          <w:szCs w:val="30"/>
          <w:highlight w:val="none"/>
          <w:u w:val="single"/>
          <w:lang w:eastAsia="zh-CN"/>
        </w:rPr>
        <w:t>项目</w:t>
      </w:r>
      <w:r>
        <w:rPr>
          <w:rFonts w:hint="eastAsia" w:ascii="仿宋_GB2312" w:hAnsi="仿宋_GB2312" w:eastAsia="仿宋_GB2312" w:cs="仿宋_GB2312"/>
          <w:color w:val="auto"/>
          <w:sz w:val="30"/>
          <w:szCs w:val="30"/>
          <w:highlight w:val="none"/>
          <w:lang w:val="en"/>
        </w:rPr>
        <w:t>，</w:t>
      </w:r>
      <w:r>
        <w:rPr>
          <w:rFonts w:hint="eastAsia" w:ascii="仿宋_GB2312" w:hAnsi="仿宋_GB2312" w:eastAsia="仿宋_GB2312" w:cs="仿宋_GB2312"/>
          <w:b/>
          <w:bCs/>
          <w:color w:val="auto"/>
          <w:sz w:val="30"/>
          <w:szCs w:val="30"/>
          <w:highlight w:val="none"/>
          <w:lang w:val="en"/>
        </w:rPr>
        <w:t>在此郑重承诺：</w:t>
      </w:r>
      <w:r>
        <w:rPr>
          <w:rFonts w:hint="eastAsia" w:ascii="仿宋_GB2312" w:hAnsi="仿宋_GB2312" w:eastAsia="仿宋_GB2312" w:cs="仿宋_GB2312"/>
          <w:color w:val="auto"/>
          <w:sz w:val="30"/>
          <w:szCs w:val="30"/>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将承担由此产生的全部责任。</w:t>
      </w:r>
    </w:p>
    <w:p w14:paraId="25CC13B0">
      <w:pPr>
        <w:snapToGrid w:val="0"/>
        <w:spacing w:line="360" w:lineRule="auto"/>
        <w:ind w:left="5137" w:leftChars="1736" w:hanging="1491" w:hangingChars="825"/>
        <w:rPr>
          <w:b/>
          <w:color w:val="auto"/>
          <w:sz w:val="18"/>
          <w:szCs w:val="18"/>
          <w:highlight w:val="none"/>
        </w:rPr>
      </w:pPr>
      <w:r>
        <w:rPr>
          <w:b/>
          <w:color w:val="auto"/>
          <w:sz w:val="18"/>
          <w:szCs w:val="18"/>
          <w:highlight w:val="none"/>
        </w:rPr>
        <w:t xml:space="preserve">           </w:t>
      </w:r>
    </w:p>
    <w:p w14:paraId="211BFAF1">
      <w:pPr>
        <w:snapToGrid w:val="0"/>
        <w:spacing w:line="360" w:lineRule="auto"/>
        <w:ind w:left="5137" w:leftChars="1736" w:hanging="1491" w:hangingChars="825"/>
        <w:rPr>
          <w:b/>
          <w:color w:val="auto"/>
          <w:sz w:val="18"/>
          <w:szCs w:val="18"/>
          <w:highlight w:val="none"/>
        </w:rPr>
      </w:pPr>
    </w:p>
    <w:p w14:paraId="4976A546">
      <w:pPr>
        <w:snapToGrid w:val="0"/>
        <w:spacing w:line="360" w:lineRule="auto"/>
        <w:ind w:left="5137" w:leftChars="1736" w:hanging="1491" w:hangingChars="825"/>
        <w:rPr>
          <w:b/>
          <w:color w:val="auto"/>
          <w:sz w:val="18"/>
          <w:szCs w:val="18"/>
          <w:highlight w:val="none"/>
        </w:rPr>
      </w:pPr>
    </w:p>
    <w:p w14:paraId="67AF5155">
      <w:pPr>
        <w:snapToGrid w:val="0"/>
        <w:spacing w:line="360" w:lineRule="auto"/>
        <w:ind w:left="5137" w:leftChars="1736" w:hanging="1491" w:hangingChars="825"/>
        <w:rPr>
          <w:rFonts w:ascii="仿宋" w:hAnsi="仿宋" w:eastAsia="仿宋" w:cs="仿宋"/>
          <w:b/>
          <w:color w:val="auto"/>
          <w:sz w:val="18"/>
          <w:szCs w:val="18"/>
          <w:highlight w:val="none"/>
        </w:rPr>
      </w:pPr>
    </w:p>
    <w:p w14:paraId="4BD02117">
      <w:pPr>
        <w:snapToGrid w:val="0"/>
        <w:spacing w:line="360" w:lineRule="auto"/>
        <w:ind w:left="5137" w:leftChars="1736" w:hanging="1491" w:hangingChars="825"/>
        <w:rPr>
          <w:rFonts w:ascii="仿宋" w:hAnsi="仿宋" w:eastAsia="仿宋" w:cs="仿宋"/>
          <w:color w:val="auto"/>
          <w:kern w:val="0"/>
          <w:sz w:val="24"/>
          <w:highlight w:val="none"/>
        </w:rPr>
      </w:pPr>
      <w:r>
        <w:rPr>
          <w:rFonts w:hint="eastAsia" w:ascii="仿宋" w:hAnsi="仿宋" w:eastAsia="仿宋" w:cs="仿宋"/>
          <w:b/>
          <w:color w:val="auto"/>
          <w:sz w:val="18"/>
          <w:szCs w:val="18"/>
          <w:highlight w:val="none"/>
        </w:rPr>
        <w:t xml:space="preserve">      </w:t>
      </w:r>
      <w:r>
        <w:rPr>
          <w:rFonts w:hint="eastAsia" w:ascii="仿宋" w:hAnsi="仿宋" w:eastAsia="仿宋" w:cs="仿宋"/>
          <w:color w:val="auto"/>
          <w:kern w:val="0"/>
          <w:sz w:val="24"/>
          <w:highlight w:val="none"/>
          <w:lang w:val="zh-CN"/>
        </w:rPr>
        <w:t>投标人名称（电子签章）：</w:t>
      </w:r>
    </w:p>
    <w:p w14:paraId="0A9248D3">
      <w:pPr>
        <w:snapToGrid w:val="0"/>
        <w:spacing w:line="360" w:lineRule="auto"/>
        <w:ind w:firstLine="5160" w:firstLineChars="215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2900757C">
      <w:pPr>
        <w:snapToGrid w:val="0"/>
        <w:spacing w:before="50" w:after="165" w:afterLines="50" w:line="360" w:lineRule="auto"/>
        <w:jc w:val="left"/>
        <w:rPr>
          <w:color w:val="auto"/>
          <w:sz w:val="20"/>
          <w:highlight w:val="none"/>
        </w:rPr>
      </w:pPr>
      <w:r>
        <w:rPr>
          <w:rFonts w:hint="eastAsia"/>
          <w:b/>
          <w:color w:val="auto"/>
          <w:sz w:val="30"/>
          <w:szCs w:val="30"/>
          <w:highlight w:val="none"/>
        </w:rPr>
        <w:br w:type="page"/>
      </w:r>
    </w:p>
    <w:p w14:paraId="11A7DDAE">
      <w:pPr>
        <w:pStyle w:val="14"/>
        <w:tabs>
          <w:tab w:val="left" w:pos="2472"/>
        </w:tabs>
        <w:spacing w:line="460" w:lineRule="exact"/>
        <w:jc w:val="center"/>
        <w:rPr>
          <w:rFonts w:ascii="Times New Roman" w:hAnsi="Times New Roman"/>
          <w:b/>
          <w:color w:val="auto"/>
          <w:sz w:val="36"/>
          <w:highlight w:val="none"/>
        </w:rPr>
      </w:pPr>
    </w:p>
    <w:p w14:paraId="6FF0288F">
      <w:pPr>
        <w:pStyle w:val="14"/>
        <w:tabs>
          <w:tab w:val="left" w:pos="2472"/>
        </w:tabs>
        <w:spacing w:line="460" w:lineRule="exact"/>
        <w:jc w:val="center"/>
        <w:rPr>
          <w:rFonts w:ascii="Times New Roman" w:hAnsi="Times New Roman"/>
          <w:b/>
          <w:color w:val="auto"/>
          <w:sz w:val="36"/>
          <w:highlight w:val="none"/>
        </w:rPr>
      </w:pPr>
    </w:p>
    <w:p w14:paraId="6B50F9AC">
      <w:pPr>
        <w:pStyle w:val="14"/>
        <w:tabs>
          <w:tab w:val="left" w:pos="2472"/>
        </w:tabs>
        <w:spacing w:line="460" w:lineRule="exact"/>
        <w:jc w:val="center"/>
        <w:rPr>
          <w:rFonts w:ascii="Times New Roman" w:hAnsi="Times New Roman"/>
          <w:b/>
          <w:color w:val="auto"/>
          <w:sz w:val="36"/>
          <w:highlight w:val="none"/>
        </w:rPr>
      </w:pPr>
    </w:p>
    <w:p w14:paraId="1C8721EA">
      <w:pPr>
        <w:pStyle w:val="14"/>
        <w:tabs>
          <w:tab w:val="left" w:pos="2472"/>
        </w:tabs>
        <w:spacing w:line="460" w:lineRule="exact"/>
        <w:jc w:val="center"/>
        <w:rPr>
          <w:rFonts w:ascii="Times New Roman" w:hAnsi="Times New Roman"/>
          <w:b/>
          <w:color w:val="auto"/>
          <w:sz w:val="36"/>
          <w:highlight w:val="none"/>
        </w:rPr>
      </w:pPr>
    </w:p>
    <w:p w14:paraId="072CCD2D">
      <w:pPr>
        <w:pStyle w:val="14"/>
        <w:tabs>
          <w:tab w:val="left" w:pos="2472"/>
        </w:tabs>
        <w:spacing w:line="460" w:lineRule="exact"/>
        <w:jc w:val="center"/>
        <w:rPr>
          <w:rFonts w:ascii="Times New Roman" w:hAnsi="Times New Roman"/>
          <w:b/>
          <w:color w:val="auto"/>
          <w:sz w:val="36"/>
          <w:highlight w:val="none"/>
        </w:rPr>
      </w:pPr>
    </w:p>
    <w:p w14:paraId="5CC7EF8B">
      <w:pPr>
        <w:pStyle w:val="14"/>
        <w:tabs>
          <w:tab w:val="left" w:pos="2472"/>
        </w:tabs>
        <w:spacing w:line="460" w:lineRule="exact"/>
        <w:jc w:val="center"/>
        <w:rPr>
          <w:rFonts w:ascii="Times New Roman" w:hAnsi="Times New Roman"/>
          <w:b/>
          <w:color w:val="auto"/>
          <w:sz w:val="36"/>
          <w:highlight w:val="none"/>
        </w:rPr>
      </w:pPr>
    </w:p>
    <w:p w14:paraId="7D3D8A2C">
      <w:pPr>
        <w:pStyle w:val="14"/>
        <w:tabs>
          <w:tab w:val="left" w:pos="2472"/>
        </w:tabs>
        <w:spacing w:line="460" w:lineRule="exact"/>
        <w:jc w:val="center"/>
        <w:rPr>
          <w:rFonts w:ascii="Times New Roman" w:hAnsi="Times New Roman"/>
          <w:b/>
          <w:color w:val="auto"/>
          <w:sz w:val="36"/>
          <w:highlight w:val="none"/>
        </w:rPr>
      </w:pPr>
    </w:p>
    <w:p w14:paraId="3CEAC2A7">
      <w:pPr>
        <w:pStyle w:val="14"/>
        <w:tabs>
          <w:tab w:val="left" w:pos="2472"/>
        </w:tabs>
        <w:spacing w:line="460" w:lineRule="exact"/>
        <w:jc w:val="center"/>
        <w:rPr>
          <w:rFonts w:ascii="Times New Roman" w:hAnsi="Times New Roman"/>
          <w:b/>
          <w:color w:val="auto"/>
          <w:sz w:val="36"/>
          <w:highlight w:val="none"/>
        </w:rPr>
      </w:pPr>
    </w:p>
    <w:p w14:paraId="153A6680">
      <w:pPr>
        <w:pStyle w:val="14"/>
        <w:tabs>
          <w:tab w:val="left" w:pos="2472"/>
        </w:tabs>
        <w:spacing w:line="460" w:lineRule="exact"/>
        <w:jc w:val="center"/>
        <w:rPr>
          <w:rFonts w:ascii="Times New Roman" w:hAnsi="Times New Roman"/>
          <w:b/>
          <w:color w:val="auto"/>
          <w:sz w:val="36"/>
          <w:highlight w:val="none"/>
        </w:rPr>
      </w:pPr>
    </w:p>
    <w:p w14:paraId="7C7AEA34">
      <w:pPr>
        <w:pStyle w:val="14"/>
        <w:tabs>
          <w:tab w:val="left" w:pos="2472"/>
        </w:tabs>
        <w:spacing w:line="460" w:lineRule="exact"/>
        <w:jc w:val="center"/>
        <w:rPr>
          <w:rFonts w:ascii="Times New Roman" w:hAnsi="Times New Roman"/>
          <w:b/>
          <w:color w:val="auto"/>
          <w:sz w:val="36"/>
          <w:highlight w:val="none"/>
        </w:rPr>
      </w:pPr>
    </w:p>
    <w:p w14:paraId="1277C574">
      <w:pPr>
        <w:pStyle w:val="14"/>
        <w:tabs>
          <w:tab w:val="left" w:pos="2472"/>
        </w:tabs>
        <w:spacing w:line="460" w:lineRule="exact"/>
        <w:jc w:val="center"/>
        <w:rPr>
          <w:rFonts w:ascii="Times New Roman" w:hAnsi="Times New Roman"/>
          <w:b/>
          <w:color w:val="auto"/>
          <w:sz w:val="36"/>
          <w:highlight w:val="none"/>
        </w:rPr>
      </w:pPr>
    </w:p>
    <w:p w14:paraId="17DEB0A9">
      <w:pPr>
        <w:pStyle w:val="14"/>
        <w:tabs>
          <w:tab w:val="left" w:pos="2472"/>
        </w:tabs>
        <w:spacing w:line="460" w:lineRule="exact"/>
        <w:jc w:val="center"/>
        <w:outlineLvl w:val="0"/>
        <w:rPr>
          <w:rFonts w:ascii="Times New Roman" w:hAnsi="Times New Roman"/>
          <w:b/>
          <w:color w:val="auto"/>
          <w:sz w:val="36"/>
          <w:highlight w:val="none"/>
        </w:rPr>
      </w:pPr>
      <w:bookmarkStart w:id="36" w:name="_Toc7819"/>
      <w:r>
        <w:rPr>
          <w:rFonts w:hint="eastAsia" w:ascii="Times New Roman" w:hAnsi="Times New Roman"/>
          <w:b/>
          <w:color w:val="auto"/>
          <w:sz w:val="36"/>
          <w:highlight w:val="none"/>
        </w:rPr>
        <w:t>第七章</w:t>
      </w:r>
      <w:r>
        <w:rPr>
          <w:rFonts w:ascii="Times New Roman" w:hAnsi="Times New Roman"/>
          <w:b/>
          <w:color w:val="auto"/>
          <w:sz w:val="36"/>
          <w:highlight w:val="none"/>
        </w:rPr>
        <w:t xml:space="preserve"> </w:t>
      </w:r>
      <w:r>
        <w:rPr>
          <w:rFonts w:hint="eastAsia" w:ascii="Times New Roman" w:hAnsi="Times New Roman"/>
          <w:b/>
          <w:color w:val="auto"/>
          <w:sz w:val="36"/>
          <w:highlight w:val="none"/>
        </w:rPr>
        <w:t>质疑、投诉证明材料格式</w:t>
      </w:r>
      <w:bookmarkEnd w:id="36"/>
    </w:p>
    <w:p w14:paraId="552BFBBD">
      <w:pPr>
        <w:widowControl/>
        <w:spacing w:line="360" w:lineRule="auto"/>
        <w:jc w:val="left"/>
        <w:rPr>
          <w:color w:val="auto"/>
          <w:sz w:val="20"/>
          <w:highlight w:val="none"/>
        </w:rPr>
        <w:sectPr>
          <w:pgSz w:w="11906" w:h="16838"/>
          <w:pgMar w:top="1134" w:right="1134" w:bottom="1134" w:left="1134" w:header="720" w:footer="720" w:gutter="0"/>
          <w:cols w:space="720" w:num="1"/>
          <w:docGrid w:type="lines" w:linePitch="331" w:charSpace="0"/>
        </w:sectPr>
      </w:pPr>
    </w:p>
    <w:p w14:paraId="13657248">
      <w:pPr>
        <w:widowControl/>
        <w:shd w:val="clear" w:color="auto" w:fill="FFFFFF"/>
        <w:spacing w:line="260" w:lineRule="exact"/>
        <w:jc w:val="left"/>
        <w:rPr>
          <w:rFonts w:ascii="宋体" w:hAnsi="宋体"/>
          <w:b/>
          <w:bCs/>
          <w:color w:val="auto"/>
          <w:sz w:val="28"/>
          <w:szCs w:val="28"/>
          <w:highlight w:val="none"/>
        </w:rPr>
      </w:pPr>
    </w:p>
    <w:p w14:paraId="35DDE7DC">
      <w:pPr>
        <w:pStyle w:val="3"/>
        <w:jc w:val="center"/>
        <w:rPr>
          <w:rFonts w:ascii="宋体" w:hAnsi="宋体"/>
          <w:b w:val="0"/>
          <w:bCs w:val="0"/>
          <w:color w:val="auto"/>
          <w:highlight w:val="none"/>
        </w:rPr>
      </w:pPr>
      <w:bookmarkStart w:id="37" w:name="_Toc30792"/>
      <w:r>
        <w:rPr>
          <w:rFonts w:hint="eastAsia" w:ascii="宋体" w:hAnsi="宋体"/>
          <w:b w:val="0"/>
          <w:bCs w:val="0"/>
          <w:color w:val="auto"/>
          <w:highlight w:val="none"/>
        </w:rPr>
        <w:t>第一节 质疑函（格式）</w:t>
      </w:r>
      <w:bookmarkEnd w:id="37"/>
    </w:p>
    <w:p w14:paraId="1D14A323">
      <w:pPr>
        <w:jc w:val="center"/>
        <w:rPr>
          <w:rFonts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rPr>
        <w:t>质疑函范本</w:t>
      </w:r>
    </w:p>
    <w:p w14:paraId="3BC342BE">
      <w:pPr>
        <w:adjustRightInd w:val="0"/>
        <w:snapToGrid w:val="0"/>
        <w:spacing w:before="331" w:beforeLines="100" w:line="360" w:lineRule="auto"/>
        <w:rPr>
          <w:rFonts w:ascii="黑体" w:hAnsi="黑体" w:eastAsia="黑体" w:cs="仿宋"/>
          <w:bCs/>
          <w:color w:val="auto"/>
          <w:sz w:val="32"/>
          <w:szCs w:val="32"/>
          <w:highlight w:val="none"/>
        </w:rPr>
      </w:pPr>
      <w:r>
        <w:rPr>
          <w:rFonts w:hint="eastAsia" w:ascii="黑体" w:hAnsi="黑体" w:eastAsia="黑体" w:cs="仿宋"/>
          <w:bCs/>
          <w:color w:val="auto"/>
          <w:sz w:val="32"/>
          <w:szCs w:val="32"/>
          <w:highlight w:val="none"/>
        </w:rPr>
        <w:t>一、质疑供应商基本信息</w:t>
      </w:r>
    </w:p>
    <w:p w14:paraId="4CE4425F">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质疑供应商：</w:t>
      </w:r>
      <w:r>
        <w:rPr>
          <w:rFonts w:hint="eastAsia" w:ascii="仿宋" w:hAnsi="仿宋" w:eastAsia="仿宋" w:cs="仿宋"/>
          <w:color w:val="auto"/>
          <w:sz w:val="32"/>
          <w:szCs w:val="32"/>
          <w:highlight w:val="none"/>
          <w:u w:val="dotted"/>
        </w:rPr>
        <w:t xml:space="preserve">                                        </w:t>
      </w:r>
    </w:p>
    <w:p w14:paraId="6BD31E0F">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地址：</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邮编：</w:t>
      </w:r>
      <w:r>
        <w:rPr>
          <w:rFonts w:hint="eastAsia" w:ascii="仿宋" w:hAnsi="仿宋" w:eastAsia="仿宋" w:cs="仿宋"/>
          <w:color w:val="auto"/>
          <w:sz w:val="32"/>
          <w:szCs w:val="32"/>
          <w:highlight w:val="none"/>
          <w:u w:val="dotted"/>
        </w:rPr>
        <w:t xml:space="preserve">                                                   </w:t>
      </w:r>
    </w:p>
    <w:p w14:paraId="1D3526B4">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联系电话：</w:t>
      </w:r>
      <w:r>
        <w:rPr>
          <w:rFonts w:hint="eastAsia" w:ascii="仿宋" w:hAnsi="仿宋" w:eastAsia="仿宋" w:cs="仿宋"/>
          <w:color w:val="auto"/>
          <w:sz w:val="32"/>
          <w:szCs w:val="32"/>
          <w:highlight w:val="none"/>
          <w:u w:val="dotted"/>
        </w:rPr>
        <w:t xml:space="preserve">                              </w:t>
      </w:r>
    </w:p>
    <w:p w14:paraId="1B1A879B">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授权代表：</w:t>
      </w:r>
      <w:r>
        <w:rPr>
          <w:rFonts w:hint="eastAsia" w:ascii="仿宋" w:hAnsi="仿宋" w:eastAsia="仿宋" w:cs="仿宋"/>
          <w:color w:val="auto"/>
          <w:sz w:val="32"/>
          <w:szCs w:val="32"/>
          <w:highlight w:val="none"/>
          <w:u w:val="dotted"/>
        </w:rPr>
        <w:t xml:space="preserve">                                          </w:t>
      </w:r>
    </w:p>
    <w:p w14:paraId="63D11255">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 xml:space="preserve"> </w:t>
      </w:r>
    </w:p>
    <w:p w14:paraId="66B93C97">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地址： </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邮编：</w:t>
      </w:r>
      <w:r>
        <w:rPr>
          <w:rFonts w:hint="eastAsia" w:ascii="仿宋" w:hAnsi="仿宋" w:eastAsia="仿宋" w:cs="仿宋"/>
          <w:color w:val="auto"/>
          <w:sz w:val="32"/>
          <w:szCs w:val="32"/>
          <w:highlight w:val="none"/>
          <w:u w:val="dotted"/>
        </w:rPr>
        <w:t xml:space="preserve">                                                </w:t>
      </w:r>
    </w:p>
    <w:p w14:paraId="6B565467">
      <w:pPr>
        <w:adjustRightInd w:val="0"/>
        <w:snapToGrid w:val="0"/>
        <w:spacing w:line="360" w:lineRule="auto"/>
        <w:rPr>
          <w:rFonts w:ascii="黑体" w:hAnsi="黑体" w:eastAsia="黑体" w:cs="仿宋"/>
          <w:bCs/>
          <w:color w:val="auto"/>
          <w:sz w:val="32"/>
          <w:szCs w:val="32"/>
          <w:highlight w:val="none"/>
        </w:rPr>
      </w:pPr>
      <w:r>
        <w:rPr>
          <w:rFonts w:hint="eastAsia" w:ascii="黑体" w:hAnsi="黑体" w:eastAsia="黑体" w:cs="仿宋"/>
          <w:bCs/>
          <w:color w:val="auto"/>
          <w:sz w:val="32"/>
          <w:szCs w:val="32"/>
          <w:highlight w:val="none"/>
        </w:rPr>
        <w:t>二、质疑项目基本情况</w:t>
      </w:r>
    </w:p>
    <w:p w14:paraId="69F0F4AB">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质疑项目的名称：</w:t>
      </w:r>
      <w:r>
        <w:rPr>
          <w:rFonts w:hint="eastAsia" w:ascii="仿宋" w:hAnsi="仿宋" w:eastAsia="仿宋" w:cs="仿宋"/>
          <w:color w:val="auto"/>
          <w:sz w:val="32"/>
          <w:szCs w:val="32"/>
          <w:highlight w:val="none"/>
          <w:u w:val="dotted"/>
        </w:rPr>
        <w:t xml:space="preserve">   宾阳县县域公共就业服务能力提升项目    </w:t>
      </w:r>
    </w:p>
    <w:p w14:paraId="5BE72AB2">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质疑项目的编号：</w:t>
      </w:r>
      <w:r>
        <w:rPr>
          <w:rFonts w:hint="eastAsia" w:ascii="仿宋" w:hAnsi="仿宋" w:eastAsia="仿宋" w:cs="仿宋"/>
          <w:color w:val="auto"/>
          <w:sz w:val="32"/>
          <w:szCs w:val="32"/>
          <w:highlight w:val="none"/>
          <w:u w:val="dotted"/>
        </w:rPr>
        <w:t xml:space="preserve">     </w:t>
      </w:r>
      <w:r>
        <w:rPr>
          <w:rFonts w:hint="eastAsia" w:ascii="仿宋" w:hAnsi="仿宋" w:eastAsia="仿宋" w:cs="仿宋"/>
          <w:color w:val="auto"/>
          <w:sz w:val="32"/>
          <w:szCs w:val="32"/>
          <w:highlight w:val="none"/>
        </w:rPr>
        <w:t>包号：</w:t>
      </w:r>
      <w:r>
        <w:rPr>
          <w:rFonts w:hint="eastAsia" w:ascii="仿宋" w:hAnsi="仿宋" w:eastAsia="仿宋" w:cs="仿宋"/>
          <w:color w:val="auto"/>
          <w:sz w:val="32"/>
          <w:szCs w:val="32"/>
          <w:highlight w:val="none"/>
          <w:u w:val="dotted"/>
        </w:rPr>
        <w:t xml:space="preserve">                 </w:t>
      </w:r>
    </w:p>
    <w:p w14:paraId="4E5DE20E">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采购人名称：</w:t>
      </w:r>
      <w:r>
        <w:rPr>
          <w:rFonts w:hint="eastAsia" w:ascii="仿宋" w:hAnsi="仿宋" w:eastAsia="仿宋" w:cs="仿宋"/>
          <w:color w:val="auto"/>
          <w:sz w:val="32"/>
          <w:szCs w:val="32"/>
          <w:highlight w:val="none"/>
          <w:u w:val="dotted"/>
        </w:rPr>
        <w:t xml:space="preserve">    宾阳县就业服务中心  </w:t>
      </w:r>
    </w:p>
    <w:p w14:paraId="02B60270">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采购文件获取日期：</w:t>
      </w:r>
      <w:r>
        <w:rPr>
          <w:rFonts w:hint="eastAsia" w:ascii="仿宋" w:hAnsi="仿宋" w:eastAsia="仿宋" w:cs="仿宋"/>
          <w:color w:val="auto"/>
          <w:sz w:val="32"/>
          <w:szCs w:val="32"/>
          <w:highlight w:val="none"/>
          <w:u w:val="dotted"/>
        </w:rPr>
        <w:t xml:space="preserve">                                           </w:t>
      </w:r>
    </w:p>
    <w:p w14:paraId="1B8843E1">
      <w:pPr>
        <w:adjustRightInd w:val="0"/>
        <w:snapToGrid w:val="0"/>
        <w:spacing w:line="360" w:lineRule="auto"/>
        <w:rPr>
          <w:rFonts w:ascii="黑体" w:hAnsi="黑体" w:eastAsia="黑体" w:cs="仿宋"/>
          <w:bCs/>
          <w:color w:val="auto"/>
          <w:sz w:val="32"/>
          <w:szCs w:val="32"/>
          <w:highlight w:val="none"/>
        </w:rPr>
      </w:pPr>
      <w:r>
        <w:rPr>
          <w:rFonts w:hint="eastAsia" w:ascii="黑体" w:hAnsi="黑体" w:eastAsia="黑体" w:cs="仿宋"/>
          <w:bCs/>
          <w:color w:val="auto"/>
          <w:sz w:val="32"/>
          <w:szCs w:val="32"/>
          <w:highlight w:val="none"/>
        </w:rPr>
        <w:t>三、质疑事项具体内容</w:t>
      </w:r>
    </w:p>
    <w:p w14:paraId="55A0C344">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质疑事项1：</w:t>
      </w:r>
      <w:r>
        <w:rPr>
          <w:rFonts w:hint="eastAsia" w:ascii="仿宋" w:hAnsi="仿宋" w:eastAsia="仿宋" w:cs="仿宋"/>
          <w:color w:val="auto"/>
          <w:sz w:val="32"/>
          <w:szCs w:val="32"/>
          <w:highlight w:val="none"/>
          <w:u w:val="dotted"/>
        </w:rPr>
        <w:t xml:space="preserve">                                         </w:t>
      </w:r>
    </w:p>
    <w:p w14:paraId="136FDED9">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事实依据：</w:t>
      </w:r>
      <w:r>
        <w:rPr>
          <w:rFonts w:hint="eastAsia" w:ascii="仿宋" w:hAnsi="仿宋" w:eastAsia="仿宋" w:cs="仿宋"/>
          <w:color w:val="auto"/>
          <w:sz w:val="32"/>
          <w:szCs w:val="32"/>
          <w:highlight w:val="none"/>
          <w:u w:val="dotted"/>
        </w:rPr>
        <w:t xml:space="preserve">                                          </w:t>
      </w:r>
    </w:p>
    <w:p w14:paraId="45C4E7D3">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u w:val="dotted"/>
        </w:rPr>
        <w:t xml:space="preserve">                                                       </w:t>
      </w:r>
    </w:p>
    <w:p w14:paraId="2DFE5DF3">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法律依据：</w:t>
      </w:r>
      <w:r>
        <w:rPr>
          <w:rFonts w:hint="eastAsia" w:ascii="仿宋" w:hAnsi="仿宋" w:eastAsia="仿宋" w:cs="仿宋"/>
          <w:color w:val="auto"/>
          <w:sz w:val="32"/>
          <w:szCs w:val="32"/>
          <w:highlight w:val="none"/>
          <w:u w:val="dotted"/>
        </w:rPr>
        <w:t xml:space="preserve">                                          </w:t>
      </w:r>
    </w:p>
    <w:p w14:paraId="1266F405">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u w:val="dotted"/>
        </w:rPr>
        <w:t xml:space="preserve">                                                     </w:t>
      </w:r>
    </w:p>
    <w:p w14:paraId="12AC14E6">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质疑事项2</w:t>
      </w:r>
    </w:p>
    <w:p w14:paraId="6EAA6E0E">
      <w:pPr>
        <w:adjustRightInd w:val="0"/>
        <w:snapToGrid w:val="0"/>
        <w:spacing w:line="360" w:lineRule="auto"/>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w:t>
      </w:r>
    </w:p>
    <w:p w14:paraId="1B4CF943">
      <w:pPr>
        <w:adjustRightInd w:val="0"/>
        <w:snapToGrid w:val="0"/>
        <w:spacing w:line="360" w:lineRule="auto"/>
        <w:rPr>
          <w:rFonts w:ascii="黑体" w:hAnsi="黑体" w:eastAsia="黑体" w:cs="仿宋"/>
          <w:bCs/>
          <w:color w:val="auto"/>
          <w:sz w:val="32"/>
          <w:szCs w:val="32"/>
          <w:highlight w:val="none"/>
        </w:rPr>
      </w:pPr>
      <w:r>
        <w:rPr>
          <w:rFonts w:hint="eastAsia" w:ascii="黑体" w:hAnsi="黑体" w:eastAsia="黑体" w:cs="仿宋"/>
          <w:bCs/>
          <w:color w:val="auto"/>
          <w:sz w:val="32"/>
          <w:szCs w:val="32"/>
          <w:highlight w:val="none"/>
        </w:rPr>
        <w:t>四、与质疑事项相关的质疑请求</w:t>
      </w:r>
    </w:p>
    <w:p w14:paraId="730341A6">
      <w:pPr>
        <w:adjustRightInd w:val="0"/>
        <w:snapToGrid w:val="0"/>
        <w:spacing w:line="360" w:lineRule="auto"/>
        <w:rPr>
          <w:rFonts w:ascii="仿宋" w:hAnsi="仿宋" w:eastAsia="仿宋" w:cs="仿宋"/>
          <w:color w:val="auto"/>
          <w:sz w:val="32"/>
          <w:szCs w:val="32"/>
          <w:highlight w:val="none"/>
          <w:u w:val="dotted"/>
        </w:rPr>
      </w:pPr>
      <w:r>
        <w:rPr>
          <w:rFonts w:hint="eastAsia" w:ascii="仿宋" w:hAnsi="仿宋" w:eastAsia="仿宋" w:cs="仿宋"/>
          <w:color w:val="auto"/>
          <w:sz w:val="32"/>
          <w:szCs w:val="32"/>
          <w:highlight w:val="none"/>
        </w:rPr>
        <w:t>请求：</w:t>
      </w:r>
      <w:r>
        <w:rPr>
          <w:rFonts w:hint="eastAsia" w:ascii="仿宋" w:hAnsi="仿宋" w:eastAsia="仿宋" w:cs="仿宋"/>
          <w:color w:val="auto"/>
          <w:sz w:val="32"/>
          <w:szCs w:val="32"/>
          <w:highlight w:val="none"/>
          <w:u w:val="dotted"/>
        </w:rPr>
        <w:t xml:space="preserve">                                               </w:t>
      </w:r>
    </w:p>
    <w:p w14:paraId="5EFA73FD">
      <w:pPr>
        <w:rPr>
          <w:rFonts w:ascii="仿宋_GB2312" w:eastAsia="仿宋_GB2312"/>
          <w:color w:val="auto"/>
          <w:sz w:val="30"/>
          <w:szCs w:val="30"/>
          <w:highlight w:val="none"/>
        </w:rPr>
      </w:pPr>
      <w:r>
        <w:rPr>
          <w:rFonts w:hint="eastAsia" w:ascii="仿宋_GB2312" w:eastAsia="仿宋_GB2312"/>
          <w:color w:val="auto"/>
          <w:sz w:val="30"/>
          <w:szCs w:val="30"/>
          <w:highlight w:val="none"/>
        </w:rPr>
        <w:t>签字</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rPr>
        <w:t>签章</w:t>
      </w:r>
      <w:r>
        <w:rPr>
          <w:rFonts w:hint="eastAsia" w:ascii="仿宋_GB2312" w:eastAsia="仿宋_GB2312"/>
          <w:color w:val="auto"/>
          <w:sz w:val="30"/>
          <w:szCs w:val="30"/>
          <w:highlight w:val="none"/>
          <w:lang w:eastAsia="zh-CN"/>
        </w:rPr>
        <w:t>）</w:t>
      </w:r>
      <w:r>
        <w:rPr>
          <w:rFonts w:hint="eastAsia" w:ascii="仿宋_GB2312" w:eastAsia="仿宋_GB2312"/>
          <w:color w:val="auto"/>
          <w:sz w:val="30"/>
          <w:szCs w:val="30"/>
          <w:highlight w:val="none"/>
        </w:rPr>
        <w:t xml:space="preserve">：                   公章：                      </w:t>
      </w:r>
    </w:p>
    <w:p w14:paraId="4940A653">
      <w:pPr>
        <w:rPr>
          <w:rFonts w:ascii="仿宋_GB2312" w:eastAsia="仿宋_GB2312"/>
          <w:color w:val="auto"/>
          <w:sz w:val="30"/>
          <w:szCs w:val="30"/>
          <w:highlight w:val="none"/>
        </w:rPr>
      </w:pPr>
      <w:r>
        <w:rPr>
          <w:rFonts w:hint="eastAsia" w:ascii="仿宋_GB2312" w:eastAsia="仿宋_GB2312"/>
          <w:color w:val="auto"/>
          <w:sz w:val="30"/>
          <w:szCs w:val="30"/>
          <w:highlight w:val="none"/>
        </w:rPr>
        <w:t xml:space="preserve">日期：    </w:t>
      </w:r>
    </w:p>
    <w:p w14:paraId="503989D4">
      <w:pPr>
        <w:adjustRightInd w:val="0"/>
        <w:snapToGrid w:val="0"/>
        <w:spacing w:line="360" w:lineRule="auto"/>
        <w:rPr>
          <w:rFonts w:ascii="仿宋" w:hAnsi="仿宋" w:eastAsia="仿宋" w:cs="仿宋"/>
          <w:color w:val="auto"/>
          <w:sz w:val="32"/>
          <w:szCs w:val="32"/>
          <w:highlight w:val="none"/>
        </w:rPr>
      </w:pPr>
    </w:p>
    <w:p w14:paraId="4A697563">
      <w:pPr>
        <w:adjustRightInd w:val="0"/>
        <w:snapToGrid w:val="0"/>
        <w:spacing w:line="360" w:lineRule="auto"/>
        <w:rPr>
          <w:rFonts w:ascii="仿宋" w:hAnsi="仿宋" w:eastAsia="仿宋" w:cs="仿宋"/>
          <w:color w:val="auto"/>
          <w:sz w:val="32"/>
          <w:szCs w:val="32"/>
          <w:highlight w:val="none"/>
        </w:rPr>
      </w:pPr>
    </w:p>
    <w:p w14:paraId="4AC93BF8">
      <w:pPr>
        <w:jc w:val="center"/>
        <w:rPr>
          <w:rFonts w:ascii="仿宋" w:hAnsi="仿宋" w:eastAsia="仿宋" w:cs="仿宋"/>
          <w:b/>
          <w:bCs/>
          <w:color w:val="auto"/>
          <w:sz w:val="32"/>
          <w:szCs w:val="32"/>
          <w:highlight w:val="none"/>
        </w:rPr>
      </w:pPr>
    </w:p>
    <w:p w14:paraId="250E6D3D">
      <w:pPr>
        <w:jc w:val="center"/>
        <w:rPr>
          <w:rFonts w:ascii="仿宋" w:hAnsi="仿宋" w:eastAsia="仿宋" w:cs="仿宋"/>
          <w:b/>
          <w:bCs/>
          <w:color w:val="auto"/>
          <w:sz w:val="32"/>
          <w:szCs w:val="32"/>
          <w:highlight w:val="none"/>
        </w:rPr>
      </w:pPr>
    </w:p>
    <w:p w14:paraId="35819653">
      <w:pPr>
        <w:jc w:val="center"/>
        <w:rPr>
          <w:rFonts w:ascii="仿宋" w:hAnsi="仿宋" w:eastAsia="仿宋" w:cs="仿宋"/>
          <w:b/>
          <w:bCs/>
          <w:color w:val="auto"/>
          <w:sz w:val="32"/>
          <w:szCs w:val="32"/>
          <w:highlight w:val="none"/>
        </w:rPr>
      </w:pPr>
    </w:p>
    <w:p w14:paraId="4770CDD6">
      <w:pPr>
        <w:jc w:val="center"/>
        <w:rPr>
          <w:rFonts w:ascii="仿宋" w:hAnsi="仿宋" w:eastAsia="仿宋" w:cs="仿宋"/>
          <w:b/>
          <w:bCs/>
          <w:color w:val="auto"/>
          <w:sz w:val="32"/>
          <w:szCs w:val="32"/>
          <w:highlight w:val="none"/>
        </w:rPr>
      </w:pPr>
    </w:p>
    <w:p w14:paraId="4D9562DB">
      <w:pPr>
        <w:jc w:val="center"/>
        <w:rPr>
          <w:rFonts w:ascii="仿宋" w:hAnsi="仿宋" w:eastAsia="仿宋" w:cs="仿宋"/>
          <w:b/>
          <w:bCs/>
          <w:color w:val="auto"/>
          <w:sz w:val="32"/>
          <w:szCs w:val="32"/>
          <w:highlight w:val="none"/>
        </w:rPr>
      </w:pPr>
    </w:p>
    <w:p w14:paraId="76FE5CC6">
      <w:pPr>
        <w:jc w:val="center"/>
        <w:rPr>
          <w:rFonts w:ascii="仿宋" w:hAnsi="仿宋" w:eastAsia="仿宋" w:cs="仿宋"/>
          <w:b/>
          <w:bCs/>
          <w:color w:val="auto"/>
          <w:sz w:val="32"/>
          <w:szCs w:val="32"/>
          <w:highlight w:val="none"/>
        </w:rPr>
      </w:pPr>
    </w:p>
    <w:p w14:paraId="173A0361">
      <w:pPr>
        <w:jc w:val="center"/>
        <w:rPr>
          <w:rFonts w:ascii="仿宋" w:hAnsi="仿宋" w:eastAsia="仿宋" w:cs="仿宋"/>
          <w:b/>
          <w:bCs/>
          <w:color w:val="auto"/>
          <w:sz w:val="32"/>
          <w:szCs w:val="32"/>
          <w:highlight w:val="none"/>
        </w:rPr>
      </w:pPr>
    </w:p>
    <w:p w14:paraId="27A06600">
      <w:pPr>
        <w:rPr>
          <w:rFonts w:ascii="黑体" w:hAnsi="黑体" w:eastAsia="黑体"/>
          <w:b/>
          <w:color w:val="auto"/>
          <w:sz w:val="32"/>
          <w:szCs w:val="32"/>
          <w:highlight w:val="none"/>
        </w:rPr>
      </w:pPr>
    </w:p>
    <w:p w14:paraId="4F75C599">
      <w:pPr>
        <w:rPr>
          <w:rFonts w:ascii="黑体" w:hAnsi="黑体" w:eastAsia="黑体"/>
          <w:b/>
          <w:color w:val="auto"/>
          <w:sz w:val="32"/>
          <w:szCs w:val="32"/>
          <w:highlight w:val="none"/>
        </w:rPr>
      </w:pPr>
    </w:p>
    <w:p w14:paraId="742A4FE0">
      <w:pPr>
        <w:rPr>
          <w:rFonts w:ascii="黑体" w:hAnsi="黑体" w:eastAsia="黑体"/>
          <w:b/>
          <w:color w:val="auto"/>
          <w:sz w:val="32"/>
          <w:szCs w:val="32"/>
          <w:highlight w:val="none"/>
        </w:rPr>
      </w:pPr>
    </w:p>
    <w:p w14:paraId="164747A7">
      <w:pPr>
        <w:rPr>
          <w:rFonts w:ascii="黑体" w:hAnsi="黑体" w:eastAsia="黑体"/>
          <w:b/>
          <w:color w:val="auto"/>
          <w:sz w:val="32"/>
          <w:szCs w:val="32"/>
          <w:highlight w:val="none"/>
        </w:rPr>
      </w:pPr>
    </w:p>
    <w:p w14:paraId="47948E23">
      <w:pPr>
        <w:rPr>
          <w:rFonts w:ascii="黑体" w:hAnsi="黑体" w:eastAsia="黑体"/>
          <w:b/>
          <w:color w:val="auto"/>
          <w:sz w:val="32"/>
          <w:szCs w:val="32"/>
          <w:highlight w:val="none"/>
        </w:rPr>
      </w:pPr>
    </w:p>
    <w:p w14:paraId="291D9E99">
      <w:pPr>
        <w:rPr>
          <w:rFonts w:ascii="黑体" w:hAnsi="黑体" w:eastAsia="黑体"/>
          <w:b/>
          <w:color w:val="auto"/>
          <w:sz w:val="32"/>
          <w:szCs w:val="32"/>
          <w:highlight w:val="none"/>
        </w:rPr>
      </w:pPr>
    </w:p>
    <w:p w14:paraId="705A0ACD">
      <w:pPr>
        <w:rPr>
          <w:rFonts w:ascii="黑体" w:hAnsi="黑体" w:eastAsia="黑体"/>
          <w:b/>
          <w:color w:val="auto"/>
          <w:sz w:val="32"/>
          <w:szCs w:val="32"/>
          <w:highlight w:val="none"/>
        </w:rPr>
      </w:pPr>
    </w:p>
    <w:p w14:paraId="495D55A8">
      <w:pPr>
        <w:rPr>
          <w:rFonts w:ascii="黑体" w:hAnsi="黑体" w:eastAsia="黑体"/>
          <w:b/>
          <w:color w:val="auto"/>
          <w:sz w:val="32"/>
          <w:szCs w:val="32"/>
          <w:highlight w:val="none"/>
        </w:rPr>
      </w:pPr>
    </w:p>
    <w:p w14:paraId="1CABD930">
      <w:pPr>
        <w:rPr>
          <w:rFonts w:ascii="黑体" w:hAnsi="黑体" w:eastAsia="黑体"/>
          <w:b/>
          <w:color w:val="auto"/>
          <w:sz w:val="32"/>
          <w:szCs w:val="32"/>
          <w:highlight w:val="none"/>
        </w:rPr>
      </w:pPr>
      <w:r>
        <w:rPr>
          <w:rFonts w:hint="eastAsia" w:ascii="黑体" w:hAnsi="黑体" w:eastAsia="黑体"/>
          <w:b/>
          <w:color w:val="auto"/>
          <w:sz w:val="32"/>
          <w:szCs w:val="32"/>
          <w:highlight w:val="none"/>
        </w:rPr>
        <w:t>质疑函制作说明：</w:t>
      </w:r>
    </w:p>
    <w:p w14:paraId="07B7C109">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1.供应商提出质疑时，应提交质疑函和必要的证明材料。</w:t>
      </w:r>
    </w:p>
    <w:p w14:paraId="2F752B65">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2.质疑供应商若委托代理人进行质疑的，质疑函应按要求列明“授权代表”的有关内容，并在附件中提交由质疑</w:t>
      </w:r>
      <w:r>
        <w:rPr>
          <w:rFonts w:hint="eastAsia" w:ascii="仿宋_GB2312" w:hAnsi="宋体" w:eastAsia="仿宋_GB2312" w:cs="宋体"/>
          <w:color w:val="auto"/>
          <w:kern w:val="0"/>
          <w:sz w:val="32"/>
          <w:szCs w:val="32"/>
          <w:highlight w:val="none"/>
        </w:rPr>
        <w:t>供应商签署的授权委托书。授权委托书应载明代理人的姓名或者名称、代理事项、具体权限、期限和相关事项。</w:t>
      </w:r>
    </w:p>
    <w:p w14:paraId="3D0E9337">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3.质疑供应商若对项目的某一分包进行质疑，质疑函中应列明具体分包号。</w:t>
      </w:r>
    </w:p>
    <w:p w14:paraId="7332706E">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4.质疑函的质疑事项应具体、明确，并有必要的事实依据和法律依据。</w:t>
      </w:r>
    </w:p>
    <w:p w14:paraId="711028CA">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5.质疑函的质疑请求应与质疑事项相关。</w:t>
      </w:r>
    </w:p>
    <w:p w14:paraId="13F9BEE7">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6.质疑供应商为自然人的，质疑函应由本人签字；质疑供应商为法人或者其他组织的，质疑函应由法定代表人、主要负责人，或者其授权代表签字或者盖章，并加盖公章。</w:t>
      </w:r>
    </w:p>
    <w:p w14:paraId="6F1D5E96">
      <w:pPr>
        <w:widowControl/>
        <w:ind w:firstLine="600" w:firstLineChars="200"/>
        <w:jc w:val="left"/>
        <w:rPr>
          <w:rFonts w:ascii="仿宋_GB2312" w:eastAsia="仿宋_GB2312"/>
          <w:color w:val="auto"/>
          <w:sz w:val="30"/>
          <w:szCs w:val="30"/>
          <w:highlight w:val="none"/>
        </w:rPr>
      </w:pPr>
    </w:p>
    <w:p w14:paraId="54C282F2">
      <w:pPr>
        <w:widowControl/>
        <w:spacing w:line="360" w:lineRule="auto"/>
        <w:jc w:val="left"/>
        <w:rPr>
          <w:rFonts w:ascii="ˎ̥" w:hAnsi="ˎ̥" w:cs="宋体"/>
          <w:color w:val="auto"/>
          <w:kern w:val="0"/>
          <w:sz w:val="24"/>
          <w:highlight w:val="none"/>
        </w:rPr>
        <w:sectPr>
          <w:pgSz w:w="11906" w:h="16838"/>
          <w:pgMar w:top="1134" w:right="1134" w:bottom="1134" w:left="1134" w:header="720" w:footer="720" w:gutter="0"/>
          <w:cols w:space="720" w:num="1"/>
          <w:docGrid w:type="lines" w:linePitch="331" w:charSpace="0"/>
        </w:sectPr>
      </w:pPr>
    </w:p>
    <w:p w14:paraId="452671D4">
      <w:pPr>
        <w:pStyle w:val="3"/>
        <w:jc w:val="center"/>
        <w:rPr>
          <w:rFonts w:ascii="宋体" w:hAnsi="宋体"/>
          <w:b w:val="0"/>
          <w:bCs w:val="0"/>
          <w:color w:val="auto"/>
          <w:highlight w:val="none"/>
        </w:rPr>
      </w:pPr>
      <w:bookmarkStart w:id="38" w:name="_Toc19089"/>
      <w:r>
        <w:rPr>
          <w:rFonts w:hint="eastAsia" w:ascii="宋体" w:hAnsi="宋体"/>
          <w:b w:val="0"/>
          <w:bCs w:val="0"/>
          <w:color w:val="auto"/>
          <w:highlight w:val="none"/>
        </w:rPr>
        <w:t>第二节 投诉书（格式）</w:t>
      </w:r>
      <w:bookmarkEnd w:id="38"/>
    </w:p>
    <w:p w14:paraId="6EE9ABC7">
      <w:pPr>
        <w:jc w:val="center"/>
        <w:rPr>
          <w:rFonts w:ascii="宋体" w:hAnsi="宋体"/>
          <w:b/>
          <w:color w:val="auto"/>
          <w:sz w:val="44"/>
          <w:szCs w:val="44"/>
          <w:highlight w:val="none"/>
        </w:rPr>
      </w:pPr>
      <w:r>
        <w:rPr>
          <w:rFonts w:hint="eastAsia" w:ascii="宋体" w:hAnsi="宋体"/>
          <w:b/>
          <w:color w:val="auto"/>
          <w:sz w:val="44"/>
          <w:szCs w:val="44"/>
          <w:highlight w:val="none"/>
        </w:rPr>
        <w:t>投诉书范本</w:t>
      </w:r>
    </w:p>
    <w:p w14:paraId="156FE25D">
      <w:pPr>
        <w:rPr>
          <w:rFonts w:ascii="黑体" w:hAnsi="黑体" w:eastAsia="黑体"/>
          <w:color w:val="auto"/>
          <w:sz w:val="32"/>
          <w:szCs w:val="32"/>
          <w:highlight w:val="none"/>
        </w:rPr>
      </w:pPr>
      <w:r>
        <w:rPr>
          <w:rFonts w:hint="eastAsia" w:ascii="黑体" w:hAnsi="黑体" w:eastAsia="黑体"/>
          <w:color w:val="auto"/>
          <w:sz w:val="32"/>
          <w:szCs w:val="32"/>
          <w:highlight w:val="none"/>
        </w:rPr>
        <w:t>一、投诉相关主体基本情况</w:t>
      </w:r>
    </w:p>
    <w:p w14:paraId="004BC103">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投诉人：</w:t>
      </w:r>
      <w:r>
        <w:rPr>
          <w:rFonts w:hint="eastAsia" w:ascii="仿宋_GB2312" w:eastAsia="仿宋_GB2312"/>
          <w:color w:val="auto"/>
          <w:sz w:val="32"/>
          <w:szCs w:val="32"/>
          <w:highlight w:val="none"/>
          <w:u w:val="dotted"/>
        </w:rPr>
        <w:t xml:space="preserve">                                               </w:t>
      </w:r>
    </w:p>
    <w:p w14:paraId="75383E8B">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地     址：</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邮编：</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u w:val="single"/>
        </w:rPr>
        <w:t xml:space="preserve">   </w:t>
      </w:r>
    </w:p>
    <w:p w14:paraId="09C44C04">
      <w:pPr>
        <w:tabs>
          <w:tab w:val="left" w:pos="6510"/>
        </w:tabs>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法定代表人/主要负责人：</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 xml:space="preserve">  </w:t>
      </w:r>
    </w:p>
    <w:p w14:paraId="4AA4FE82">
      <w:pPr>
        <w:tabs>
          <w:tab w:val="left" w:pos="6510"/>
        </w:tabs>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联系电话：</w:t>
      </w:r>
      <w:r>
        <w:rPr>
          <w:rFonts w:hint="eastAsia" w:ascii="仿宋_GB2312" w:eastAsia="仿宋_GB2312"/>
          <w:color w:val="auto"/>
          <w:sz w:val="32"/>
          <w:szCs w:val="32"/>
          <w:highlight w:val="none"/>
          <w:u w:val="dotted"/>
        </w:rPr>
        <w:t xml:space="preserve">                                             </w:t>
      </w:r>
    </w:p>
    <w:p w14:paraId="36C49EE3">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授权代表：</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联系电话</w:t>
      </w:r>
      <w:r>
        <w:rPr>
          <w:rFonts w:hint="eastAsia" w:ascii="仿宋_GB2312" w:eastAsia="仿宋_GB2312"/>
          <w:color w:val="auto"/>
          <w:sz w:val="32"/>
          <w:szCs w:val="32"/>
          <w:highlight w:val="none"/>
          <w:u w:val="dotted"/>
        </w:rPr>
        <w:t xml:space="preserve">：                  </w:t>
      </w:r>
    </w:p>
    <w:p w14:paraId="30104641">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地     址：</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邮编：</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u w:val="single"/>
        </w:rPr>
        <w:t xml:space="preserve"> </w:t>
      </w:r>
      <w:r>
        <w:rPr>
          <w:rFonts w:hint="eastAsia" w:ascii="仿宋_GB2312" w:eastAsia="仿宋_GB2312"/>
          <w:color w:val="auto"/>
          <w:sz w:val="32"/>
          <w:szCs w:val="32"/>
          <w:highlight w:val="none"/>
          <w:u w:val="dotted"/>
        </w:rPr>
        <w:t xml:space="preserve">                   </w:t>
      </w:r>
    </w:p>
    <w:p w14:paraId="7B63F2A4">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被投诉人1：</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u w:val="single"/>
        </w:rPr>
        <w:t xml:space="preserve">  </w:t>
      </w:r>
    </w:p>
    <w:p w14:paraId="44608546">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地     址：</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邮编：</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u w:val="single"/>
        </w:rPr>
        <w:t xml:space="preserve"> </w:t>
      </w:r>
    </w:p>
    <w:p w14:paraId="45E5A678">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联系人：</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联系电话：</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u w:val="single"/>
        </w:rPr>
        <w:t xml:space="preserve"> </w:t>
      </w:r>
    </w:p>
    <w:p w14:paraId="163033D8">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被投诉人2……</w:t>
      </w:r>
    </w:p>
    <w:p w14:paraId="5241AEAC">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相关供应商：</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u w:val="single"/>
        </w:rPr>
        <w:t xml:space="preserve">    </w:t>
      </w:r>
    </w:p>
    <w:p w14:paraId="3CD6E815">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地     址：</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邮编：</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u w:val="single"/>
        </w:rPr>
        <w:t xml:space="preserve"> </w:t>
      </w:r>
    </w:p>
    <w:p w14:paraId="1B92412D">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联系人：</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联系电话：</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u w:val="single"/>
        </w:rPr>
        <w:t xml:space="preserve">      </w:t>
      </w:r>
    </w:p>
    <w:p w14:paraId="54DB2321">
      <w:pPr>
        <w:rPr>
          <w:rFonts w:ascii="黑体" w:hAnsi="黑体" w:eastAsia="黑体"/>
          <w:color w:val="auto"/>
          <w:sz w:val="32"/>
          <w:szCs w:val="32"/>
          <w:highlight w:val="none"/>
        </w:rPr>
      </w:pPr>
      <w:r>
        <w:rPr>
          <w:rFonts w:hint="eastAsia" w:ascii="黑体" w:hAnsi="黑体" w:eastAsia="黑体"/>
          <w:color w:val="auto"/>
          <w:sz w:val="32"/>
          <w:szCs w:val="32"/>
          <w:highlight w:val="none"/>
        </w:rPr>
        <w:t>二、投诉项目基本情况</w:t>
      </w:r>
    </w:p>
    <w:p w14:paraId="75DF8346">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采购项目名称：</w:t>
      </w:r>
      <w:r>
        <w:rPr>
          <w:rFonts w:hint="eastAsia" w:ascii="仿宋_GB2312" w:eastAsia="仿宋_GB2312"/>
          <w:color w:val="auto"/>
          <w:sz w:val="32"/>
          <w:szCs w:val="32"/>
          <w:highlight w:val="none"/>
          <w:u w:val="dotted"/>
        </w:rPr>
        <w:t xml:space="preserve"> 宾阳县县域公共就业服务能力提升项目   </w:t>
      </w:r>
    </w:p>
    <w:p w14:paraId="1ABC0FEA">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采购项目编号：</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包号：</w:t>
      </w:r>
      <w:r>
        <w:rPr>
          <w:rFonts w:hint="eastAsia" w:ascii="仿宋_GB2312" w:eastAsia="仿宋_GB2312"/>
          <w:color w:val="auto"/>
          <w:sz w:val="32"/>
          <w:szCs w:val="32"/>
          <w:highlight w:val="none"/>
          <w:u w:val="dotted"/>
        </w:rPr>
        <w:t xml:space="preserve">              </w:t>
      </w:r>
    </w:p>
    <w:p w14:paraId="3BBB44AC">
      <w:pPr>
        <w:rPr>
          <w:rFonts w:ascii="仿宋_GB2312" w:eastAsia="仿宋_GB2312"/>
          <w:color w:val="auto"/>
          <w:sz w:val="32"/>
          <w:szCs w:val="32"/>
          <w:highlight w:val="none"/>
        </w:rPr>
      </w:pPr>
      <w:r>
        <w:rPr>
          <w:rFonts w:hint="eastAsia" w:ascii="仿宋_GB2312" w:eastAsia="仿宋_GB2312"/>
          <w:color w:val="auto"/>
          <w:sz w:val="32"/>
          <w:szCs w:val="32"/>
          <w:highlight w:val="none"/>
        </w:rPr>
        <w:t>采购人名称：</w:t>
      </w:r>
      <w:r>
        <w:rPr>
          <w:rFonts w:hint="eastAsia" w:ascii="仿宋_GB2312" w:eastAsia="仿宋_GB2312"/>
          <w:color w:val="auto"/>
          <w:sz w:val="32"/>
          <w:szCs w:val="32"/>
          <w:highlight w:val="none"/>
          <w:u w:val="dotted"/>
        </w:rPr>
        <w:t xml:space="preserve">  宾阳县就业服务中心</w:t>
      </w:r>
      <w:r>
        <w:rPr>
          <w:rFonts w:hint="eastAsia" w:ascii="仿宋_GB2312" w:eastAsia="仿宋_GB2312"/>
          <w:color w:val="auto"/>
          <w:sz w:val="32"/>
          <w:szCs w:val="32"/>
          <w:highlight w:val="none"/>
          <w:u w:val="single"/>
        </w:rPr>
        <w:t xml:space="preserve">  </w:t>
      </w:r>
    </w:p>
    <w:p w14:paraId="1A464AF6">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代理机构名称：</w:t>
      </w:r>
      <w:r>
        <w:rPr>
          <w:rFonts w:hint="eastAsia" w:ascii="仿宋_GB2312" w:eastAsia="仿宋_GB2312"/>
          <w:color w:val="auto"/>
          <w:sz w:val="32"/>
          <w:szCs w:val="32"/>
          <w:highlight w:val="none"/>
          <w:u w:val="dotted"/>
        </w:rPr>
        <w:t xml:space="preserve">                                         </w:t>
      </w:r>
    </w:p>
    <w:p w14:paraId="15B675FE">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采购文件公告</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u w:val="dotted"/>
        </w:rPr>
        <w:t xml:space="preserve">是/否 </w:t>
      </w:r>
      <w:r>
        <w:rPr>
          <w:rFonts w:hint="eastAsia" w:ascii="仿宋_GB2312" w:eastAsia="仿宋_GB2312"/>
          <w:color w:val="auto"/>
          <w:sz w:val="32"/>
          <w:szCs w:val="32"/>
          <w:highlight w:val="none"/>
        </w:rPr>
        <w:t>公告期限：</w:t>
      </w:r>
      <w:r>
        <w:rPr>
          <w:rFonts w:hint="eastAsia" w:ascii="仿宋_GB2312" w:eastAsia="仿宋_GB2312"/>
          <w:color w:val="auto"/>
          <w:sz w:val="32"/>
          <w:szCs w:val="32"/>
          <w:highlight w:val="none"/>
          <w:u w:val="dotted"/>
        </w:rPr>
        <w:t xml:space="preserve">                                 </w:t>
      </w:r>
    </w:p>
    <w:p w14:paraId="13D954B6">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采购结果公告</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u w:val="dotted"/>
        </w:rPr>
        <w:t xml:space="preserve">是/否 </w:t>
      </w:r>
      <w:r>
        <w:rPr>
          <w:rFonts w:hint="eastAsia" w:ascii="仿宋_GB2312" w:eastAsia="仿宋_GB2312"/>
          <w:color w:val="auto"/>
          <w:sz w:val="32"/>
          <w:szCs w:val="32"/>
          <w:highlight w:val="none"/>
        </w:rPr>
        <w:t>公告期限：</w:t>
      </w:r>
      <w:r>
        <w:rPr>
          <w:rFonts w:hint="eastAsia" w:ascii="仿宋_GB2312" w:eastAsia="仿宋_GB2312"/>
          <w:color w:val="auto"/>
          <w:sz w:val="32"/>
          <w:szCs w:val="32"/>
          <w:highlight w:val="none"/>
          <w:u w:val="dotted"/>
        </w:rPr>
        <w:t xml:space="preserve">                        </w:t>
      </w:r>
    </w:p>
    <w:p w14:paraId="13938FE1">
      <w:pPr>
        <w:rPr>
          <w:rFonts w:ascii="黑体" w:hAnsi="黑体" w:eastAsia="黑体"/>
          <w:color w:val="auto"/>
          <w:sz w:val="32"/>
          <w:szCs w:val="32"/>
          <w:highlight w:val="none"/>
        </w:rPr>
      </w:pPr>
      <w:r>
        <w:rPr>
          <w:rFonts w:hint="eastAsia" w:ascii="黑体" w:hAnsi="黑体" w:eastAsia="黑体"/>
          <w:color w:val="auto"/>
          <w:sz w:val="32"/>
          <w:szCs w:val="32"/>
          <w:highlight w:val="none"/>
        </w:rPr>
        <w:t>三、质疑基本情况</w:t>
      </w:r>
    </w:p>
    <w:p w14:paraId="1F036256">
      <w:pPr>
        <w:ind w:firstLine="640" w:firstLineChars="200"/>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投诉人于</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向</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提出质疑，质疑事项为：</w:t>
      </w:r>
      <w:r>
        <w:rPr>
          <w:rFonts w:hint="eastAsia" w:ascii="仿宋_GB2312" w:eastAsia="仿宋_GB2312"/>
          <w:color w:val="auto"/>
          <w:sz w:val="32"/>
          <w:szCs w:val="32"/>
          <w:highlight w:val="none"/>
          <w:u w:val="dotted"/>
        </w:rPr>
        <w:t xml:space="preserve">                                </w:t>
      </w:r>
    </w:p>
    <w:p w14:paraId="5FE04E8A">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 xml:space="preserve">  </w:t>
      </w:r>
    </w:p>
    <w:p w14:paraId="3B31E10B">
      <w:pPr>
        <w:ind w:firstLine="480" w:firstLineChars="150"/>
        <w:rPr>
          <w:rFonts w:ascii="仿宋_GB2312" w:eastAsia="仿宋_GB2312"/>
          <w:color w:val="auto"/>
          <w:sz w:val="32"/>
          <w:szCs w:val="32"/>
          <w:highlight w:val="none"/>
        </w:rPr>
      </w:pPr>
      <w:r>
        <w:rPr>
          <w:rFonts w:hint="eastAsia" w:ascii="仿宋_GB2312" w:eastAsia="仿宋_GB2312"/>
          <w:color w:val="auto"/>
          <w:sz w:val="32"/>
          <w:szCs w:val="32"/>
          <w:highlight w:val="none"/>
          <w:u w:val="dotted"/>
        </w:rPr>
        <w:t>采购人/代理机构</w:t>
      </w:r>
      <w:r>
        <w:rPr>
          <w:rFonts w:hint="eastAsia" w:ascii="仿宋_GB2312" w:eastAsia="仿宋_GB2312"/>
          <w:color w:val="auto"/>
          <w:sz w:val="32"/>
          <w:szCs w:val="32"/>
          <w:highlight w:val="none"/>
        </w:rPr>
        <w:t>于</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就质疑事项作出了答复/没有在法定期限内作出答复。</w:t>
      </w:r>
    </w:p>
    <w:p w14:paraId="039345D5">
      <w:pPr>
        <w:rPr>
          <w:rFonts w:ascii="黑体" w:hAnsi="黑体" w:eastAsia="黑体"/>
          <w:color w:val="auto"/>
          <w:sz w:val="32"/>
          <w:szCs w:val="32"/>
          <w:highlight w:val="none"/>
        </w:rPr>
      </w:pPr>
      <w:r>
        <w:rPr>
          <w:rFonts w:hint="eastAsia" w:ascii="黑体" w:hAnsi="黑体" w:eastAsia="黑体"/>
          <w:color w:val="auto"/>
          <w:sz w:val="32"/>
          <w:szCs w:val="32"/>
          <w:highlight w:val="none"/>
        </w:rPr>
        <w:t>四、投诉事项具体内容</w:t>
      </w:r>
    </w:p>
    <w:p w14:paraId="43EA9FE5">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投诉事项 1：</w:t>
      </w:r>
      <w:r>
        <w:rPr>
          <w:rFonts w:hint="eastAsia" w:ascii="仿宋_GB2312" w:eastAsia="仿宋_GB2312"/>
          <w:color w:val="auto"/>
          <w:sz w:val="32"/>
          <w:szCs w:val="32"/>
          <w:highlight w:val="none"/>
          <w:u w:val="dotted"/>
        </w:rPr>
        <w:t xml:space="preserve">                                       </w:t>
      </w:r>
    </w:p>
    <w:p w14:paraId="1B04F1C8">
      <w:pPr>
        <w:rPr>
          <w:rFonts w:ascii="仿宋_GB2312" w:eastAsia="仿宋_GB2312"/>
          <w:color w:val="auto"/>
          <w:sz w:val="32"/>
          <w:szCs w:val="32"/>
          <w:highlight w:val="none"/>
        </w:rPr>
      </w:pPr>
      <w:r>
        <w:rPr>
          <w:rFonts w:hint="eastAsia" w:ascii="仿宋_GB2312" w:eastAsia="仿宋_GB2312"/>
          <w:color w:val="auto"/>
          <w:sz w:val="32"/>
          <w:szCs w:val="32"/>
          <w:highlight w:val="none"/>
        </w:rPr>
        <w:t>事实依据：</w:t>
      </w:r>
      <w:r>
        <w:rPr>
          <w:rFonts w:hint="eastAsia" w:ascii="仿宋_GB2312" w:eastAsia="仿宋_GB2312"/>
          <w:color w:val="auto"/>
          <w:sz w:val="32"/>
          <w:szCs w:val="32"/>
          <w:highlight w:val="none"/>
          <w:u w:val="dotted"/>
        </w:rPr>
        <w:t xml:space="preserve">                                         </w:t>
      </w:r>
    </w:p>
    <w:p w14:paraId="27BC341D">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u w:val="dotted"/>
        </w:rPr>
        <w:t xml:space="preserve">                                                      </w:t>
      </w:r>
    </w:p>
    <w:p w14:paraId="7A2807AF">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法律依据：</w:t>
      </w:r>
      <w:r>
        <w:rPr>
          <w:rFonts w:hint="eastAsia" w:ascii="仿宋_GB2312" w:eastAsia="仿宋_GB2312"/>
          <w:color w:val="auto"/>
          <w:sz w:val="32"/>
          <w:szCs w:val="32"/>
          <w:highlight w:val="none"/>
          <w:u w:val="dotted"/>
        </w:rPr>
        <w:t xml:space="preserve">                                          </w:t>
      </w:r>
    </w:p>
    <w:p w14:paraId="6CBBCBE4">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u w:val="dotted"/>
        </w:rPr>
        <w:t xml:space="preserve">                                                      </w:t>
      </w:r>
    </w:p>
    <w:p w14:paraId="7B89EBD3">
      <w:pPr>
        <w:rPr>
          <w:rFonts w:ascii="仿宋_GB2312" w:eastAsia="仿宋_GB2312"/>
          <w:color w:val="auto"/>
          <w:sz w:val="32"/>
          <w:szCs w:val="32"/>
          <w:highlight w:val="none"/>
        </w:rPr>
      </w:pPr>
      <w:r>
        <w:rPr>
          <w:rFonts w:hint="eastAsia" w:ascii="仿宋_GB2312" w:eastAsia="仿宋_GB2312"/>
          <w:color w:val="auto"/>
          <w:sz w:val="32"/>
          <w:szCs w:val="32"/>
          <w:highlight w:val="none"/>
        </w:rPr>
        <w:t>投诉事项2</w:t>
      </w:r>
    </w:p>
    <w:p w14:paraId="7529038C">
      <w:pPr>
        <w:rPr>
          <w:rFonts w:ascii="仿宋_GB2312" w:eastAsia="仿宋_GB2312"/>
          <w:color w:val="auto"/>
          <w:sz w:val="32"/>
          <w:szCs w:val="32"/>
          <w:highlight w:val="none"/>
          <w:u w:val="dotted"/>
        </w:rPr>
      </w:pPr>
      <w:r>
        <w:rPr>
          <w:rFonts w:hint="eastAsia" w:ascii="仿宋_GB2312" w:eastAsia="仿宋_GB2312"/>
          <w:color w:val="auto"/>
          <w:sz w:val="32"/>
          <w:szCs w:val="32"/>
          <w:highlight w:val="none"/>
        </w:rPr>
        <w:t>……</w:t>
      </w:r>
    </w:p>
    <w:p w14:paraId="417A027A">
      <w:pPr>
        <w:rPr>
          <w:rFonts w:ascii="黑体" w:hAnsi="黑体" w:eastAsia="黑体"/>
          <w:color w:val="auto"/>
          <w:sz w:val="32"/>
          <w:szCs w:val="32"/>
          <w:highlight w:val="none"/>
        </w:rPr>
      </w:pPr>
      <w:r>
        <w:rPr>
          <w:rFonts w:hint="eastAsia" w:ascii="黑体" w:hAnsi="黑体" w:eastAsia="黑体"/>
          <w:color w:val="auto"/>
          <w:sz w:val="32"/>
          <w:szCs w:val="32"/>
          <w:highlight w:val="none"/>
        </w:rPr>
        <w:t>五、与投诉事项相关的投诉请求</w:t>
      </w:r>
    </w:p>
    <w:p w14:paraId="00BDDC77">
      <w:pPr>
        <w:rPr>
          <w:rFonts w:ascii="仿宋_GB2312" w:eastAsia="仿宋_GB2312"/>
          <w:color w:val="auto"/>
          <w:sz w:val="32"/>
          <w:szCs w:val="32"/>
          <w:highlight w:val="none"/>
        </w:rPr>
      </w:pPr>
      <w:r>
        <w:rPr>
          <w:rFonts w:hint="eastAsia" w:ascii="仿宋_GB2312" w:eastAsia="仿宋_GB2312"/>
          <w:color w:val="auto"/>
          <w:sz w:val="32"/>
          <w:szCs w:val="32"/>
          <w:highlight w:val="none"/>
        </w:rPr>
        <w:t>请求：</w:t>
      </w:r>
      <w:r>
        <w:rPr>
          <w:rFonts w:hint="eastAsia" w:ascii="仿宋_GB2312" w:eastAsia="仿宋_GB2312"/>
          <w:color w:val="auto"/>
          <w:sz w:val="32"/>
          <w:szCs w:val="32"/>
          <w:highlight w:val="none"/>
          <w:u w:val="dotted"/>
        </w:rPr>
        <w:t xml:space="preserve">                                              </w:t>
      </w:r>
      <w:r>
        <w:rPr>
          <w:rFonts w:hint="eastAsia" w:ascii="仿宋_GB2312" w:eastAsia="仿宋_GB2312"/>
          <w:color w:val="auto"/>
          <w:sz w:val="32"/>
          <w:szCs w:val="32"/>
          <w:highlight w:val="none"/>
        </w:rPr>
        <w:t xml:space="preserve"> </w:t>
      </w:r>
    </w:p>
    <w:p w14:paraId="0EBF620D">
      <w:pPr>
        <w:rPr>
          <w:rFonts w:ascii="仿宋_GB2312" w:eastAsia="仿宋_GB2312"/>
          <w:color w:val="auto"/>
          <w:sz w:val="32"/>
          <w:szCs w:val="32"/>
          <w:highlight w:val="none"/>
          <w:u w:val="single"/>
        </w:rPr>
      </w:pPr>
      <w:r>
        <w:rPr>
          <w:rFonts w:hint="eastAsia" w:ascii="仿宋_GB2312" w:eastAsia="仿宋_GB2312"/>
          <w:color w:val="auto"/>
          <w:sz w:val="32"/>
          <w:szCs w:val="32"/>
          <w:highlight w:val="none"/>
        </w:rPr>
        <w:t xml:space="preserve">                                                                                                    </w:t>
      </w:r>
    </w:p>
    <w:p w14:paraId="5F2155A1">
      <w:pPr>
        <w:rPr>
          <w:rFonts w:ascii="仿宋_GB2312" w:eastAsia="仿宋_GB2312"/>
          <w:color w:val="auto"/>
          <w:sz w:val="32"/>
          <w:szCs w:val="32"/>
          <w:highlight w:val="none"/>
        </w:rPr>
      </w:pPr>
      <w:r>
        <w:rPr>
          <w:rFonts w:hint="eastAsia" w:ascii="仿宋_GB2312" w:eastAsia="仿宋_GB2312"/>
          <w:color w:val="auto"/>
          <w:sz w:val="32"/>
          <w:szCs w:val="32"/>
          <w:highlight w:val="none"/>
        </w:rPr>
        <w:t>签字</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签章</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 xml:space="preserve">：                   公章：                      </w:t>
      </w:r>
    </w:p>
    <w:p w14:paraId="1CDEDCB7">
      <w:pPr>
        <w:rPr>
          <w:rFonts w:ascii="仿宋_GB2312" w:eastAsia="仿宋_GB2312"/>
          <w:color w:val="auto"/>
          <w:sz w:val="32"/>
          <w:szCs w:val="32"/>
          <w:highlight w:val="none"/>
        </w:rPr>
      </w:pPr>
      <w:r>
        <w:rPr>
          <w:rFonts w:hint="eastAsia" w:ascii="仿宋_GB2312" w:eastAsia="仿宋_GB2312"/>
          <w:color w:val="auto"/>
          <w:sz w:val="32"/>
          <w:szCs w:val="32"/>
          <w:highlight w:val="none"/>
        </w:rPr>
        <w:t xml:space="preserve">日期：    </w:t>
      </w:r>
    </w:p>
    <w:p w14:paraId="2CC624C2">
      <w:pPr>
        <w:rPr>
          <w:rFonts w:ascii="黑体" w:hAnsi="黑体" w:eastAsia="黑体"/>
          <w:b/>
          <w:color w:val="auto"/>
          <w:sz w:val="32"/>
          <w:szCs w:val="32"/>
          <w:highlight w:val="none"/>
        </w:rPr>
      </w:pPr>
      <w:r>
        <w:rPr>
          <w:rFonts w:hint="eastAsia" w:ascii="黑体" w:hAnsi="黑体" w:eastAsia="黑体"/>
          <w:b/>
          <w:color w:val="auto"/>
          <w:sz w:val="32"/>
          <w:szCs w:val="32"/>
          <w:highlight w:val="none"/>
        </w:rPr>
        <w:t>投诉书制作说明：</w:t>
      </w:r>
    </w:p>
    <w:p w14:paraId="487CFCDE">
      <w:pPr>
        <w:widowControl/>
        <w:ind w:firstLine="640" w:firstLineChars="200"/>
        <w:rPr>
          <w:rFonts w:ascii="仿宋_GB2312" w:hAnsi="宋体" w:eastAsia="仿宋_GB2312" w:cs="宋体"/>
          <w:color w:val="auto"/>
          <w:kern w:val="0"/>
          <w:sz w:val="32"/>
          <w:szCs w:val="32"/>
          <w:highlight w:val="none"/>
        </w:rPr>
      </w:pPr>
      <w:r>
        <w:rPr>
          <w:rFonts w:hint="eastAsia" w:ascii="仿宋_GB2312" w:eastAsia="仿宋_GB2312"/>
          <w:color w:val="auto"/>
          <w:sz w:val="32"/>
          <w:szCs w:val="32"/>
          <w:highlight w:val="none"/>
        </w:rPr>
        <w:t>1.投诉人提起投诉时，应当提交投诉书和必要的证明材料，并按照被投诉人和与投诉事项有关的供应商数量提供投诉书副本。</w:t>
      </w:r>
    </w:p>
    <w:p w14:paraId="7DFDBB0B">
      <w:pPr>
        <w:widowControl/>
        <w:ind w:firstLine="640" w:firstLineChars="200"/>
        <w:jc w:val="left"/>
        <w:rPr>
          <w:rFonts w:ascii="仿宋_GB2312" w:hAnsi="宋体" w:eastAsia="仿宋_GB2312" w:cs="宋体"/>
          <w:color w:val="auto"/>
          <w:kern w:val="0"/>
          <w:sz w:val="32"/>
          <w:szCs w:val="32"/>
          <w:highlight w:val="none"/>
        </w:rPr>
      </w:pPr>
      <w:r>
        <w:rPr>
          <w:rFonts w:hint="eastAsia" w:ascii="仿宋_GB2312" w:eastAsia="仿宋_GB2312"/>
          <w:color w:val="auto"/>
          <w:sz w:val="32"/>
          <w:szCs w:val="32"/>
          <w:highlight w:val="none"/>
        </w:rPr>
        <w:t>2.投诉人若委托代理人进行投诉的，投诉书应按照要求列明“授权代表”的有关内容，并在附件中提交由</w:t>
      </w:r>
      <w:r>
        <w:rPr>
          <w:rFonts w:hint="eastAsia" w:ascii="仿宋_GB2312" w:hAnsi="宋体" w:eastAsia="仿宋_GB2312" w:cs="宋体"/>
          <w:color w:val="auto"/>
          <w:kern w:val="0"/>
          <w:sz w:val="32"/>
          <w:szCs w:val="32"/>
          <w:highlight w:val="none"/>
        </w:rPr>
        <w:t>投诉人签署的授权委托书。授权委托书应当载明代理人的姓名或者名称、代理事项、具体权限、期限和相关事项。</w:t>
      </w:r>
    </w:p>
    <w:p w14:paraId="09FD9281">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3.投诉人若对项目的某一分包进行投诉，投诉书应列明具体分包号。</w:t>
      </w:r>
    </w:p>
    <w:p w14:paraId="5FEA1BEE">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4.投诉书应简要列明质疑事项，质疑函、质疑答复等作为附件材料提供。</w:t>
      </w:r>
    </w:p>
    <w:p w14:paraId="333E54BA">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5.投诉书的投诉事项应具体、明确，并有必要的事实依据和法律依据。</w:t>
      </w:r>
    </w:p>
    <w:p w14:paraId="7945202F">
      <w:pPr>
        <w:widowControl/>
        <w:ind w:firstLine="640" w:firstLineChars="200"/>
        <w:jc w:val="left"/>
        <w:rPr>
          <w:rFonts w:ascii="仿宋_GB2312" w:eastAsia="仿宋_GB2312"/>
          <w:color w:val="auto"/>
          <w:sz w:val="32"/>
          <w:szCs w:val="32"/>
          <w:highlight w:val="none"/>
        </w:rPr>
      </w:pPr>
      <w:r>
        <w:rPr>
          <w:rFonts w:hint="eastAsia" w:ascii="仿宋_GB2312" w:eastAsia="仿宋_GB2312"/>
          <w:color w:val="auto"/>
          <w:sz w:val="32"/>
          <w:szCs w:val="32"/>
          <w:highlight w:val="none"/>
        </w:rPr>
        <w:t>6.投诉书的投诉请求应与投诉事项相关。</w:t>
      </w:r>
    </w:p>
    <w:p w14:paraId="6BF0A940">
      <w:pPr>
        <w:widowControl/>
        <w:ind w:firstLine="640" w:firstLineChars="200"/>
        <w:jc w:val="left"/>
        <w:rPr>
          <w:color w:val="auto"/>
          <w:highlight w:val="none"/>
        </w:rPr>
      </w:pPr>
      <w:r>
        <w:rPr>
          <w:rFonts w:hint="eastAsia" w:ascii="仿宋_GB2312" w:eastAsia="仿宋_GB2312"/>
          <w:color w:val="auto"/>
          <w:sz w:val="32"/>
          <w:szCs w:val="32"/>
          <w:highlight w:val="none"/>
        </w:rPr>
        <w:t>7.投诉人为自然人的，投诉书应当由本人签字；投诉人为法人或者其他组织的，投诉书应当由法定代表人、主要负责人，或者其授权代表签字或者盖章，并加盖公章。</w:t>
      </w:r>
    </w:p>
    <w:p w14:paraId="0A99F7F6">
      <w:pPr>
        <w:rPr>
          <w:color w:val="auto"/>
          <w:highlight w:val="none"/>
        </w:rPr>
      </w:pPr>
    </w:p>
    <w:p w14:paraId="4FCA47A5">
      <w:pPr>
        <w:rPr>
          <w:color w:val="auto"/>
          <w:highlight w:val="none"/>
        </w:rPr>
      </w:pPr>
    </w:p>
    <w:p w14:paraId="1E2B7663">
      <w:pPr>
        <w:rPr>
          <w:color w:val="auto"/>
          <w:highlight w:val="none"/>
        </w:rPr>
      </w:pPr>
    </w:p>
    <w:p w14:paraId="04696798">
      <w:pPr>
        <w:rPr>
          <w:color w:val="auto"/>
          <w:highlight w:val="none"/>
        </w:rPr>
      </w:pPr>
    </w:p>
    <w:p w14:paraId="5AB7EB76">
      <w:pPr>
        <w:rPr>
          <w:color w:val="auto"/>
          <w:highlight w:val="none"/>
        </w:rPr>
      </w:pPr>
    </w:p>
    <w:p w14:paraId="5CD10560">
      <w:pPr>
        <w:rPr>
          <w:color w:val="auto"/>
          <w:highlight w:val="none"/>
        </w:rPr>
      </w:pPr>
    </w:p>
    <w:sectPr>
      <w:footerReference r:id="rId10" w:type="first"/>
      <w:headerReference r:id="rId7" w:type="default"/>
      <w:footerReference r:id="rId8" w:type="default"/>
      <w:footerReference r:id="rId9"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ESI仿宋-GB2312">
    <w:altName w:val="仿宋"/>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Arial Unicode MS">
    <w:altName w:val="Arial"/>
    <w:panose1 w:val="020B0604020202020204"/>
    <w:charset w:val="00"/>
    <w:family w:val="roman"/>
    <w:pitch w:val="default"/>
    <w:sig w:usb0="00000000" w:usb1="00000000" w:usb2="00000000" w:usb3="00000000" w:csb0="00000001" w:csb1="00000000"/>
  </w:font>
  <w:font w:name="Segoe UI Symbol">
    <w:panose1 w:val="020B0502040204020203"/>
    <w:charset w:val="00"/>
    <w:family w:val="swiss"/>
    <w:pitch w:val="default"/>
    <w:sig w:usb0="800001E3" w:usb1="1200FFEF" w:usb2="00040000" w:usb3="04000000" w:csb0="00000001" w:csb1="4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ˎ̥">
    <w:altName w:val="Times New Roman"/>
    <w:panose1 w:val="00000000000000000000"/>
    <w:charset w:val="00"/>
    <w:family w:val="roman"/>
    <w:pitch w:val="default"/>
    <w:sig w:usb0="00000000"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557087D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DDC9F">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5D8C4">
    <w:pPr>
      <w:pStyle w:val="2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761243300"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49272360">
                          <w:pPr>
                            <w:pStyle w:val="22"/>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L3UTQAAAAAgEAAA8AAAAAAAAAAQAgAAAAIgAA&#10;AGRycy9kb3ducmV2LnhtbFBLAQIUABQAAAAIAIdO4kCeax9SEAIAAAoEAAAOAAAAAAAAAAEAIAAA&#10;AB8BAABkcnMvZTJvRG9jLnhtbFBLBQYAAAAABgAGAFkBAAChBQAAAAA=&#10;">
              <v:fill on="f" focussize="0,0"/>
              <v:stroke on="f"/>
              <v:imagedata o:title=""/>
              <o:lock v:ext="edit" aspectratio="f"/>
              <v:textbox inset="0mm,0mm,0mm,0mm" style="mso-fit-shape-to-text:t;">
                <w:txbxContent>
                  <w:p w14:paraId="49272360">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377FE">
    <w:pPr>
      <w:tabs>
        <w:tab w:val="center" w:pos="4140"/>
        <w:tab w:val="right" w:pos="8300"/>
      </w:tabs>
      <w:snapToGrid w:val="0"/>
      <w:jc w:val="left"/>
      <w:rPr>
        <w:sz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83897252" name="文本框 6"/>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6E4D5EC2">
                          <w:pPr>
                            <w:pStyle w:val="22"/>
                          </w:pPr>
                          <w:r>
                            <w:fldChar w:fldCharType="begin"/>
                          </w:r>
                          <w:r>
                            <w:instrText xml:space="preserve"> PAGE  \* MERGEFORMAT </w:instrText>
                          </w:r>
                          <w:r>
                            <w:fldChar w:fldCharType="separate"/>
                          </w:r>
                          <w:r>
                            <w:t>5</w:t>
                          </w:r>
                          <w:r>
                            <w:fldChar w:fldCharType="end"/>
                          </w:r>
                        </w:p>
                      </w:txbxContent>
                    </wps:txbx>
                    <wps:bodyPr rot="0" vert="horz" wrap="none" lIns="0" tIns="0" rIns="0" bIns="0" anchor="t" anchorCtr="0" upright="1">
                      <a:spAutoFit/>
                    </wps:bodyPr>
                  </wps:wsp>
                </a:graphicData>
              </a:graphic>
            </wp:anchor>
          </w:drawing>
        </mc:Choice>
        <mc:Fallback>
          <w:pict>
            <v:shape id="文本框 6"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Pi91E0AAAAAIBAAAPAAAAAAAAAAEAIAAAACIA&#10;AABkcnMvZG93bnJldi54bWxQSwECFAAUAAAACACHTuJAY5M2eRECAAAIBAAADgAAAAAAAAABACAA&#10;AAAfAQAAZHJzL2Uyb0RvYy54bWxQSwUGAAAAAAYABgBZAQAAogUAAAAA&#10;">
              <v:fill on="f" focussize="0,0"/>
              <v:stroke on="f"/>
              <v:imagedata o:title=""/>
              <o:lock v:ext="edit" aspectratio="f"/>
              <v:textbox inset="0mm,0mm,0mm,0mm" style="mso-fit-shape-to-text:t;">
                <w:txbxContent>
                  <w:p w14:paraId="6E4D5EC2">
                    <w:pPr>
                      <w:pStyle w:val="22"/>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75C88">
    <w:pPr>
      <w:pStyle w:val="2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72085" cy="131445"/>
              <wp:effectExtent l="0" t="0" r="0" b="0"/>
              <wp:wrapNone/>
              <wp:docPr id="1050515999" name="文本框 7"/>
              <wp:cNvGraphicFramePr/>
              <a:graphic xmlns:a="http://schemas.openxmlformats.org/drawingml/2006/main">
                <a:graphicData uri="http://schemas.microsoft.com/office/word/2010/wordprocessingShape">
                  <wps:wsp>
                    <wps:cNvSpPr txBox="1">
                      <a:spLocks noChangeArrowheads="1"/>
                    </wps:cNvSpPr>
                    <wps:spPr bwMode="auto">
                      <a:xfrm>
                        <a:off x="0" y="0"/>
                        <a:ext cx="172085" cy="131445"/>
                      </a:xfrm>
                      <a:prstGeom prst="rect">
                        <a:avLst/>
                      </a:prstGeom>
                      <a:noFill/>
                      <a:ln>
                        <a:noFill/>
                      </a:ln>
                    </wps:spPr>
                    <wps:txbx>
                      <w:txbxContent>
                        <w:p w14:paraId="0EFBEE1B">
                          <w:pPr>
                            <w:pStyle w:val="22"/>
                          </w:pPr>
                          <w:r>
                            <w:fldChar w:fldCharType="begin"/>
                          </w:r>
                          <w:r>
                            <w:instrText xml:space="preserve"> PAGE  \* MERGEFORMAT </w:instrText>
                          </w:r>
                          <w:r>
                            <w:fldChar w:fldCharType="separate"/>
                          </w:r>
                          <w:r>
                            <w:t>126</w:t>
                          </w:r>
                          <w: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0.35pt;width:13.55pt;mso-position-horizontal:center;mso-position-horizontal-relative:margin;mso-wrap-style:none;z-index:251660288;mso-width-relative:page;mso-height-relative:page;" filled="f" stroked="f" coordsize="21600,21600" o:gfxdata="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UldDlzwAAAAMBAAAPAAAAAAAAAAEAIAAAACIA&#10;AABkcnMvZG93bnJldi54bWxQSwECFAAUAAAACACHTuJARuSeexICAAALBAAADgAAAAAAAAABACAA&#10;AAAeAQAAZHJzL2Uyb0RvYy54bWxQSwUGAAAAAAYABgBZAQAAogUAAAAA&#10;">
              <v:fill on="f" focussize="0,0"/>
              <v:stroke on="f"/>
              <v:imagedata o:title=""/>
              <o:lock v:ext="edit" aspectratio="f"/>
              <v:textbox inset="0mm,0mm,0mm,0mm" style="mso-fit-shape-to-text:t;">
                <w:txbxContent>
                  <w:p w14:paraId="0EFBEE1B">
                    <w:pPr>
                      <w:pStyle w:val="22"/>
                    </w:pPr>
                    <w:r>
                      <w:fldChar w:fldCharType="begin"/>
                    </w:r>
                    <w:r>
                      <w:instrText xml:space="preserve"> PAGE  \* MERGEFORMAT </w:instrText>
                    </w:r>
                    <w:r>
                      <w:fldChar w:fldCharType="separate"/>
                    </w:r>
                    <w:r>
                      <w:t>126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88D06">
    <w:pPr>
      <w:pStyle w:val="22"/>
      <w:framePr w:wrap="around" w:vAnchor="text" w:hAnchor="margin" w:xAlign="center" w:y="1"/>
      <w:rPr>
        <w:rStyle w:val="39"/>
      </w:rPr>
    </w:pPr>
    <w:r>
      <w:fldChar w:fldCharType="begin"/>
    </w:r>
    <w:r>
      <w:rPr>
        <w:rStyle w:val="39"/>
      </w:rPr>
      <w:instrText xml:space="preserve">PAGE  </w:instrText>
    </w:r>
    <w:r>
      <w:fldChar w:fldCharType="end"/>
    </w:r>
  </w:p>
  <w:p w14:paraId="4B56D175">
    <w:pPr>
      <w:pStyle w:val="2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A6BF4">
    <w:pPr>
      <w:pStyle w:val="22"/>
      <w:framePr w:wrap="around" w:vAnchor="text" w:hAnchor="margin" w:xAlign="right" w:y="1"/>
      <w:rPr>
        <w:rStyle w:val="39"/>
      </w:rPr>
    </w:pPr>
    <w:r>
      <w:fldChar w:fldCharType="begin"/>
    </w:r>
    <w:r>
      <w:rPr>
        <w:rStyle w:val="39"/>
      </w:rPr>
      <w:instrText xml:space="preserve">PAGE  </w:instrText>
    </w:r>
    <w:r>
      <w:fldChar w:fldCharType="separate"/>
    </w:r>
    <w:r>
      <w:rPr>
        <w:rStyle w:val="39"/>
      </w:rPr>
      <w:t>122</w:t>
    </w:r>
    <w:r>
      <w:fldChar w:fldCharType="end"/>
    </w:r>
  </w:p>
  <w:p w14:paraId="2F3C2C1C">
    <w:pPr>
      <w:pStyle w:val="22"/>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D23A2">
    <w:pPr>
      <w:pStyle w:val="23"/>
    </w:pPr>
    <w:r>
      <w:rPr>
        <w:rFonts w:hint="eastAsia"/>
      </w:rPr>
      <w:t>南宁市政府采购公开招标文件（项目编号：</w:t>
    </w:r>
    <w:r>
      <w:fldChar w:fldCharType="begin"/>
    </w:r>
    <w:r>
      <w:instrText xml:space="preserve"> HYPERLINK "https://www.gcy.zfcg.gxzf.gov.cn/gaea/api/project/flow/redirect?projectId=7228427269057806418&amp;newUrl=https://www.gcy.zfcg.gxzf.gov.cn/micro-app-back-index/blank?_flow_type_=agency&amp;_flow_projectId_=7228427269057806418&amp;_jump_page_type_=project_procurement_management_flow&amp;_app_=zcy.procurement&amp;oldUrl=https://www.gcy.zfcg.gxzf.gov.cn/project-center/_procurement_/project-result-detail/7228427269057806418&amp;utm=web-project-center-front.42c12ca3.0.0.90a2dec0b62a11f084b5c3fd09c47019" \t "https://www.gcy.zfcg.gxzf.gov.cn/project-center/_procurement_/self-project/_blank" </w:instrText>
    </w:r>
    <w:r>
      <w:fldChar w:fldCharType="separate"/>
    </w:r>
    <w:r>
      <w:rPr>
        <w:rFonts w:hint="eastAsia"/>
      </w:rPr>
      <w:t>NNZC2026-G3-260135-JDZB</w:t>
    </w:r>
    <w:r>
      <w:rPr>
        <w:rFonts w:hint="eastAsia"/>
      </w:rPr>
      <w:fldChar w:fldCharType="end"/>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5FCAF">
    <w:pPr>
      <w:pStyle w:val="23"/>
      <w:tabs>
        <w:tab w:val="center" w:pos="0"/>
      </w:tabs>
    </w:pPr>
    <w:r>
      <w:rPr>
        <w:rFonts w:hint="eastAsia"/>
      </w:rPr>
      <w:t>南宁市政府采购公开招标文件（项目编号：</w:t>
    </w:r>
    <w:r>
      <w:fldChar w:fldCharType="begin"/>
    </w:r>
    <w:r>
      <w:instrText xml:space="preserve"> HYPERLINK "https://www.gcy.zfcg.gxzf.gov.cn/gaea/api/project/flow/redirect?projectId=7228427269057806418&amp;newUrl=https://www.gcy.zfcg.gxzf.gov.cn/micro-app-back-index/blank?_flow_type_=agency&amp;_flow_projectId_=7228427269057806418&amp;_jump_page_type_=project_procurement_management_flow&amp;_app_=zcy.procurement&amp;oldUrl=https://www.gcy.zfcg.gxzf.gov.cn/project-center/_procurement_/project-result-detail/7228427269057806418&amp;utm=web-project-center-front.42c12ca3.0.0.90a2dec0b62a11f084b5c3fd09c47019" \t "https://www.gcy.zfcg.gxzf.gov.cn/project-center/_procurement_/self-project/_blank" </w:instrText>
    </w:r>
    <w:r>
      <w:fldChar w:fldCharType="separate"/>
    </w:r>
    <w:r>
      <w:rPr>
        <w:rFonts w:hint="eastAsia"/>
      </w:rPr>
      <w:t>NNZC2026-G3-260135-JDZB</w:t>
    </w:r>
    <w:r>
      <w:rPr>
        <w:rFonts w:hint="eastAsia"/>
      </w:rPr>
      <w:fldChar w:fldCharType="end"/>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2">
    <w:nsid w:val="41367BD3"/>
    <w:multiLevelType w:val="multilevel"/>
    <w:tmpl w:val="41367BD3"/>
    <w:lvl w:ilvl="0" w:tentative="0">
      <w:start w:val="6"/>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1536378"/>
    <w:multiLevelType w:val="singleLevel"/>
    <w:tmpl w:val="51536378"/>
    <w:lvl w:ilvl="0" w:tentative="0">
      <w:start w:val="1"/>
      <w:numFmt w:val="decimal"/>
      <w:suff w:val="nothing"/>
      <w:lvlText w:val="（%1）"/>
      <w:lvlJc w:val="left"/>
      <w:pPr>
        <w:ind w:left="0" w:firstLine="0"/>
      </w:pPr>
    </w:lvl>
  </w:abstractNum>
  <w:abstractNum w:abstractNumId="4">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33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c4NGIyZGRmMTQ4NGViN2ZiNDMyZTgxMjI2YjNmNjcifQ=="/>
  </w:docVars>
  <w:rsids>
    <w:rsidRoot w:val="00172A27"/>
    <w:rsid w:val="0000096C"/>
    <w:rsid w:val="00000CDB"/>
    <w:rsid w:val="00001CDA"/>
    <w:rsid w:val="00004344"/>
    <w:rsid w:val="00005909"/>
    <w:rsid w:val="00012B50"/>
    <w:rsid w:val="000207D5"/>
    <w:rsid w:val="00022127"/>
    <w:rsid w:val="00024E82"/>
    <w:rsid w:val="00027659"/>
    <w:rsid w:val="00030800"/>
    <w:rsid w:val="00031652"/>
    <w:rsid w:val="00034A7D"/>
    <w:rsid w:val="00035197"/>
    <w:rsid w:val="00035F9C"/>
    <w:rsid w:val="000401CD"/>
    <w:rsid w:val="00044EDB"/>
    <w:rsid w:val="00054304"/>
    <w:rsid w:val="000553BC"/>
    <w:rsid w:val="00056551"/>
    <w:rsid w:val="0006218D"/>
    <w:rsid w:val="00063F24"/>
    <w:rsid w:val="00065AF0"/>
    <w:rsid w:val="00066EA9"/>
    <w:rsid w:val="00066FE1"/>
    <w:rsid w:val="00074D5F"/>
    <w:rsid w:val="00076A60"/>
    <w:rsid w:val="00077BF5"/>
    <w:rsid w:val="00081789"/>
    <w:rsid w:val="00085A0D"/>
    <w:rsid w:val="00092A54"/>
    <w:rsid w:val="00092F65"/>
    <w:rsid w:val="0009317E"/>
    <w:rsid w:val="00093B18"/>
    <w:rsid w:val="00094E84"/>
    <w:rsid w:val="000A7A4B"/>
    <w:rsid w:val="000B5A03"/>
    <w:rsid w:val="000C302E"/>
    <w:rsid w:val="000C5D44"/>
    <w:rsid w:val="000D5F48"/>
    <w:rsid w:val="000D7284"/>
    <w:rsid w:val="000E6783"/>
    <w:rsid w:val="000F1BBE"/>
    <w:rsid w:val="001031E7"/>
    <w:rsid w:val="00104245"/>
    <w:rsid w:val="001108AC"/>
    <w:rsid w:val="00110DD2"/>
    <w:rsid w:val="0011187C"/>
    <w:rsid w:val="00116FC9"/>
    <w:rsid w:val="00120C46"/>
    <w:rsid w:val="00125837"/>
    <w:rsid w:val="001306A8"/>
    <w:rsid w:val="001371F9"/>
    <w:rsid w:val="00140B14"/>
    <w:rsid w:val="00140CE8"/>
    <w:rsid w:val="00143DA6"/>
    <w:rsid w:val="00151CEE"/>
    <w:rsid w:val="0015209C"/>
    <w:rsid w:val="001551E7"/>
    <w:rsid w:val="00170AA7"/>
    <w:rsid w:val="00172A27"/>
    <w:rsid w:val="00173852"/>
    <w:rsid w:val="00174F9B"/>
    <w:rsid w:val="00177D95"/>
    <w:rsid w:val="00181460"/>
    <w:rsid w:val="00182C28"/>
    <w:rsid w:val="00190F4C"/>
    <w:rsid w:val="00193D49"/>
    <w:rsid w:val="0019577E"/>
    <w:rsid w:val="001A5490"/>
    <w:rsid w:val="001B1366"/>
    <w:rsid w:val="001B2BDE"/>
    <w:rsid w:val="001B2FAE"/>
    <w:rsid w:val="001C2E44"/>
    <w:rsid w:val="001D047F"/>
    <w:rsid w:val="001E0216"/>
    <w:rsid w:val="001E0590"/>
    <w:rsid w:val="001E3E3A"/>
    <w:rsid w:val="001E4E53"/>
    <w:rsid w:val="001E6153"/>
    <w:rsid w:val="001E6C5D"/>
    <w:rsid w:val="001E7AB6"/>
    <w:rsid w:val="001F330A"/>
    <w:rsid w:val="001F4D3C"/>
    <w:rsid w:val="00201770"/>
    <w:rsid w:val="00204164"/>
    <w:rsid w:val="00204F25"/>
    <w:rsid w:val="00205999"/>
    <w:rsid w:val="00207350"/>
    <w:rsid w:val="00207DB7"/>
    <w:rsid w:val="00221909"/>
    <w:rsid w:val="002230A4"/>
    <w:rsid w:val="00231EAB"/>
    <w:rsid w:val="00232E04"/>
    <w:rsid w:val="00236055"/>
    <w:rsid w:val="00236B7D"/>
    <w:rsid w:val="00241686"/>
    <w:rsid w:val="00242C6C"/>
    <w:rsid w:val="00244627"/>
    <w:rsid w:val="002563B4"/>
    <w:rsid w:val="0025753A"/>
    <w:rsid w:val="00262C01"/>
    <w:rsid w:val="002738BD"/>
    <w:rsid w:val="002867CF"/>
    <w:rsid w:val="00293976"/>
    <w:rsid w:val="00297271"/>
    <w:rsid w:val="002B3400"/>
    <w:rsid w:val="002B4610"/>
    <w:rsid w:val="002C0483"/>
    <w:rsid w:val="002C1328"/>
    <w:rsid w:val="002C27F2"/>
    <w:rsid w:val="002C38A0"/>
    <w:rsid w:val="002C7DD7"/>
    <w:rsid w:val="002D2EF2"/>
    <w:rsid w:val="002E0A18"/>
    <w:rsid w:val="002E6BA4"/>
    <w:rsid w:val="002F55FD"/>
    <w:rsid w:val="002F667D"/>
    <w:rsid w:val="003014B1"/>
    <w:rsid w:val="003051FD"/>
    <w:rsid w:val="00305816"/>
    <w:rsid w:val="00315EB2"/>
    <w:rsid w:val="003162D6"/>
    <w:rsid w:val="00316994"/>
    <w:rsid w:val="00320B19"/>
    <w:rsid w:val="00322C10"/>
    <w:rsid w:val="00327461"/>
    <w:rsid w:val="00330EE9"/>
    <w:rsid w:val="003331F5"/>
    <w:rsid w:val="00337A9F"/>
    <w:rsid w:val="00344631"/>
    <w:rsid w:val="00346976"/>
    <w:rsid w:val="00347950"/>
    <w:rsid w:val="00353905"/>
    <w:rsid w:val="003547A7"/>
    <w:rsid w:val="00355191"/>
    <w:rsid w:val="00366E54"/>
    <w:rsid w:val="0037075A"/>
    <w:rsid w:val="00371C87"/>
    <w:rsid w:val="00380673"/>
    <w:rsid w:val="003809BA"/>
    <w:rsid w:val="00384EB6"/>
    <w:rsid w:val="003868E3"/>
    <w:rsid w:val="0039417D"/>
    <w:rsid w:val="003A3917"/>
    <w:rsid w:val="003A622A"/>
    <w:rsid w:val="003B031E"/>
    <w:rsid w:val="003B31F1"/>
    <w:rsid w:val="003B7C9A"/>
    <w:rsid w:val="003C027A"/>
    <w:rsid w:val="003C393F"/>
    <w:rsid w:val="003D3465"/>
    <w:rsid w:val="003D478D"/>
    <w:rsid w:val="003D7400"/>
    <w:rsid w:val="003E0AD4"/>
    <w:rsid w:val="003E1425"/>
    <w:rsid w:val="003E64C1"/>
    <w:rsid w:val="003F1067"/>
    <w:rsid w:val="003F1F9C"/>
    <w:rsid w:val="003F7B0D"/>
    <w:rsid w:val="004029ED"/>
    <w:rsid w:val="00403AA3"/>
    <w:rsid w:val="0040651A"/>
    <w:rsid w:val="00431C3B"/>
    <w:rsid w:val="00435268"/>
    <w:rsid w:val="0044023A"/>
    <w:rsid w:val="004437ED"/>
    <w:rsid w:val="0044600A"/>
    <w:rsid w:val="00447BDE"/>
    <w:rsid w:val="00450ADB"/>
    <w:rsid w:val="00452102"/>
    <w:rsid w:val="004531C4"/>
    <w:rsid w:val="0046694A"/>
    <w:rsid w:val="0046760D"/>
    <w:rsid w:val="00467833"/>
    <w:rsid w:val="00474447"/>
    <w:rsid w:val="004820E2"/>
    <w:rsid w:val="004853B6"/>
    <w:rsid w:val="004861BA"/>
    <w:rsid w:val="00486E44"/>
    <w:rsid w:val="0049027F"/>
    <w:rsid w:val="004913A8"/>
    <w:rsid w:val="004925A4"/>
    <w:rsid w:val="004929AD"/>
    <w:rsid w:val="004A0443"/>
    <w:rsid w:val="004A5F2A"/>
    <w:rsid w:val="004A6736"/>
    <w:rsid w:val="004B49D2"/>
    <w:rsid w:val="004C5B3E"/>
    <w:rsid w:val="004C5D28"/>
    <w:rsid w:val="004E126C"/>
    <w:rsid w:val="004F5BCD"/>
    <w:rsid w:val="005033B8"/>
    <w:rsid w:val="00503A40"/>
    <w:rsid w:val="00506840"/>
    <w:rsid w:val="00511A25"/>
    <w:rsid w:val="00517D40"/>
    <w:rsid w:val="00520861"/>
    <w:rsid w:val="00521880"/>
    <w:rsid w:val="00525C35"/>
    <w:rsid w:val="005279FB"/>
    <w:rsid w:val="00532BF5"/>
    <w:rsid w:val="0053541C"/>
    <w:rsid w:val="005458AD"/>
    <w:rsid w:val="0054778A"/>
    <w:rsid w:val="0055409E"/>
    <w:rsid w:val="00554A36"/>
    <w:rsid w:val="00562514"/>
    <w:rsid w:val="00564C6D"/>
    <w:rsid w:val="00576E04"/>
    <w:rsid w:val="0057733C"/>
    <w:rsid w:val="00581AC2"/>
    <w:rsid w:val="00583AC0"/>
    <w:rsid w:val="00584BFC"/>
    <w:rsid w:val="005873D0"/>
    <w:rsid w:val="005917A6"/>
    <w:rsid w:val="005932B6"/>
    <w:rsid w:val="00596F89"/>
    <w:rsid w:val="005B53A3"/>
    <w:rsid w:val="005C06FA"/>
    <w:rsid w:val="005D54D6"/>
    <w:rsid w:val="005D6CCE"/>
    <w:rsid w:val="005E671C"/>
    <w:rsid w:val="005F6F86"/>
    <w:rsid w:val="00600743"/>
    <w:rsid w:val="006048A4"/>
    <w:rsid w:val="00605362"/>
    <w:rsid w:val="006064F7"/>
    <w:rsid w:val="006068F0"/>
    <w:rsid w:val="00606C3B"/>
    <w:rsid w:val="00622C28"/>
    <w:rsid w:val="00626CA8"/>
    <w:rsid w:val="006271A0"/>
    <w:rsid w:val="006301C4"/>
    <w:rsid w:val="00631BAB"/>
    <w:rsid w:val="006406A8"/>
    <w:rsid w:val="00640B4E"/>
    <w:rsid w:val="00641D5B"/>
    <w:rsid w:val="00644AAD"/>
    <w:rsid w:val="00653CDE"/>
    <w:rsid w:val="00655B8F"/>
    <w:rsid w:val="00656442"/>
    <w:rsid w:val="00661DA0"/>
    <w:rsid w:val="006632E6"/>
    <w:rsid w:val="00670E85"/>
    <w:rsid w:val="0067703D"/>
    <w:rsid w:val="006831E3"/>
    <w:rsid w:val="00691B1A"/>
    <w:rsid w:val="00695425"/>
    <w:rsid w:val="006A101B"/>
    <w:rsid w:val="006A6DC8"/>
    <w:rsid w:val="006C015A"/>
    <w:rsid w:val="006C2360"/>
    <w:rsid w:val="006C55A9"/>
    <w:rsid w:val="006C5999"/>
    <w:rsid w:val="006D0A1B"/>
    <w:rsid w:val="006D6A62"/>
    <w:rsid w:val="006F0015"/>
    <w:rsid w:val="00707FF2"/>
    <w:rsid w:val="00715456"/>
    <w:rsid w:val="007176E5"/>
    <w:rsid w:val="00717D53"/>
    <w:rsid w:val="0072351B"/>
    <w:rsid w:val="00730FBB"/>
    <w:rsid w:val="0073261C"/>
    <w:rsid w:val="00736625"/>
    <w:rsid w:val="00744B4B"/>
    <w:rsid w:val="00745BFF"/>
    <w:rsid w:val="0074683F"/>
    <w:rsid w:val="007549ED"/>
    <w:rsid w:val="0075643C"/>
    <w:rsid w:val="00756DD1"/>
    <w:rsid w:val="00757B36"/>
    <w:rsid w:val="00761289"/>
    <w:rsid w:val="00761EA6"/>
    <w:rsid w:val="00763BFA"/>
    <w:rsid w:val="00767154"/>
    <w:rsid w:val="00773B6C"/>
    <w:rsid w:val="00773FEE"/>
    <w:rsid w:val="00781DF2"/>
    <w:rsid w:val="00790B95"/>
    <w:rsid w:val="007937A3"/>
    <w:rsid w:val="007B4684"/>
    <w:rsid w:val="007C09EA"/>
    <w:rsid w:val="007C2309"/>
    <w:rsid w:val="007C3B9F"/>
    <w:rsid w:val="007D5273"/>
    <w:rsid w:val="007D6581"/>
    <w:rsid w:val="007D6EBC"/>
    <w:rsid w:val="007F0A33"/>
    <w:rsid w:val="007F1D2B"/>
    <w:rsid w:val="007F4D7D"/>
    <w:rsid w:val="007F717F"/>
    <w:rsid w:val="008176CE"/>
    <w:rsid w:val="008232D5"/>
    <w:rsid w:val="00823F88"/>
    <w:rsid w:val="0082700E"/>
    <w:rsid w:val="008300D6"/>
    <w:rsid w:val="00843D45"/>
    <w:rsid w:val="00843DB9"/>
    <w:rsid w:val="00852105"/>
    <w:rsid w:val="0085544C"/>
    <w:rsid w:val="008604A4"/>
    <w:rsid w:val="008606F1"/>
    <w:rsid w:val="00860D9E"/>
    <w:rsid w:val="00862516"/>
    <w:rsid w:val="0086784A"/>
    <w:rsid w:val="008811BB"/>
    <w:rsid w:val="00884C48"/>
    <w:rsid w:val="00885D6D"/>
    <w:rsid w:val="0089747C"/>
    <w:rsid w:val="008974F2"/>
    <w:rsid w:val="008A2903"/>
    <w:rsid w:val="008C4798"/>
    <w:rsid w:val="008D3FFB"/>
    <w:rsid w:val="008D43F8"/>
    <w:rsid w:val="008E268A"/>
    <w:rsid w:val="008E3451"/>
    <w:rsid w:val="008E53FF"/>
    <w:rsid w:val="00904A9B"/>
    <w:rsid w:val="00905884"/>
    <w:rsid w:val="00920D6C"/>
    <w:rsid w:val="009276D5"/>
    <w:rsid w:val="00942D58"/>
    <w:rsid w:val="00942FDE"/>
    <w:rsid w:val="00952863"/>
    <w:rsid w:val="009528FA"/>
    <w:rsid w:val="0096166D"/>
    <w:rsid w:val="00986C7E"/>
    <w:rsid w:val="009911B9"/>
    <w:rsid w:val="009924D4"/>
    <w:rsid w:val="009961B0"/>
    <w:rsid w:val="009963BC"/>
    <w:rsid w:val="009A6C00"/>
    <w:rsid w:val="009B644A"/>
    <w:rsid w:val="009B67C7"/>
    <w:rsid w:val="009C3D9F"/>
    <w:rsid w:val="009C60E6"/>
    <w:rsid w:val="009D5E30"/>
    <w:rsid w:val="009D64B0"/>
    <w:rsid w:val="009D78FE"/>
    <w:rsid w:val="009E0DF2"/>
    <w:rsid w:val="009E2765"/>
    <w:rsid w:val="009E2C4C"/>
    <w:rsid w:val="009E509B"/>
    <w:rsid w:val="009E5F55"/>
    <w:rsid w:val="009F48CE"/>
    <w:rsid w:val="009F5431"/>
    <w:rsid w:val="009F5C57"/>
    <w:rsid w:val="00A079C6"/>
    <w:rsid w:val="00A11791"/>
    <w:rsid w:val="00A15437"/>
    <w:rsid w:val="00A1778C"/>
    <w:rsid w:val="00A207B9"/>
    <w:rsid w:val="00A317A2"/>
    <w:rsid w:val="00A31C07"/>
    <w:rsid w:val="00A31E32"/>
    <w:rsid w:val="00A35D90"/>
    <w:rsid w:val="00A37ECC"/>
    <w:rsid w:val="00A41DC7"/>
    <w:rsid w:val="00A4364F"/>
    <w:rsid w:val="00A5424F"/>
    <w:rsid w:val="00A54EBE"/>
    <w:rsid w:val="00A56CB5"/>
    <w:rsid w:val="00A64717"/>
    <w:rsid w:val="00A748C9"/>
    <w:rsid w:val="00A77398"/>
    <w:rsid w:val="00A80C51"/>
    <w:rsid w:val="00A81EDF"/>
    <w:rsid w:val="00A83A62"/>
    <w:rsid w:val="00A929CC"/>
    <w:rsid w:val="00A9536F"/>
    <w:rsid w:val="00A95495"/>
    <w:rsid w:val="00A955F2"/>
    <w:rsid w:val="00AA0FBE"/>
    <w:rsid w:val="00AA4479"/>
    <w:rsid w:val="00AA48D1"/>
    <w:rsid w:val="00AB7E31"/>
    <w:rsid w:val="00AD2F5B"/>
    <w:rsid w:val="00AD464B"/>
    <w:rsid w:val="00AD7E81"/>
    <w:rsid w:val="00AE0FF5"/>
    <w:rsid w:val="00AE127D"/>
    <w:rsid w:val="00AE1F0D"/>
    <w:rsid w:val="00AF12E5"/>
    <w:rsid w:val="00AF7D70"/>
    <w:rsid w:val="00B017FE"/>
    <w:rsid w:val="00B05D04"/>
    <w:rsid w:val="00B17E63"/>
    <w:rsid w:val="00B17F7F"/>
    <w:rsid w:val="00B20869"/>
    <w:rsid w:val="00B211ED"/>
    <w:rsid w:val="00B319D0"/>
    <w:rsid w:val="00B33B3B"/>
    <w:rsid w:val="00B52B37"/>
    <w:rsid w:val="00B548FD"/>
    <w:rsid w:val="00B556FB"/>
    <w:rsid w:val="00B56361"/>
    <w:rsid w:val="00B61746"/>
    <w:rsid w:val="00B62005"/>
    <w:rsid w:val="00B67934"/>
    <w:rsid w:val="00B76FFB"/>
    <w:rsid w:val="00B7795B"/>
    <w:rsid w:val="00B77961"/>
    <w:rsid w:val="00B803FE"/>
    <w:rsid w:val="00B84C74"/>
    <w:rsid w:val="00B94CF1"/>
    <w:rsid w:val="00BA2379"/>
    <w:rsid w:val="00BA6F13"/>
    <w:rsid w:val="00BB3A8E"/>
    <w:rsid w:val="00BB5CD0"/>
    <w:rsid w:val="00BB7111"/>
    <w:rsid w:val="00BC0690"/>
    <w:rsid w:val="00BC4D83"/>
    <w:rsid w:val="00BC6D1F"/>
    <w:rsid w:val="00BD1CD3"/>
    <w:rsid w:val="00BE0F5B"/>
    <w:rsid w:val="00BE242C"/>
    <w:rsid w:val="00BF2DE4"/>
    <w:rsid w:val="00BF4E4B"/>
    <w:rsid w:val="00BF7045"/>
    <w:rsid w:val="00C03881"/>
    <w:rsid w:val="00C03EC3"/>
    <w:rsid w:val="00C051BA"/>
    <w:rsid w:val="00C052AB"/>
    <w:rsid w:val="00C114D9"/>
    <w:rsid w:val="00C115C2"/>
    <w:rsid w:val="00C12A33"/>
    <w:rsid w:val="00C20A8B"/>
    <w:rsid w:val="00C234FA"/>
    <w:rsid w:val="00C31DD3"/>
    <w:rsid w:val="00C3405B"/>
    <w:rsid w:val="00C510B7"/>
    <w:rsid w:val="00C54574"/>
    <w:rsid w:val="00C67F26"/>
    <w:rsid w:val="00C72985"/>
    <w:rsid w:val="00C73607"/>
    <w:rsid w:val="00C7749B"/>
    <w:rsid w:val="00C82DE7"/>
    <w:rsid w:val="00C90F87"/>
    <w:rsid w:val="00C91EA9"/>
    <w:rsid w:val="00CB10A1"/>
    <w:rsid w:val="00CB1671"/>
    <w:rsid w:val="00CB3128"/>
    <w:rsid w:val="00CB582D"/>
    <w:rsid w:val="00CB63FC"/>
    <w:rsid w:val="00CB78F3"/>
    <w:rsid w:val="00CC1E96"/>
    <w:rsid w:val="00CC7527"/>
    <w:rsid w:val="00CD60E2"/>
    <w:rsid w:val="00CF37DE"/>
    <w:rsid w:val="00CF45D0"/>
    <w:rsid w:val="00CF4883"/>
    <w:rsid w:val="00CF6FCC"/>
    <w:rsid w:val="00D06972"/>
    <w:rsid w:val="00D21461"/>
    <w:rsid w:val="00D22BE5"/>
    <w:rsid w:val="00D30B85"/>
    <w:rsid w:val="00D37A63"/>
    <w:rsid w:val="00D44310"/>
    <w:rsid w:val="00D44B33"/>
    <w:rsid w:val="00D556A1"/>
    <w:rsid w:val="00D563C2"/>
    <w:rsid w:val="00D57164"/>
    <w:rsid w:val="00D57281"/>
    <w:rsid w:val="00D65967"/>
    <w:rsid w:val="00D732AF"/>
    <w:rsid w:val="00D777F1"/>
    <w:rsid w:val="00D8185B"/>
    <w:rsid w:val="00D8194A"/>
    <w:rsid w:val="00D82F3E"/>
    <w:rsid w:val="00D969A3"/>
    <w:rsid w:val="00DA584A"/>
    <w:rsid w:val="00DB6895"/>
    <w:rsid w:val="00DC7AB8"/>
    <w:rsid w:val="00DD525D"/>
    <w:rsid w:val="00DD5508"/>
    <w:rsid w:val="00DE0E0D"/>
    <w:rsid w:val="00DE5E63"/>
    <w:rsid w:val="00DE675A"/>
    <w:rsid w:val="00E1452E"/>
    <w:rsid w:val="00E375E1"/>
    <w:rsid w:val="00E40A3B"/>
    <w:rsid w:val="00E431DF"/>
    <w:rsid w:val="00E54657"/>
    <w:rsid w:val="00E6697F"/>
    <w:rsid w:val="00E74681"/>
    <w:rsid w:val="00E77CF4"/>
    <w:rsid w:val="00E8042B"/>
    <w:rsid w:val="00E820A0"/>
    <w:rsid w:val="00E9217F"/>
    <w:rsid w:val="00E9496E"/>
    <w:rsid w:val="00E95E2C"/>
    <w:rsid w:val="00E96765"/>
    <w:rsid w:val="00E97D09"/>
    <w:rsid w:val="00EA009B"/>
    <w:rsid w:val="00EA04B7"/>
    <w:rsid w:val="00EA0937"/>
    <w:rsid w:val="00EA7723"/>
    <w:rsid w:val="00EB17F3"/>
    <w:rsid w:val="00EB28CA"/>
    <w:rsid w:val="00EB57D6"/>
    <w:rsid w:val="00EC5445"/>
    <w:rsid w:val="00EE1688"/>
    <w:rsid w:val="00EE23CC"/>
    <w:rsid w:val="00EF36D5"/>
    <w:rsid w:val="00EF3F63"/>
    <w:rsid w:val="00EF4C13"/>
    <w:rsid w:val="00EF6EEB"/>
    <w:rsid w:val="00F072C2"/>
    <w:rsid w:val="00F1066F"/>
    <w:rsid w:val="00F21207"/>
    <w:rsid w:val="00F5110A"/>
    <w:rsid w:val="00F52FF2"/>
    <w:rsid w:val="00F53FD4"/>
    <w:rsid w:val="00F56BEA"/>
    <w:rsid w:val="00F72D89"/>
    <w:rsid w:val="00F74F31"/>
    <w:rsid w:val="00F95FE2"/>
    <w:rsid w:val="00FA0D4F"/>
    <w:rsid w:val="00FA3C12"/>
    <w:rsid w:val="00FB02D1"/>
    <w:rsid w:val="00FB3A1E"/>
    <w:rsid w:val="00FB3C91"/>
    <w:rsid w:val="00FB4DCC"/>
    <w:rsid w:val="00FB6647"/>
    <w:rsid w:val="00FD3F1A"/>
    <w:rsid w:val="00FD442A"/>
    <w:rsid w:val="00FD6406"/>
    <w:rsid w:val="00FE5FE9"/>
    <w:rsid w:val="00FF0F02"/>
    <w:rsid w:val="011D6037"/>
    <w:rsid w:val="0127533C"/>
    <w:rsid w:val="01281B77"/>
    <w:rsid w:val="01541EA9"/>
    <w:rsid w:val="018502B5"/>
    <w:rsid w:val="01B31FD7"/>
    <w:rsid w:val="01D628BE"/>
    <w:rsid w:val="01E74ACC"/>
    <w:rsid w:val="01F90AE9"/>
    <w:rsid w:val="029673B4"/>
    <w:rsid w:val="02EE3C38"/>
    <w:rsid w:val="031C69F7"/>
    <w:rsid w:val="03200295"/>
    <w:rsid w:val="03A74EB6"/>
    <w:rsid w:val="03B6069E"/>
    <w:rsid w:val="03CE16B6"/>
    <w:rsid w:val="03CE5F43"/>
    <w:rsid w:val="03FD644B"/>
    <w:rsid w:val="0410030A"/>
    <w:rsid w:val="04275653"/>
    <w:rsid w:val="046E7E75"/>
    <w:rsid w:val="0479743D"/>
    <w:rsid w:val="049D5291"/>
    <w:rsid w:val="04A23B2A"/>
    <w:rsid w:val="04B8274F"/>
    <w:rsid w:val="04CD5176"/>
    <w:rsid w:val="04DF1A8A"/>
    <w:rsid w:val="04FC07BA"/>
    <w:rsid w:val="05033049"/>
    <w:rsid w:val="05373674"/>
    <w:rsid w:val="057E25C9"/>
    <w:rsid w:val="058F161F"/>
    <w:rsid w:val="05A131E3"/>
    <w:rsid w:val="060D552F"/>
    <w:rsid w:val="064463A1"/>
    <w:rsid w:val="06824DC3"/>
    <w:rsid w:val="0687062B"/>
    <w:rsid w:val="069A7795"/>
    <w:rsid w:val="069C1685"/>
    <w:rsid w:val="06A64F55"/>
    <w:rsid w:val="06CD24E2"/>
    <w:rsid w:val="06E31BE3"/>
    <w:rsid w:val="0701218C"/>
    <w:rsid w:val="071719AF"/>
    <w:rsid w:val="07351E35"/>
    <w:rsid w:val="07693104"/>
    <w:rsid w:val="07754928"/>
    <w:rsid w:val="077961C6"/>
    <w:rsid w:val="07CB16FD"/>
    <w:rsid w:val="08436B41"/>
    <w:rsid w:val="0846062A"/>
    <w:rsid w:val="08A12292"/>
    <w:rsid w:val="08CA47FF"/>
    <w:rsid w:val="08E0734A"/>
    <w:rsid w:val="09093579"/>
    <w:rsid w:val="09107AB4"/>
    <w:rsid w:val="096B38AC"/>
    <w:rsid w:val="09CD219B"/>
    <w:rsid w:val="09EA0C98"/>
    <w:rsid w:val="09ED576F"/>
    <w:rsid w:val="09F36E1A"/>
    <w:rsid w:val="0A165F4E"/>
    <w:rsid w:val="0A68110D"/>
    <w:rsid w:val="0AB26E31"/>
    <w:rsid w:val="0AC33EBB"/>
    <w:rsid w:val="0AE308E9"/>
    <w:rsid w:val="0B867103"/>
    <w:rsid w:val="0BEB4BF0"/>
    <w:rsid w:val="0C5B0590"/>
    <w:rsid w:val="0C825B1D"/>
    <w:rsid w:val="0CCB59F8"/>
    <w:rsid w:val="0CE77C80"/>
    <w:rsid w:val="0D4C2005"/>
    <w:rsid w:val="0D9A0C44"/>
    <w:rsid w:val="0DD71E98"/>
    <w:rsid w:val="0E484B44"/>
    <w:rsid w:val="0E6D1D28"/>
    <w:rsid w:val="0EC67F72"/>
    <w:rsid w:val="0EF44384"/>
    <w:rsid w:val="0F543075"/>
    <w:rsid w:val="0F657030"/>
    <w:rsid w:val="0F6E4136"/>
    <w:rsid w:val="0F6F61FD"/>
    <w:rsid w:val="0FF64FBF"/>
    <w:rsid w:val="104D0D7B"/>
    <w:rsid w:val="10536FF6"/>
    <w:rsid w:val="107F4121"/>
    <w:rsid w:val="10DB1C9F"/>
    <w:rsid w:val="114C434D"/>
    <w:rsid w:val="115F735F"/>
    <w:rsid w:val="11B9530B"/>
    <w:rsid w:val="11C20EF9"/>
    <w:rsid w:val="11E626AA"/>
    <w:rsid w:val="11EA7318"/>
    <w:rsid w:val="11F03528"/>
    <w:rsid w:val="12555A81"/>
    <w:rsid w:val="128F7F5F"/>
    <w:rsid w:val="129B6FD3"/>
    <w:rsid w:val="12F11027"/>
    <w:rsid w:val="133A4998"/>
    <w:rsid w:val="13423166"/>
    <w:rsid w:val="13824654"/>
    <w:rsid w:val="138D6D37"/>
    <w:rsid w:val="13D50C28"/>
    <w:rsid w:val="13F13588"/>
    <w:rsid w:val="140E5EE8"/>
    <w:rsid w:val="14246D62"/>
    <w:rsid w:val="14272B50"/>
    <w:rsid w:val="143D057B"/>
    <w:rsid w:val="14443381"/>
    <w:rsid w:val="14A931FA"/>
    <w:rsid w:val="14AD5693"/>
    <w:rsid w:val="14F6466F"/>
    <w:rsid w:val="155D3714"/>
    <w:rsid w:val="159B786C"/>
    <w:rsid w:val="15A20FDE"/>
    <w:rsid w:val="15AC59B8"/>
    <w:rsid w:val="15DA0777"/>
    <w:rsid w:val="165247B2"/>
    <w:rsid w:val="168503A9"/>
    <w:rsid w:val="16F83DC9"/>
    <w:rsid w:val="16FB6BF7"/>
    <w:rsid w:val="17594E90"/>
    <w:rsid w:val="176667F0"/>
    <w:rsid w:val="17F65611"/>
    <w:rsid w:val="17FE424E"/>
    <w:rsid w:val="181E6DC2"/>
    <w:rsid w:val="186802BC"/>
    <w:rsid w:val="187F73B4"/>
    <w:rsid w:val="18B20619"/>
    <w:rsid w:val="18D50822"/>
    <w:rsid w:val="19740943"/>
    <w:rsid w:val="19821310"/>
    <w:rsid w:val="19E25B1C"/>
    <w:rsid w:val="19EA6AAF"/>
    <w:rsid w:val="1A045DC3"/>
    <w:rsid w:val="1A293E4C"/>
    <w:rsid w:val="1A6E500E"/>
    <w:rsid w:val="1A7F63F9"/>
    <w:rsid w:val="1A992E30"/>
    <w:rsid w:val="1A9E0CCE"/>
    <w:rsid w:val="1AB13B19"/>
    <w:rsid w:val="1ABA2925"/>
    <w:rsid w:val="1AD75F94"/>
    <w:rsid w:val="1AFC3359"/>
    <w:rsid w:val="1B171384"/>
    <w:rsid w:val="1B285AE1"/>
    <w:rsid w:val="1B722614"/>
    <w:rsid w:val="1C0531EC"/>
    <w:rsid w:val="1C32204E"/>
    <w:rsid w:val="1C994D2B"/>
    <w:rsid w:val="1CDD28FB"/>
    <w:rsid w:val="1D897FA0"/>
    <w:rsid w:val="1DB81E7A"/>
    <w:rsid w:val="1E392950"/>
    <w:rsid w:val="1E3E561C"/>
    <w:rsid w:val="1E694AB7"/>
    <w:rsid w:val="1E6B73A1"/>
    <w:rsid w:val="1F0D4A7D"/>
    <w:rsid w:val="1F245AE0"/>
    <w:rsid w:val="1F5844BB"/>
    <w:rsid w:val="1F737547"/>
    <w:rsid w:val="1FD746B4"/>
    <w:rsid w:val="1FE12CA6"/>
    <w:rsid w:val="20146634"/>
    <w:rsid w:val="202007F5"/>
    <w:rsid w:val="204910E9"/>
    <w:rsid w:val="20826B40"/>
    <w:rsid w:val="20931C4F"/>
    <w:rsid w:val="20C029EA"/>
    <w:rsid w:val="20D440A0"/>
    <w:rsid w:val="20E00C0C"/>
    <w:rsid w:val="216750D4"/>
    <w:rsid w:val="21A460DD"/>
    <w:rsid w:val="21B87493"/>
    <w:rsid w:val="2208666C"/>
    <w:rsid w:val="2210107D"/>
    <w:rsid w:val="22752197"/>
    <w:rsid w:val="229E62F1"/>
    <w:rsid w:val="22D0527F"/>
    <w:rsid w:val="232E2103"/>
    <w:rsid w:val="233D692C"/>
    <w:rsid w:val="235B6B53"/>
    <w:rsid w:val="237F6AC1"/>
    <w:rsid w:val="2384465D"/>
    <w:rsid w:val="23C640E9"/>
    <w:rsid w:val="23DF164F"/>
    <w:rsid w:val="2408344F"/>
    <w:rsid w:val="24193EA3"/>
    <w:rsid w:val="245B3C6C"/>
    <w:rsid w:val="2471674B"/>
    <w:rsid w:val="24C7163E"/>
    <w:rsid w:val="24CE4445"/>
    <w:rsid w:val="24EC4023"/>
    <w:rsid w:val="25100723"/>
    <w:rsid w:val="251C7A5B"/>
    <w:rsid w:val="25477A1C"/>
    <w:rsid w:val="256612EF"/>
    <w:rsid w:val="25993BA9"/>
    <w:rsid w:val="259E66A1"/>
    <w:rsid w:val="25A20B86"/>
    <w:rsid w:val="26445DDE"/>
    <w:rsid w:val="26726103"/>
    <w:rsid w:val="26E13CB0"/>
    <w:rsid w:val="271611CC"/>
    <w:rsid w:val="27651E6B"/>
    <w:rsid w:val="27806CA5"/>
    <w:rsid w:val="278C3A5E"/>
    <w:rsid w:val="27C052F3"/>
    <w:rsid w:val="27D50643"/>
    <w:rsid w:val="28047CA2"/>
    <w:rsid w:val="28722A91"/>
    <w:rsid w:val="28902F18"/>
    <w:rsid w:val="28ED1A29"/>
    <w:rsid w:val="29115E06"/>
    <w:rsid w:val="294E716C"/>
    <w:rsid w:val="2950159E"/>
    <w:rsid w:val="29B501C3"/>
    <w:rsid w:val="29B80978"/>
    <w:rsid w:val="29D357B2"/>
    <w:rsid w:val="2A8645D2"/>
    <w:rsid w:val="2B0100FD"/>
    <w:rsid w:val="2B4F567C"/>
    <w:rsid w:val="2B797C93"/>
    <w:rsid w:val="2BCB4B12"/>
    <w:rsid w:val="2BF769ED"/>
    <w:rsid w:val="2C0B2FE1"/>
    <w:rsid w:val="2C453FE1"/>
    <w:rsid w:val="2C956D4E"/>
    <w:rsid w:val="2CBB1A53"/>
    <w:rsid w:val="2CD47877"/>
    <w:rsid w:val="2CED0939"/>
    <w:rsid w:val="2CF02555"/>
    <w:rsid w:val="2D053EE0"/>
    <w:rsid w:val="2D9C6103"/>
    <w:rsid w:val="2DA07C21"/>
    <w:rsid w:val="2DF9330D"/>
    <w:rsid w:val="2DFF7667"/>
    <w:rsid w:val="2E096797"/>
    <w:rsid w:val="2E0D4D47"/>
    <w:rsid w:val="2E337FB7"/>
    <w:rsid w:val="2E5844D8"/>
    <w:rsid w:val="2E8D23D3"/>
    <w:rsid w:val="2EB94756"/>
    <w:rsid w:val="2ED4747E"/>
    <w:rsid w:val="2EFA733D"/>
    <w:rsid w:val="2F010A24"/>
    <w:rsid w:val="2F414F6C"/>
    <w:rsid w:val="2F9F10C4"/>
    <w:rsid w:val="2FC242FE"/>
    <w:rsid w:val="30112108"/>
    <w:rsid w:val="30297EDA"/>
    <w:rsid w:val="309968FE"/>
    <w:rsid w:val="309A299A"/>
    <w:rsid w:val="30A77050"/>
    <w:rsid w:val="30E73C86"/>
    <w:rsid w:val="312B5ED3"/>
    <w:rsid w:val="31434FCB"/>
    <w:rsid w:val="314D7BF8"/>
    <w:rsid w:val="315437F6"/>
    <w:rsid w:val="316F6EDD"/>
    <w:rsid w:val="31811639"/>
    <w:rsid w:val="31B02C60"/>
    <w:rsid w:val="31FD3A06"/>
    <w:rsid w:val="321C75CA"/>
    <w:rsid w:val="328F5EAD"/>
    <w:rsid w:val="329E1AA3"/>
    <w:rsid w:val="32CE0413"/>
    <w:rsid w:val="335214F5"/>
    <w:rsid w:val="33574D5E"/>
    <w:rsid w:val="3361798A"/>
    <w:rsid w:val="33D854AC"/>
    <w:rsid w:val="346239BA"/>
    <w:rsid w:val="349F2AC2"/>
    <w:rsid w:val="34F73875"/>
    <w:rsid w:val="350B015E"/>
    <w:rsid w:val="353166EC"/>
    <w:rsid w:val="3584522D"/>
    <w:rsid w:val="35E27627"/>
    <w:rsid w:val="36037DA4"/>
    <w:rsid w:val="361241A8"/>
    <w:rsid w:val="36387532"/>
    <w:rsid w:val="36625EF3"/>
    <w:rsid w:val="36981915"/>
    <w:rsid w:val="36D91AD2"/>
    <w:rsid w:val="36E22EF2"/>
    <w:rsid w:val="37135440"/>
    <w:rsid w:val="37620175"/>
    <w:rsid w:val="378E64BD"/>
    <w:rsid w:val="37DF17C6"/>
    <w:rsid w:val="37F7266B"/>
    <w:rsid w:val="383E473E"/>
    <w:rsid w:val="384215D5"/>
    <w:rsid w:val="38B14665"/>
    <w:rsid w:val="38B7004D"/>
    <w:rsid w:val="38CC7F9C"/>
    <w:rsid w:val="39620DCE"/>
    <w:rsid w:val="3A233BEC"/>
    <w:rsid w:val="3A3000B7"/>
    <w:rsid w:val="3A6C3136"/>
    <w:rsid w:val="3A79380C"/>
    <w:rsid w:val="3A8E2745"/>
    <w:rsid w:val="3A982496"/>
    <w:rsid w:val="3AC94049"/>
    <w:rsid w:val="3B7F12F6"/>
    <w:rsid w:val="3BE1664B"/>
    <w:rsid w:val="3BEC4ABF"/>
    <w:rsid w:val="3C7524EC"/>
    <w:rsid w:val="3CBD63EC"/>
    <w:rsid w:val="3CD10CF6"/>
    <w:rsid w:val="3CE13B89"/>
    <w:rsid w:val="3D085B96"/>
    <w:rsid w:val="3DA27397"/>
    <w:rsid w:val="3DE058F6"/>
    <w:rsid w:val="3E2701D6"/>
    <w:rsid w:val="3E2B12C1"/>
    <w:rsid w:val="3E3C2FF9"/>
    <w:rsid w:val="3E934A9D"/>
    <w:rsid w:val="3EB7796E"/>
    <w:rsid w:val="3EED4955"/>
    <w:rsid w:val="3EFB5137"/>
    <w:rsid w:val="3F1E2075"/>
    <w:rsid w:val="3F255D10"/>
    <w:rsid w:val="3FB37A99"/>
    <w:rsid w:val="3FCB48F2"/>
    <w:rsid w:val="3FE0432D"/>
    <w:rsid w:val="400B1E45"/>
    <w:rsid w:val="40302DE6"/>
    <w:rsid w:val="40532D51"/>
    <w:rsid w:val="40582115"/>
    <w:rsid w:val="405875C5"/>
    <w:rsid w:val="4071376A"/>
    <w:rsid w:val="409C0254"/>
    <w:rsid w:val="41197AF6"/>
    <w:rsid w:val="41306BEE"/>
    <w:rsid w:val="41913B31"/>
    <w:rsid w:val="41B415CD"/>
    <w:rsid w:val="421A58D4"/>
    <w:rsid w:val="42563162"/>
    <w:rsid w:val="42CC257F"/>
    <w:rsid w:val="42E51C1A"/>
    <w:rsid w:val="43601A0D"/>
    <w:rsid w:val="436E6049"/>
    <w:rsid w:val="436F06B1"/>
    <w:rsid w:val="43807616"/>
    <w:rsid w:val="43D35777"/>
    <w:rsid w:val="43FE753F"/>
    <w:rsid w:val="441F5424"/>
    <w:rsid w:val="44437AFE"/>
    <w:rsid w:val="444C01E3"/>
    <w:rsid w:val="44557097"/>
    <w:rsid w:val="44692B43"/>
    <w:rsid w:val="448114BE"/>
    <w:rsid w:val="449851D6"/>
    <w:rsid w:val="44CA4BFA"/>
    <w:rsid w:val="44FF006F"/>
    <w:rsid w:val="45264EB2"/>
    <w:rsid w:val="45927E77"/>
    <w:rsid w:val="45F823D0"/>
    <w:rsid w:val="46503FBA"/>
    <w:rsid w:val="46E00664"/>
    <w:rsid w:val="47EA5D49"/>
    <w:rsid w:val="483F6466"/>
    <w:rsid w:val="48A83BDA"/>
    <w:rsid w:val="48AE3ACC"/>
    <w:rsid w:val="48CB07F4"/>
    <w:rsid w:val="48ED2CFC"/>
    <w:rsid w:val="495913D8"/>
    <w:rsid w:val="4A5710FE"/>
    <w:rsid w:val="4A5C61AE"/>
    <w:rsid w:val="4A5F1DA2"/>
    <w:rsid w:val="4A642911"/>
    <w:rsid w:val="4A75577B"/>
    <w:rsid w:val="4AB864F7"/>
    <w:rsid w:val="4ACD08F8"/>
    <w:rsid w:val="4AE10C95"/>
    <w:rsid w:val="4B2D22FC"/>
    <w:rsid w:val="4B500575"/>
    <w:rsid w:val="4B6E6C91"/>
    <w:rsid w:val="4B8D6ED7"/>
    <w:rsid w:val="4C115F9A"/>
    <w:rsid w:val="4C1450A1"/>
    <w:rsid w:val="4C181569"/>
    <w:rsid w:val="4C1A7FBB"/>
    <w:rsid w:val="4C6166A5"/>
    <w:rsid w:val="4CA23096"/>
    <w:rsid w:val="4CDB2104"/>
    <w:rsid w:val="4D083EE4"/>
    <w:rsid w:val="4D4F1B3D"/>
    <w:rsid w:val="4DC4493B"/>
    <w:rsid w:val="4E0E4BB5"/>
    <w:rsid w:val="4E357580"/>
    <w:rsid w:val="4E4F4B57"/>
    <w:rsid w:val="4E546612"/>
    <w:rsid w:val="4E6F6FA8"/>
    <w:rsid w:val="4E964534"/>
    <w:rsid w:val="4EA778A6"/>
    <w:rsid w:val="4EF456FF"/>
    <w:rsid w:val="4F0D511B"/>
    <w:rsid w:val="4F786330"/>
    <w:rsid w:val="4FEE65F2"/>
    <w:rsid w:val="504970E8"/>
    <w:rsid w:val="50B60EBE"/>
    <w:rsid w:val="50E16CEC"/>
    <w:rsid w:val="50F32112"/>
    <w:rsid w:val="510F6820"/>
    <w:rsid w:val="51765070"/>
    <w:rsid w:val="51805608"/>
    <w:rsid w:val="51954F77"/>
    <w:rsid w:val="51D84E64"/>
    <w:rsid w:val="520E7C86"/>
    <w:rsid w:val="521635B7"/>
    <w:rsid w:val="5290573F"/>
    <w:rsid w:val="529E42FF"/>
    <w:rsid w:val="52C106E4"/>
    <w:rsid w:val="52D27B05"/>
    <w:rsid w:val="52D62A78"/>
    <w:rsid w:val="5331489C"/>
    <w:rsid w:val="538452A3"/>
    <w:rsid w:val="538D14A7"/>
    <w:rsid w:val="53CC6C4A"/>
    <w:rsid w:val="53E45B74"/>
    <w:rsid w:val="541A1764"/>
    <w:rsid w:val="542B6821"/>
    <w:rsid w:val="542D4092"/>
    <w:rsid w:val="547E7F44"/>
    <w:rsid w:val="54E35FFA"/>
    <w:rsid w:val="54F82E6B"/>
    <w:rsid w:val="54FC355F"/>
    <w:rsid w:val="552830AF"/>
    <w:rsid w:val="556233C2"/>
    <w:rsid w:val="556C0634"/>
    <w:rsid w:val="55806AC7"/>
    <w:rsid w:val="55895783"/>
    <w:rsid w:val="55911EF9"/>
    <w:rsid w:val="559612BE"/>
    <w:rsid w:val="55DE14CA"/>
    <w:rsid w:val="560870F4"/>
    <w:rsid w:val="5650695A"/>
    <w:rsid w:val="574216FD"/>
    <w:rsid w:val="577D2735"/>
    <w:rsid w:val="57AA72A2"/>
    <w:rsid w:val="57C02622"/>
    <w:rsid w:val="58076F49"/>
    <w:rsid w:val="58353010"/>
    <w:rsid w:val="587F072F"/>
    <w:rsid w:val="58E65129"/>
    <w:rsid w:val="5932622B"/>
    <w:rsid w:val="5985577C"/>
    <w:rsid w:val="59A560D2"/>
    <w:rsid w:val="59E568F8"/>
    <w:rsid w:val="5A040EEC"/>
    <w:rsid w:val="5A1C7431"/>
    <w:rsid w:val="5A1D1FAE"/>
    <w:rsid w:val="5A3317D1"/>
    <w:rsid w:val="5A7D0C9E"/>
    <w:rsid w:val="5AB959D6"/>
    <w:rsid w:val="5B1E0B51"/>
    <w:rsid w:val="5B340651"/>
    <w:rsid w:val="5B7A41BF"/>
    <w:rsid w:val="5B896218"/>
    <w:rsid w:val="5BB16E51"/>
    <w:rsid w:val="5BE32D83"/>
    <w:rsid w:val="5BF60D08"/>
    <w:rsid w:val="5C447CC6"/>
    <w:rsid w:val="5C4C422B"/>
    <w:rsid w:val="5C891B7C"/>
    <w:rsid w:val="5C967DF5"/>
    <w:rsid w:val="5CC25FCB"/>
    <w:rsid w:val="5D373670"/>
    <w:rsid w:val="5D4A3B37"/>
    <w:rsid w:val="5D4E1E83"/>
    <w:rsid w:val="5D804CAE"/>
    <w:rsid w:val="5E4B2AFB"/>
    <w:rsid w:val="5E6A441A"/>
    <w:rsid w:val="5E9F7435"/>
    <w:rsid w:val="5F2711D9"/>
    <w:rsid w:val="5F630463"/>
    <w:rsid w:val="5F6441DB"/>
    <w:rsid w:val="5F78056B"/>
    <w:rsid w:val="5FF52A67"/>
    <w:rsid w:val="602E0357"/>
    <w:rsid w:val="60D62EB6"/>
    <w:rsid w:val="60DA2578"/>
    <w:rsid w:val="6106379C"/>
    <w:rsid w:val="61B66BE2"/>
    <w:rsid w:val="61FB0E26"/>
    <w:rsid w:val="62802EE5"/>
    <w:rsid w:val="62894684"/>
    <w:rsid w:val="62A02B74"/>
    <w:rsid w:val="62A639B7"/>
    <w:rsid w:val="62B334AF"/>
    <w:rsid w:val="62B92A90"/>
    <w:rsid w:val="630A6E47"/>
    <w:rsid w:val="63585E05"/>
    <w:rsid w:val="636C7B02"/>
    <w:rsid w:val="6370314E"/>
    <w:rsid w:val="63BA1DED"/>
    <w:rsid w:val="63C35974"/>
    <w:rsid w:val="63D35FBB"/>
    <w:rsid w:val="6405749C"/>
    <w:rsid w:val="64524A37"/>
    <w:rsid w:val="646A4041"/>
    <w:rsid w:val="646F1658"/>
    <w:rsid w:val="64B058C7"/>
    <w:rsid w:val="64C574CA"/>
    <w:rsid w:val="65042F34"/>
    <w:rsid w:val="650C2823"/>
    <w:rsid w:val="650D6C14"/>
    <w:rsid w:val="651F4912"/>
    <w:rsid w:val="655D3AEB"/>
    <w:rsid w:val="65841133"/>
    <w:rsid w:val="659868BE"/>
    <w:rsid w:val="65C92FEA"/>
    <w:rsid w:val="662446C4"/>
    <w:rsid w:val="66291CDA"/>
    <w:rsid w:val="66855163"/>
    <w:rsid w:val="668A09CB"/>
    <w:rsid w:val="66AD46B9"/>
    <w:rsid w:val="66D53242"/>
    <w:rsid w:val="67245E94"/>
    <w:rsid w:val="672D1356"/>
    <w:rsid w:val="67681657"/>
    <w:rsid w:val="677041D4"/>
    <w:rsid w:val="677A27ED"/>
    <w:rsid w:val="67863883"/>
    <w:rsid w:val="67D87514"/>
    <w:rsid w:val="68232E85"/>
    <w:rsid w:val="684E77D6"/>
    <w:rsid w:val="68A43277"/>
    <w:rsid w:val="68AF7DD3"/>
    <w:rsid w:val="699163F6"/>
    <w:rsid w:val="69E37643"/>
    <w:rsid w:val="69E421A0"/>
    <w:rsid w:val="6A1C39DF"/>
    <w:rsid w:val="6A2B4273"/>
    <w:rsid w:val="6A372C18"/>
    <w:rsid w:val="6A890F99"/>
    <w:rsid w:val="6AAC40C9"/>
    <w:rsid w:val="6B481726"/>
    <w:rsid w:val="6B601486"/>
    <w:rsid w:val="6B756F24"/>
    <w:rsid w:val="6B7E5BA0"/>
    <w:rsid w:val="6B823DB5"/>
    <w:rsid w:val="6B8E3EDD"/>
    <w:rsid w:val="6BA35F11"/>
    <w:rsid w:val="6BC0512C"/>
    <w:rsid w:val="6BCB7ABB"/>
    <w:rsid w:val="6BF62B09"/>
    <w:rsid w:val="6BFD39ED"/>
    <w:rsid w:val="6C0C59DE"/>
    <w:rsid w:val="6C6D61C0"/>
    <w:rsid w:val="6C821EF8"/>
    <w:rsid w:val="6C8B724B"/>
    <w:rsid w:val="6C9205D9"/>
    <w:rsid w:val="6C9500C9"/>
    <w:rsid w:val="6CC3603D"/>
    <w:rsid w:val="6D604233"/>
    <w:rsid w:val="6D7101EF"/>
    <w:rsid w:val="6D7E0B5E"/>
    <w:rsid w:val="6D920B5B"/>
    <w:rsid w:val="6DE50BDD"/>
    <w:rsid w:val="6E423939"/>
    <w:rsid w:val="6ED924EF"/>
    <w:rsid w:val="6F881820"/>
    <w:rsid w:val="6FA86B63"/>
    <w:rsid w:val="6FAA3E8C"/>
    <w:rsid w:val="6FE0340A"/>
    <w:rsid w:val="6FFD3FBC"/>
    <w:rsid w:val="7055204A"/>
    <w:rsid w:val="70875F7B"/>
    <w:rsid w:val="709F45E1"/>
    <w:rsid w:val="70F57355"/>
    <w:rsid w:val="713E0FAB"/>
    <w:rsid w:val="718A5D23"/>
    <w:rsid w:val="719703A6"/>
    <w:rsid w:val="71973F9C"/>
    <w:rsid w:val="71CA611F"/>
    <w:rsid w:val="71EA4A14"/>
    <w:rsid w:val="71F72C8D"/>
    <w:rsid w:val="72084E9A"/>
    <w:rsid w:val="72266EDA"/>
    <w:rsid w:val="72281098"/>
    <w:rsid w:val="724704AD"/>
    <w:rsid w:val="72DE585A"/>
    <w:rsid w:val="730D09BA"/>
    <w:rsid w:val="7329156C"/>
    <w:rsid w:val="734C0DB6"/>
    <w:rsid w:val="73653BD3"/>
    <w:rsid w:val="73B726D3"/>
    <w:rsid w:val="73B84B2D"/>
    <w:rsid w:val="73DD25EF"/>
    <w:rsid w:val="73E82865"/>
    <w:rsid w:val="740E63E4"/>
    <w:rsid w:val="74323C7D"/>
    <w:rsid w:val="74833EC1"/>
    <w:rsid w:val="74A970AF"/>
    <w:rsid w:val="74CD552B"/>
    <w:rsid w:val="75041948"/>
    <w:rsid w:val="750D2EF3"/>
    <w:rsid w:val="75232716"/>
    <w:rsid w:val="75457F23"/>
    <w:rsid w:val="7561323F"/>
    <w:rsid w:val="75750A98"/>
    <w:rsid w:val="75B846AB"/>
    <w:rsid w:val="760109AB"/>
    <w:rsid w:val="760477CC"/>
    <w:rsid w:val="761E4C8C"/>
    <w:rsid w:val="76F86427"/>
    <w:rsid w:val="771D647A"/>
    <w:rsid w:val="77253DF8"/>
    <w:rsid w:val="775A7F45"/>
    <w:rsid w:val="777402C8"/>
    <w:rsid w:val="7789082B"/>
    <w:rsid w:val="77E51F05"/>
    <w:rsid w:val="77E93077"/>
    <w:rsid w:val="781A223D"/>
    <w:rsid w:val="781C3A7C"/>
    <w:rsid w:val="782F092D"/>
    <w:rsid w:val="78440019"/>
    <w:rsid w:val="786A41B8"/>
    <w:rsid w:val="78746AD7"/>
    <w:rsid w:val="787647BC"/>
    <w:rsid w:val="78785684"/>
    <w:rsid w:val="78A53CFB"/>
    <w:rsid w:val="78E51DC0"/>
    <w:rsid w:val="79181E66"/>
    <w:rsid w:val="79870D9A"/>
    <w:rsid w:val="79982C00"/>
    <w:rsid w:val="79AD14A0"/>
    <w:rsid w:val="7AE85868"/>
    <w:rsid w:val="7AEE2A29"/>
    <w:rsid w:val="7BAE622B"/>
    <w:rsid w:val="7BEE5100"/>
    <w:rsid w:val="7CB24380"/>
    <w:rsid w:val="7D033891"/>
    <w:rsid w:val="7D567401"/>
    <w:rsid w:val="7D623F62"/>
    <w:rsid w:val="7D827CD7"/>
    <w:rsid w:val="7D871368"/>
    <w:rsid w:val="7DA102C1"/>
    <w:rsid w:val="7DF34C50"/>
    <w:rsid w:val="7E1D61C4"/>
    <w:rsid w:val="7E2E3EDA"/>
    <w:rsid w:val="7E7473B2"/>
    <w:rsid w:val="7ECD4CA5"/>
    <w:rsid w:val="7EE24E1B"/>
    <w:rsid w:val="7F080287"/>
    <w:rsid w:val="7F765B38"/>
    <w:rsid w:val="7F803DAD"/>
    <w:rsid w:val="7F8F1D8C"/>
    <w:rsid w:val="7FA011C8"/>
    <w:rsid w:val="7FAA57E2"/>
    <w:rsid w:val="7FC06DBC"/>
    <w:rsid w:val="7FC90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3"/>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44"/>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45"/>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46"/>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47"/>
    <w:qFormat/>
    <w:uiPriority w:val="0"/>
    <w:pPr>
      <w:keepNext/>
      <w:keepLines/>
      <w:spacing w:before="280" w:after="290" w:line="376" w:lineRule="auto"/>
      <w:outlineLvl w:val="4"/>
    </w:pPr>
    <w:rPr>
      <w:b/>
      <w:bCs/>
      <w:sz w:val="28"/>
      <w:szCs w:val="28"/>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qFormat/>
    <w:uiPriority w:val="0"/>
    <w:pPr>
      <w:jc w:val="left"/>
    </w:pPr>
    <w:rPr>
      <w:rFonts w:ascii="Calibri" w:hAnsi="Calibri"/>
      <w:sz w:val="22"/>
      <w:szCs w:val="22"/>
    </w:rPr>
  </w:style>
  <w:style w:type="paragraph" w:styleId="8">
    <w:name w:val="Normal Indent"/>
    <w:basedOn w:val="1"/>
    <w:next w:val="1"/>
    <w:qFormat/>
    <w:uiPriority w:val="0"/>
    <w:pPr>
      <w:ind w:firstLine="420"/>
    </w:pPr>
    <w:rPr>
      <w:szCs w:val="20"/>
    </w:r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Document Map"/>
    <w:basedOn w:val="1"/>
    <w:link w:val="48"/>
    <w:qFormat/>
    <w:uiPriority w:val="0"/>
    <w:rPr>
      <w:rFonts w:ascii="宋体"/>
      <w:sz w:val="18"/>
      <w:szCs w:val="18"/>
    </w:rPr>
  </w:style>
  <w:style w:type="paragraph" w:styleId="11">
    <w:name w:val="annotation text"/>
    <w:basedOn w:val="1"/>
    <w:link w:val="49"/>
    <w:qFormat/>
    <w:uiPriority w:val="0"/>
    <w:pPr>
      <w:jc w:val="left"/>
    </w:pPr>
  </w:style>
  <w:style w:type="paragraph" w:styleId="12">
    <w:name w:val="Body Text 3"/>
    <w:basedOn w:val="1"/>
    <w:next w:val="8"/>
    <w:link w:val="50"/>
    <w:qFormat/>
    <w:uiPriority w:val="0"/>
    <w:pPr>
      <w:spacing w:after="120"/>
    </w:pPr>
    <w:rPr>
      <w:sz w:val="16"/>
      <w:szCs w:val="16"/>
    </w:rPr>
  </w:style>
  <w:style w:type="paragraph" w:styleId="13">
    <w:name w:val="Body Text"/>
    <w:basedOn w:val="1"/>
    <w:next w:val="14"/>
    <w:link w:val="51"/>
    <w:qFormat/>
    <w:uiPriority w:val="0"/>
    <w:pPr>
      <w:spacing w:after="120"/>
    </w:pPr>
  </w:style>
  <w:style w:type="paragraph" w:styleId="14">
    <w:name w:val="Plain Text"/>
    <w:basedOn w:val="1"/>
    <w:next w:val="5"/>
    <w:link w:val="52"/>
    <w:qFormat/>
    <w:uiPriority w:val="0"/>
    <w:rPr>
      <w:rFonts w:ascii="宋体" w:hAnsi="Courier New"/>
      <w:szCs w:val="20"/>
    </w:rPr>
  </w:style>
  <w:style w:type="paragraph" w:styleId="15">
    <w:name w:val="Body Text Indent"/>
    <w:basedOn w:val="1"/>
    <w:link w:val="53"/>
    <w:qFormat/>
    <w:uiPriority w:val="0"/>
    <w:pPr>
      <w:spacing w:line="200" w:lineRule="exact"/>
      <w:ind w:firstLine="301"/>
    </w:pPr>
    <w:rPr>
      <w:rFonts w:ascii="宋体" w:hAnsi="Courier New"/>
      <w:spacing w:val="-4"/>
      <w:sz w:val="18"/>
      <w:szCs w:val="20"/>
    </w:rPr>
  </w:style>
  <w:style w:type="paragraph" w:styleId="16">
    <w:name w:val="toc 5"/>
    <w:basedOn w:val="1"/>
    <w:next w:val="1"/>
    <w:qFormat/>
    <w:uiPriority w:val="0"/>
    <w:pPr>
      <w:jc w:val="left"/>
    </w:pPr>
    <w:rPr>
      <w:rFonts w:ascii="Calibri" w:hAnsi="Calibri"/>
      <w:sz w:val="22"/>
      <w:szCs w:val="22"/>
    </w:rPr>
  </w:style>
  <w:style w:type="paragraph" w:styleId="17">
    <w:name w:val="toc 3"/>
    <w:basedOn w:val="1"/>
    <w:next w:val="1"/>
    <w:qFormat/>
    <w:uiPriority w:val="0"/>
    <w:pPr>
      <w:jc w:val="left"/>
    </w:pPr>
    <w:rPr>
      <w:rFonts w:ascii="Calibri" w:hAnsi="Calibri"/>
      <w:smallCaps/>
      <w:sz w:val="22"/>
      <w:szCs w:val="22"/>
    </w:rPr>
  </w:style>
  <w:style w:type="paragraph" w:styleId="18">
    <w:name w:val="toc 8"/>
    <w:basedOn w:val="1"/>
    <w:next w:val="1"/>
    <w:qFormat/>
    <w:uiPriority w:val="0"/>
    <w:pPr>
      <w:jc w:val="left"/>
    </w:pPr>
    <w:rPr>
      <w:rFonts w:ascii="Calibri" w:hAnsi="Calibri"/>
      <w:sz w:val="22"/>
      <w:szCs w:val="22"/>
    </w:rPr>
  </w:style>
  <w:style w:type="paragraph" w:styleId="19">
    <w:name w:val="Date"/>
    <w:basedOn w:val="1"/>
    <w:next w:val="1"/>
    <w:link w:val="54"/>
    <w:qFormat/>
    <w:uiPriority w:val="0"/>
    <w:pPr>
      <w:ind w:left="100" w:leftChars="2500"/>
    </w:pPr>
  </w:style>
  <w:style w:type="paragraph" w:styleId="20">
    <w:name w:val="Body Text Indent 2"/>
    <w:basedOn w:val="1"/>
    <w:link w:val="55"/>
    <w:qFormat/>
    <w:uiPriority w:val="0"/>
    <w:pPr>
      <w:spacing w:after="120" w:line="480" w:lineRule="auto"/>
      <w:ind w:left="420" w:leftChars="200"/>
    </w:pPr>
  </w:style>
  <w:style w:type="paragraph" w:styleId="21">
    <w:name w:val="Balloon Text"/>
    <w:basedOn w:val="1"/>
    <w:link w:val="56"/>
    <w:qFormat/>
    <w:uiPriority w:val="0"/>
    <w:rPr>
      <w:sz w:val="18"/>
      <w:szCs w:val="18"/>
    </w:rPr>
  </w:style>
  <w:style w:type="paragraph" w:styleId="22">
    <w:name w:val="footer"/>
    <w:basedOn w:val="1"/>
    <w:link w:val="57"/>
    <w:qFormat/>
    <w:uiPriority w:val="0"/>
    <w:pPr>
      <w:tabs>
        <w:tab w:val="center" w:pos="4153"/>
        <w:tab w:val="right" w:pos="8306"/>
      </w:tabs>
      <w:snapToGrid w:val="0"/>
      <w:jc w:val="left"/>
    </w:pPr>
    <w:rPr>
      <w:sz w:val="18"/>
      <w:szCs w:val="18"/>
    </w:rPr>
  </w:style>
  <w:style w:type="paragraph" w:styleId="23">
    <w:name w:val="header"/>
    <w:basedOn w:val="1"/>
    <w:link w:val="58"/>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0"/>
    <w:pPr>
      <w:spacing w:before="360" w:after="360"/>
      <w:jc w:val="left"/>
    </w:pPr>
    <w:rPr>
      <w:rFonts w:ascii="Calibri" w:hAnsi="Calibri"/>
      <w:b/>
      <w:bCs/>
      <w:caps/>
      <w:sz w:val="22"/>
      <w:szCs w:val="22"/>
      <w:u w:val="single"/>
    </w:rPr>
  </w:style>
  <w:style w:type="paragraph" w:styleId="25">
    <w:name w:val="toc 4"/>
    <w:basedOn w:val="1"/>
    <w:next w:val="1"/>
    <w:qFormat/>
    <w:uiPriority w:val="0"/>
    <w:pPr>
      <w:jc w:val="left"/>
    </w:pPr>
    <w:rPr>
      <w:rFonts w:ascii="Calibri" w:hAnsi="Calibri"/>
      <w:sz w:val="22"/>
      <w:szCs w:val="22"/>
    </w:rPr>
  </w:style>
  <w:style w:type="paragraph" w:styleId="26">
    <w:name w:val="List"/>
    <w:basedOn w:val="1"/>
    <w:qFormat/>
    <w:uiPriority w:val="0"/>
    <w:pPr>
      <w:ind w:left="200" w:hanging="200" w:hangingChars="200"/>
    </w:pPr>
    <w:rPr>
      <w:sz w:val="28"/>
    </w:rPr>
  </w:style>
  <w:style w:type="paragraph" w:styleId="27">
    <w:name w:val="toc 6"/>
    <w:basedOn w:val="1"/>
    <w:next w:val="1"/>
    <w:qFormat/>
    <w:uiPriority w:val="0"/>
    <w:pPr>
      <w:jc w:val="left"/>
    </w:pPr>
    <w:rPr>
      <w:rFonts w:ascii="Calibri" w:hAnsi="Calibri"/>
      <w:sz w:val="22"/>
      <w:szCs w:val="22"/>
    </w:rPr>
  </w:style>
  <w:style w:type="paragraph" w:styleId="28">
    <w:name w:val="table of figures"/>
    <w:basedOn w:val="1"/>
    <w:next w:val="1"/>
    <w:unhideWhenUsed/>
    <w:qFormat/>
    <w:uiPriority w:val="0"/>
    <w:pPr>
      <w:ind w:left="200" w:leftChars="200" w:hanging="200" w:hangingChars="200"/>
    </w:pPr>
    <w:rPr>
      <w:rFonts w:ascii="Calibri" w:hAnsi="Calibri"/>
    </w:rPr>
  </w:style>
  <w:style w:type="paragraph" w:styleId="29">
    <w:name w:val="toc 2"/>
    <w:basedOn w:val="1"/>
    <w:next w:val="1"/>
    <w:qFormat/>
    <w:uiPriority w:val="0"/>
    <w:pPr>
      <w:jc w:val="left"/>
    </w:pPr>
    <w:rPr>
      <w:rFonts w:ascii="Calibri" w:hAnsi="Calibri"/>
      <w:b/>
      <w:bCs/>
      <w:smallCaps/>
      <w:sz w:val="22"/>
      <w:szCs w:val="22"/>
    </w:rPr>
  </w:style>
  <w:style w:type="paragraph" w:styleId="30">
    <w:name w:val="toc 9"/>
    <w:basedOn w:val="1"/>
    <w:next w:val="1"/>
    <w:qFormat/>
    <w:uiPriority w:val="0"/>
    <w:pPr>
      <w:jc w:val="left"/>
    </w:pPr>
    <w:rPr>
      <w:rFonts w:ascii="Calibri" w:hAnsi="Calibri"/>
      <w:sz w:val="22"/>
      <w:szCs w:val="22"/>
    </w:rPr>
  </w:style>
  <w:style w:type="paragraph" w:styleId="31">
    <w:name w:val="Normal (Web)"/>
    <w:basedOn w:val="1"/>
    <w:qFormat/>
    <w:uiPriority w:val="0"/>
    <w:pPr>
      <w:widowControl/>
      <w:jc w:val="left"/>
    </w:pPr>
    <w:rPr>
      <w:rFonts w:ascii="宋体" w:hAnsi="宋体"/>
      <w:kern w:val="0"/>
      <w:sz w:val="24"/>
    </w:rPr>
  </w:style>
  <w:style w:type="paragraph" w:styleId="32">
    <w:name w:val="annotation subject"/>
    <w:basedOn w:val="11"/>
    <w:next w:val="11"/>
    <w:link w:val="59"/>
    <w:qFormat/>
    <w:uiPriority w:val="0"/>
    <w:rPr>
      <w:b/>
      <w:bCs/>
    </w:rPr>
  </w:style>
  <w:style w:type="paragraph" w:styleId="33">
    <w:name w:val="Body Text First Indent"/>
    <w:basedOn w:val="13"/>
    <w:qFormat/>
    <w:uiPriority w:val="0"/>
    <w:pPr>
      <w:widowControl/>
      <w:wordWrap w:val="0"/>
      <w:topLinePunct/>
      <w:spacing w:after="0" w:line="600" w:lineRule="exact"/>
      <w:ind w:firstLine="880" w:firstLineChars="200"/>
      <w:jc w:val="left"/>
      <w:textAlignment w:val="baseline"/>
    </w:pPr>
    <w:rPr>
      <w:rFonts w:eastAsia="仿宋_GB2312"/>
      <w:sz w:val="32"/>
      <w:lang w:eastAsia="en-US"/>
    </w:rPr>
  </w:style>
  <w:style w:type="paragraph" w:styleId="34">
    <w:name w:val="Body Text First Indent 2"/>
    <w:basedOn w:val="15"/>
    <w:next w:val="33"/>
    <w:unhideWhenUsed/>
    <w:qFormat/>
    <w:uiPriority w:val="99"/>
    <w:pPr>
      <w:ind w:firstLine="420" w:firstLineChars="200"/>
    </w:pPr>
  </w:style>
  <w:style w:type="table" w:styleId="36">
    <w:name w:val="Table Grid"/>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basedOn w:val="37"/>
    <w:qFormat/>
    <w:uiPriority w:val="0"/>
    <w:rPr>
      <w:b/>
    </w:rPr>
  </w:style>
  <w:style w:type="character" w:styleId="39">
    <w:name w:val="page number"/>
    <w:qFormat/>
    <w:uiPriority w:val="0"/>
  </w:style>
  <w:style w:type="character" w:styleId="40">
    <w:name w:val="FollowedHyperlink"/>
    <w:qFormat/>
    <w:uiPriority w:val="0"/>
    <w:rPr>
      <w:color w:val="800080"/>
      <w:u w:val="single"/>
    </w:rPr>
  </w:style>
  <w:style w:type="character" w:styleId="41">
    <w:name w:val="Hyperlink"/>
    <w:qFormat/>
    <w:uiPriority w:val="0"/>
    <w:rPr>
      <w:color w:val="0000FF"/>
      <w:u w:val="single"/>
    </w:rPr>
  </w:style>
  <w:style w:type="character" w:styleId="42">
    <w:name w:val="annotation reference"/>
    <w:qFormat/>
    <w:uiPriority w:val="0"/>
    <w:rPr>
      <w:sz w:val="21"/>
      <w:szCs w:val="21"/>
    </w:rPr>
  </w:style>
  <w:style w:type="character" w:customStyle="1" w:styleId="43">
    <w:name w:val="标题 1 字符1"/>
    <w:link w:val="2"/>
    <w:qFormat/>
    <w:uiPriority w:val="0"/>
    <w:rPr>
      <w:b/>
      <w:bCs/>
      <w:kern w:val="44"/>
      <w:sz w:val="44"/>
      <w:szCs w:val="44"/>
    </w:rPr>
  </w:style>
  <w:style w:type="character" w:customStyle="1" w:styleId="44">
    <w:name w:val="标题 2 字符1"/>
    <w:link w:val="3"/>
    <w:qFormat/>
    <w:uiPriority w:val="0"/>
    <w:rPr>
      <w:rFonts w:ascii="Arial" w:hAnsi="Arial" w:eastAsia="黑体"/>
      <w:b/>
      <w:bCs/>
      <w:kern w:val="2"/>
      <w:sz w:val="32"/>
      <w:szCs w:val="32"/>
    </w:rPr>
  </w:style>
  <w:style w:type="character" w:customStyle="1" w:styleId="45">
    <w:name w:val="标题 3 字符1"/>
    <w:link w:val="4"/>
    <w:qFormat/>
    <w:uiPriority w:val="0"/>
    <w:rPr>
      <w:b/>
      <w:bCs/>
      <w:kern w:val="2"/>
      <w:sz w:val="32"/>
      <w:szCs w:val="32"/>
    </w:rPr>
  </w:style>
  <w:style w:type="character" w:customStyle="1" w:styleId="46">
    <w:name w:val="标题 4 字符1"/>
    <w:link w:val="5"/>
    <w:qFormat/>
    <w:uiPriority w:val="0"/>
    <w:rPr>
      <w:rFonts w:ascii="Arial" w:eastAsia="黑体"/>
      <w:sz w:val="28"/>
    </w:rPr>
  </w:style>
  <w:style w:type="character" w:customStyle="1" w:styleId="47">
    <w:name w:val="标题 5 字符1"/>
    <w:link w:val="6"/>
    <w:qFormat/>
    <w:uiPriority w:val="9"/>
    <w:rPr>
      <w:b/>
      <w:bCs/>
      <w:kern w:val="2"/>
      <w:sz w:val="28"/>
      <w:szCs w:val="28"/>
    </w:rPr>
  </w:style>
  <w:style w:type="character" w:customStyle="1" w:styleId="48">
    <w:name w:val="文档结构图 字符1"/>
    <w:link w:val="10"/>
    <w:qFormat/>
    <w:uiPriority w:val="0"/>
    <w:rPr>
      <w:rFonts w:ascii="宋体"/>
      <w:kern w:val="2"/>
      <w:sz w:val="18"/>
      <w:szCs w:val="18"/>
    </w:rPr>
  </w:style>
  <w:style w:type="character" w:customStyle="1" w:styleId="49">
    <w:name w:val="批注文字 字符2"/>
    <w:link w:val="11"/>
    <w:qFormat/>
    <w:uiPriority w:val="0"/>
    <w:rPr>
      <w:kern w:val="2"/>
      <w:sz w:val="21"/>
      <w:szCs w:val="24"/>
    </w:rPr>
  </w:style>
  <w:style w:type="character" w:customStyle="1" w:styleId="50">
    <w:name w:val="正文文本 3 字符1"/>
    <w:link w:val="12"/>
    <w:qFormat/>
    <w:uiPriority w:val="99"/>
    <w:rPr>
      <w:kern w:val="2"/>
      <w:sz w:val="16"/>
      <w:szCs w:val="16"/>
    </w:rPr>
  </w:style>
  <w:style w:type="character" w:customStyle="1" w:styleId="51">
    <w:name w:val="正文文本 字符1"/>
    <w:link w:val="13"/>
    <w:qFormat/>
    <w:uiPriority w:val="99"/>
    <w:rPr>
      <w:kern w:val="2"/>
      <w:sz w:val="21"/>
      <w:szCs w:val="24"/>
    </w:rPr>
  </w:style>
  <w:style w:type="character" w:customStyle="1" w:styleId="52">
    <w:name w:val="纯文本 字符3"/>
    <w:link w:val="14"/>
    <w:qFormat/>
    <w:uiPriority w:val="0"/>
    <w:rPr>
      <w:rFonts w:ascii="宋体" w:hAnsi="Courier New" w:eastAsia="宋体"/>
      <w:kern w:val="2"/>
      <w:sz w:val="21"/>
      <w:lang w:val="en-US" w:eastAsia="zh-CN" w:bidi="ar-SA"/>
    </w:rPr>
  </w:style>
  <w:style w:type="character" w:customStyle="1" w:styleId="53">
    <w:name w:val="正文文本缩进 字符1"/>
    <w:link w:val="15"/>
    <w:qFormat/>
    <w:uiPriority w:val="0"/>
    <w:rPr>
      <w:rFonts w:ascii="宋体" w:hAnsi="Courier New" w:eastAsia="宋体"/>
      <w:spacing w:val="-4"/>
      <w:kern w:val="2"/>
      <w:sz w:val="18"/>
      <w:lang w:val="en-US" w:eastAsia="zh-CN" w:bidi="ar-SA"/>
    </w:rPr>
  </w:style>
  <w:style w:type="character" w:customStyle="1" w:styleId="54">
    <w:name w:val="日期 字符1"/>
    <w:link w:val="19"/>
    <w:qFormat/>
    <w:uiPriority w:val="0"/>
    <w:rPr>
      <w:kern w:val="2"/>
      <w:sz w:val="21"/>
      <w:szCs w:val="24"/>
    </w:rPr>
  </w:style>
  <w:style w:type="character" w:customStyle="1" w:styleId="55">
    <w:name w:val="正文文本缩进 2 字符1"/>
    <w:link w:val="20"/>
    <w:qFormat/>
    <w:uiPriority w:val="0"/>
    <w:rPr>
      <w:kern w:val="2"/>
      <w:sz w:val="21"/>
      <w:szCs w:val="24"/>
    </w:rPr>
  </w:style>
  <w:style w:type="character" w:customStyle="1" w:styleId="56">
    <w:name w:val="批注框文本 字符1"/>
    <w:link w:val="21"/>
    <w:qFormat/>
    <w:uiPriority w:val="0"/>
    <w:rPr>
      <w:kern w:val="2"/>
      <w:sz w:val="18"/>
      <w:szCs w:val="18"/>
    </w:rPr>
  </w:style>
  <w:style w:type="character" w:customStyle="1" w:styleId="57">
    <w:name w:val="页脚 字符2"/>
    <w:link w:val="22"/>
    <w:qFormat/>
    <w:uiPriority w:val="99"/>
    <w:rPr>
      <w:kern w:val="2"/>
      <w:sz w:val="18"/>
      <w:szCs w:val="18"/>
    </w:rPr>
  </w:style>
  <w:style w:type="character" w:customStyle="1" w:styleId="58">
    <w:name w:val="页眉 字符2"/>
    <w:link w:val="23"/>
    <w:qFormat/>
    <w:uiPriority w:val="99"/>
    <w:rPr>
      <w:kern w:val="2"/>
      <w:sz w:val="18"/>
      <w:szCs w:val="18"/>
    </w:rPr>
  </w:style>
  <w:style w:type="character" w:customStyle="1" w:styleId="59">
    <w:name w:val="批注主题 字符1"/>
    <w:link w:val="32"/>
    <w:qFormat/>
    <w:uiPriority w:val="99"/>
    <w:rPr>
      <w:b/>
      <w:bCs/>
      <w:kern w:val="2"/>
      <w:sz w:val="21"/>
      <w:szCs w:val="24"/>
    </w:rPr>
  </w:style>
  <w:style w:type="paragraph" w:customStyle="1" w:styleId="60">
    <w:name w:val="Default"/>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character" w:customStyle="1" w:styleId="61">
    <w:name w:val="批注框文本 字符"/>
    <w:qFormat/>
    <w:uiPriority w:val="0"/>
    <w:rPr>
      <w:kern w:val="2"/>
      <w:sz w:val="18"/>
      <w:szCs w:val="18"/>
    </w:rPr>
  </w:style>
  <w:style w:type="character" w:customStyle="1" w:styleId="62">
    <w:name w:val="Char Char1"/>
    <w:qFormat/>
    <w:uiPriority w:val="0"/>
    <w:rPr>
      <w:rFonts w:ascii="宋体" w:hAnsi="Courier New" w:eastAsia="宋体"/>
      <w:kern w:val="2"/>
      <w:sz w:val="21"/>
      <w:lang w:val="en-US" w:eastAsia="zh-CN" w:bidi="ar-SA"/>
    </w:rPr>
  </w:style>
  <w:style w:type="character" w:customStyle="1" w:styleId="63">
    <w:name w:val="正文2 Char Char"/>
    <w:link w:val="64"/>
    <w:qFormat/>
    <w:uiPriority w:val="0"/>
    <w:rPr>
      <w:kern w:val="2"/>
      <w:sz w:val="24"/>
    </w:rPr>
  </w:style>
  <w:style w:type="paragraph" w:customStyle="1" w:styleId="64">
    <w:name w:val="正文2"/>
    <w:basedOn w:val="1"/>
    <w:link w:val="63"/>
    <w:qFormat/>
    <w:uiPriority w:val="0"/>
    <w:pPr>
      <w:adjustRightInd w:val="0"/>
      <w:spacing w:before="156" w:line="360" w:lineRule="auto"/>
      <w:ind w:firstLine="510" w:firstLineChars="200"/>
    </w:pPr>
    <w:rPr>
      <w:sz w:val="24"/>
      <w:szCs w:val="20"/>
    </w:rPr>
  </w:style>
  <w:style w:type="character" w:customStyle="1" w:styleId="6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6">
    <w:name w:val="标题 5 字符"/>
    <w:qFormat/>
    <w:uiPriority w:val="9"/>
    <w:rPr>
      <w:b/>
      <w:bCs/>
      <w:kern w:val="2"/>
      <w:sz w:val="28"/>
      <w:szCs w:val="28"/>
    </w:rPr>
  </w:style>
  <w:style w:type="character" w:customStyle="1" w:styleId="67">
    <w:name w:val="正文文本缩进 字符"/>
    <w:qFormat/>
    <w:uiPriority w:val="0"/>
    <w:rPr>
      <w:rFonts w:ascii="宋体" w:hAnsi="Courier New"/>
      <w:spacing w:val="-4"/>
      <w:kern w:val="2"/>
      <w:sz w:val="18"/>
    </w:rPr>
  </w:style>
  <w:style w:type="character" w:customStyle="1" w:styleId="68">
    <w:name w:val="批注文字 字符"/>
    <w:qFormat/>
    <w:uiPriority w:val="0"/>
    <w:rPr>
      <w:kern w:val="2"/>
      <w:sz w:val="21"/>
      <w:szCs w:val="24"/>
    </w:rPr>
  </w:style>
  <w:style w:type="character" w:customStyle="1" w:styleId="69">
    <w:name w:val="页眉 字符"/>
    <w:qFormat/>
    <w:uiPriority w:val="99"/>
    <w:rPr>
      <w:rFonts w:ascii="Times New Roman" w:hAnsi="Times New Roman"/>
      <w:kern w:val="2"/>
      <w:sz w:val="18"/>
      <w:szCs w:val="18"/>
    </w:rPr>
  </w:style>
  <w:style w:type="character" w:customStyle="1" w:styleId="70">
    <w:name w:val="纯文本 Char_0"/>
    <w:link w:val="71"/>
    <w:qFormat/>
    <w:uiPriority w:val="0"/>
    <w:rPr>
      <w:rFonts w:ascii="宋体" w:hAnsi="Courier New"/>
      <w:kern w:val="2"/>
      <w:sz w:val="21"/>
      <w:szCs w:val="21"/>
      <w:lang w:val="en-US" w:eastAsia="zh-CN"/>
    </w:rPr>
  </w:style>
  <w:style w:type="paragraph" w:customStyle="1" w:styleId="71">
    <w:name w:val="纯文本_0_0"/>
    <w:basedOn w:val="1"/>
    <w:link w:val="70"/>
    <w:qFormat/>
    <w:uiPriority w:val="0"/>
    <w:rPr>
      <w:rFonts w:ascii="宋体" w:hAnsi="Courier New"/>
      <w:szCs w:val="21"/>
    </w:rPr>
  </w:style>
  <w:style w:type="character" w:customStyle="1" w:styleId="72">
    <w:name w:val="标题 4 字符"/>
    <w:qFormat/>
    <w:uiPriority w:val="0"/>
    <w:rPr>
      <w:rFonts w:ascii="Arial" w:eastAsia="黑体"/>
      <w:sz w:val="28"/>
    </w:rPr>
  </w:style>
  <w:style w:type="character" w:customStyle="1" w:styleId="73">
    <w:name w:val="正文文本_"/>
    <w:link w:val="74"/>
    <w:qFormat/>
    <w:uiPriority w:val="0"/>
    <w:rPr>
      <w:rFonts w:ascii="MingLiU" w:hAnsi="MingLiU" w:eastAsia="MingLiU" w:cs="MingLiU"/>
      <w:spacing w:val="9"/>
      <w:sz w:val="19"/>
      <w:szCs w:val="19"/>
      <w:shd w:val="clear" w:color="auto" w:fill="FFFFFF"/>
    </w:rPr>
  </w:style>
  <w:style w:type="paragraph" w:customStyle="1" w:styleId="74">
    <w:name w:val="正文文本1"/>
    <w:basedOn w:val="1"/>
    <w:link w:val="73"/>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75">
    <w:name w:val="日期 字符"/>
    <w:qFormat/>
    <w:uiPriority w:val="0"/>
    <w:rPr>
      <w:kern w:val="2"/>
      <w:sz w:val="21"/>
      <w:szCs w:val="24"/>
    </w:rPr>
  </w:style>
  <w:style w:type="character" w:customStyle="1" w:styleId="76">
    <w:name w:val="标题 2 字符"/>
    <w:qFormat/>
    <w:uiPriority w:val="0"/>
    <w:rPr>
      <w:rFonts w:ascii="Arial" w:hAnsi="Arial" w:eastAsia="黑体"/>
      <w:b/>
      <w:bCs/>
      <w:kern w:val="2"/>
      <w:sz w:val="32"/>
      <w:szCs w:val="32"/>
    </w:rPr>
  </w:style>
  <w:style w:type="character" w:customStyle="1" w:styleId="77">
    <w:name w:val="正文文本缩进 2 字符"/>
    <w:qFormat/>
    <w:uiPriority w:val="0"/>
    <w:rPr>
      <w:kern w:val="2"/>
      <w:sz w:val="21"/>
      <w:szCs w:val="24"/>
    </w:rPr>
  </w:style>
  <w:style w:type="character" w:customStyle="1" w:styleId="78">
    <w:name w:val="正文文本 3 字符"/>
    <w:qFormat/>
    <w:uiPriority w:val="99"/>
    <w:rPr>
      <w:kern w:val="2"/>
      <w:sz w:val="16"/>
      <w:szCs w:val="16"/>
    </w:rPr>
  </w:style>
  <w:style w:type="character" w:customStyle="1" w:styleId="79">
    <w:name w:val="标题 3 字符"/>
    <w:qFormat/>
    <w:uiPriority w:val="0"/>
    <w:rPr>
      <w:b/>
      <w:bCs/>
      <w:kern w:val="2"/>
      <w:sz w:val="32"/>
      <w:szCs w:val="32"/>
    </w:rPr>
  </w:style>
  <w:style w:type="character" w:customStyle="1" w:styleId="80">
    <w:name w:val="页脚 字符1"/>
    <w:qFormat/>
    <w:uiPriority w:val="99"/>
    <w:rPr>
      <w:kern w:val="2"/>
      <w:sz w:val="18"/>
      <w:szCs w:val="18"/>
    </w:rPr>
  </w:style>
  <w:style w:type="character" w:customStyle="1" w:styleId="81">
    <w:name w:val="纯文本 Char1"/>
    <w:link w:val="82"/>
    <w:qFormat/>
    <w:uiPriority w:val="0"/>
    <w:rPr>
      <w:rFonts w:ascii="宋体" w:hAnsi="Courier New" w:eastAsia="宋体"/>
      <w:kern w:val="2"/>
      <w:sz w:val="21"/>
      <w:lang w:val="en-US" w:eastAsia="zh-CN" w:bidi="ar-SA"/>
    </w:rPr>
  </w:style>
  <w:style w:type="paragraph" w:customStyle="1" w:styleId="82">
    <w:name w:val="纯文本1"/>
    <w:basedOn w:val="1"/>
    <w:link w:val="81"/>
    <w:qFormat/>
    <w:uiPriority w:val="0"/>
    <w:rPr>
      <w:rFonts w:ascii="宋体" w:hAnsi="Courier New"/>
      <w:szCs w:val="20"/>
    </w:rPr>
  </w:style>
  <w:style w:type="character" w:customStyle="1" w:styleId="83">
    <w:name w:val="页脚 字符"/>
    <w:qFormat/>
    <w:uiPriority w:val="99"/>
    <w:rPr>
      <w:sz w:val="18"/>
      <w:szCs w:val="18"/>
    </w:rPr>
  </w:style>
  <w:style w:type="character" w:customStyle="1" w:styleId="84">
    <w:name w:val="纯文本 字符2"/>
    <w:qFormat/>
    <w:uiPriority w:val="0"/>
    <w:rPr>
      <w:rFonts w:ascii="宋体" w:hAnsi="Courier New" w:eastAsia="宋体" w:cs="Courier New"/>
      <w:szCs w:val="21"/>
    </w:rPr>
  </w:style>
  <w:style w:type="character" w:customStyle="1" w:styleId="85">
    <w:name w:val="批注文字 Char1"/>
    <w:qFormat/>
    <w:uiPriority w:val="0"/>
    <w:rPr>
      <w:rFonts w:ascii="Times New Roman" w:hAnsi="Times New Roman"/>
      <w:kern w:val="2"/>
      <w:sz w:val="21"/>
      <w:szCs w:val="24"/>
    </w:rPr>
  </w:style>
  <w:style w:type="character" w:customStyle="1" w:styleId="86">
    <w:name w:val="标题 1 字符"/>
    <w:qFormat/>
    <w:uiPriority w:val="0"/>
    <w:rPr>
      <w:b/>
      <w:bCs/>
      <w:kern w:val="44"/>
      <w:sz w:val="44"/>
      <w:szCs w:val="44"/>
    </w:rPr>
  </w:style>
  <w:style w:type="character" w:customStyle="1" w:styleId="87">
    <w:name w:val="批注文字 字符1"/>
    <w:qFormat/>
    <w:uiPriority w:val="0"/>
    <w:rPr>
      <w:rFonts w:ascii="Times New Roman" w:hAnsi="Times New Roman"/>
      <w:kern w:val="2"/>
      <w:sz w:val="21"/>
      <w:szCs w:val="24"/>
    </w:rPr>
  </w:style>
  <w:style w:type="character" w:customStyle="1" w:styleId="88">
    <w:name w:val="页眉 字符1"/>
    <w:qFormat/>
    <w:uiPriority w:val="99"/>
    <w:rPr>
      <w:kern w:val="2"/>
      <w:sz w:val="18"/>
      <w:szCs w:val="18"/>
    </w:rPr>
  </w:style>
  <w:style w:type="character" w:customStyle="1" w:styleId="89">
    <w:name w:val="纯文本 字符"/>
    <w:qFormat/>
    <w:uiPriority w:val="0"/>
    <w:rPr>
      <w:rFonts w:ascii="宋体" w:hAnsi="Courier New"/>
      <w:kern w:val="2"/>
      <w:sz w:val="21"/>
    </w:rPr>
  </w:style>
  <w:style w:type="character" w:customStyle="1" w:styleId="90">
    <w:name w:val="批注主题 字符"/>
    <w:qFormat/>
    <w:uiPriority w:val="99"/>
    <w:rPr>
      <w:b/>
      <w:bCs/>
      <w:kern w:val="2"/>
      <w:sz w:val="21"/>
      <w:szCs w:val="24"/>
    </w:rPr>
  </w:style>
  <w:style w:type="character" w:customStyle="1" w:styleId="91">
    <w:name w:val="文档结构图 字符"/>
    <w:qFormat/>
    <w:uiPriority w:val="0"/>
    <w:rPr>
      <w:rFonts w:ascii="宋体"/>
      <w:kern w:val="2"/>
      <w:sz w:val="18"/>
      <w:szCs w:val="18"/>
    </w:rPr>
  </w:style>
  <w:style w:type="character" w:customStyle="1" w:styleId="92">
    <w:name w:val="纯文本 字符1"/>
    <w:semiHidden/>
    <w:qFormat/>
    <w:locked/>
    <w:uiPriority w:val="0"/>
    <w:rPr>
      <w:rFonts w:ascii="宋体" w:hAnsi="Courier New"/>
      <w:kern w:val="2"/>
      <w:sz w:val="21"/>
    </w:rPr>
  </w:style>
  <w:style w:type="character" w:customStyle="1" w:styleId="93">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94">
    <w:name w:val="正文文本 字符"/>
    <w:qFormat/>
    <w:uiPriority w:val="99"/>
    <w:rPr>
      <w:kern w:val="2"/>
      <w:sz w:val="21"/>
      <w:szCs w:val="24"/>
    </w:rPr>
  </w:style>
  <w:style w:type="paragraph" w:customStyle="1" w:styleId="95">
    <w:name w:val="样式 标题 1 + 居中 段前: 0 磅 段后: 0 磅 行距: 固定值 30 磅"/>
    <w:basedOn w:val="2"/>
    <w:qFormat/>
    <w:uiPriority w:val="0"/>
    <w:pPr>
      <w:spacing w:before="0" w:after="0" w:line="600" w:lineRule="exact"/>
      <w:jc w:val="center"/>
    </w:pPr>
    <w:rPr>
      <w:rFonts w:cs="宋体"/>
      <w:szCs w:val="20"/>
    </w:rPr>
  </w:style>
  <w:style w:type="paragraph" w:styleId="96">
    <w:name w:val="List Paragraph"/>
    <w:basedOn w:val="1"/>
    <w:qFormat/>
    <w:uiPriority w:val="99"/>
    <w:pPr>
      <w:ind w:firstLine="420" w:firstLineChars="200"/>
    </w:pPr>
  </w:style>
  <w:style w:type="paragraph" w:customStyle="1" w:styleId="97">
    <w:name w:val="正文段"/>
    <w:basedOn w:val="1"/>
    <w:qFormat/>
    <w:uiPriority w:val="0"/>
    <w:pPr>
      <w:widowControl/>
      <w:snapToGrid w:val="0"/>
      <w:spacing w:after="156" w:afterLines="50"/>
      <w:ind w:firstLine="200" w:firstLineChars="200"/>
    </w:pPr>
    <w:rPr>
      <w:kern w:val="0"/>
      <w:sz w:val="24"/>
      <w:szCs w:val="20"/>
    </w:rPr>
  </w:style>
  <w:style w:type="paragraph" w:customStyle="1" w:styleId="98">
    <w:name w:val="Char Char Char Char Char Char Char Char Char Char Char Char"/>
    <w:basedOn w:val="1"/>
    <w:qFormat/>
    <w:uiPriority w:val="0"/>
    <w:pPr>
      <w:widowControl/>
      <w:spacing w:after="160" w:line="240" w:lineRule="exact"/>
      <w:jc w:val="left"/>
    </w:pPr>
  </w:style>
  <w:style w:type="paragraph" w:customStyle="1" w:styleId="99">
    <w:name w:val="样式 标题 2 + 非加粗 首行缩进:  2 字符"/>
    <w:basedOn w:val="3"/>
    <w:qFormat/>
    <w:uiPriority w:val="0"/>
    <w:pPr>
      <w:spacing w:before="0" w:after="0" w:line="600" w:lineRule="exact"/>
      <w:ind w:firstLine="640" w:firstLineChars="200"/>
      <w:jc w:val="left"/>
    </w:pPr>
    <w:rPr>
      <w:rFonts w:cs="宋体"/>
      <w:b w:val="0"/>
      <w:bCs w:val="0"/>
      <w:szCs w:val="20"/>
    </w:rPr>
  </w:style>
  <w:style w:type="paragraph" w:customStyle="1" w:styleId="100">
    <w:name w:val="Char Char Char Char Char Char Char"/>
    <w:basedOn w:val="1"/>
    <w:qFormat/>
    <w:uiPriority w:val="0"/>
  </w:style>
  <w:style w:type="paragraph" w:customStyle="1" w:styleId="101">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102">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03">
    <w:name w:val="正文缩进1"/>
    <w:basedOn w:val="1"/>
    <w:next w:val="15"/>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4">
    <w:name w:val="Char Char Char"/>
    <w:basedOn w:val="1"/>
    <w:qFormat/>
    <w:uiPriority w:val="0"/>
    <w:rPr>
      <w:szCs w:val="20"/>
    </w:rPr>
  </w:style>
  <w:style w:type="paragraph" w:customStyle="1" w:styleId="105">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6">
    <w:name w:val="Char Char Char1 Char Char Char Char Char Char Char"/>
    <w:basedOn w:val="1"/>
    <w:qFormat/>
    <w:uiPriority w:val="0"/>
  </w:style>
  <w:style w:type="paragraph" w:customStyle="1" w:styleId="107">
    <w:name w:val="表格文字"/>
    <w:basedOn w:val="1"/>
    <w:next w:val="13"/>
    <w:qFormat/>
    <w:uiPriority w:val="0"/>
    <w:pPr>
      <w:adjustRightInd w:val="0"/>
      <w:spacing w:line="420" w:lineRule="atLeast"/>
      <w:jc w:val="left"/>
      <w:textAlignment w:val="baseline"/>
    </w:pPr>
    <w:rPr>
      <w:kern w:val="0"/>
    </w:rPr>
  </w:style>
  <w:style w:type="paragraph" w:customStyle="1" w:styleId="108">
    <w:name w:val="Char Char Char Char"/>
    <w:basedOn w:val="1"/>
    <w:qFormat/>
    <w:uiPriority w:val="0"/>
    <w:pPr>
      <w:widowControl/>
      <w:spacing w:after="160" w:line="240" w:lineRule="exact"/>
      <w:jc w:val="left"/>
    </w:pPr>
  </w:style>
  <w:style w:type="paragraph" w:customStyle="1" w:styleId="109">
    <w:name w:val="Table Paragraph"/>
    <w:basedOn w:val="1"/>
    <w:qFormat/>
    <w:uiPriority w:val="1"/>
    <w:pPr>
      <w:jc w:val="left"/>
    </w:pPr>
    <w:rPr>
      <w:rFonts w:ascii="Calibri" w:hAnsi="Calibri"/>
      <w:kern w:val="0"/>
      <w:sz w:val="22"/>
      <w:szCs w:val="22"/>
      <w:lang w:eastAsia="en-US"/>
    </w:rPr>
  </w:style>
  <w:style w:type="paragraph" w:customStyle="1" w:styleId="110">
    <w:name w:val="Char"/>
    <w:basedOn w:val="1"/>
    <w:qFormat/>
    <w:uiPriority w:val="0"/>
  </w:style>
  <w:style w:type="paragraph" w:customStyle="1" w:styleId="111">
    <w:name w:val="Char Char Char Char Char Char Char Char Char Char Char Char1"/>
    <w:basedOn w:val="1"/>
    <w:qFormat/>
    <w:uiPriority w:val="0"/>
    <w:pPr>
      <w:widowControl/>
      <w:spacing w:after="160" w:line="240" w:lineRule="exact"/>
      <w:jc w:val="left"/>
    </w:pPr>
  </w:style>
  <w:style w:type="paragraph" w:customStyle="1" w:styleId="112">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13">
    <w:name w:val="Char Char Char Char1"/>
    <w:basedOn w:val="1"/>
    <w:qFormat/>
    <w:uiPriority w:val="0"/>
    <w:pPr>
      <w:widowControl/>
      <w:spacing w:after="160" w:line="240" w:lineRule="exact"/>
      <w:jc w:val="left"/>
    </w:pPr>
  </w:style>
  <w:style w:type="paragraph" w:customStyle="1" w:styleId="114">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
    <w:name w:val="p0"/>
    <w:basedOn w:val="1"/>
    <w:qFormat/>
    <w:uiPriority w:val="0"/>
    <w:pPr>
      <w:widowControl/>
    </w:pPr>
    <w:rPr>
      <w:kern w:val="0"/>
      <w:szCs w:val="21"/>
    </w:rPr>
  </w:style>
  <w:style w:type="paragraph" w:customStyle="1" w:styleId="116">
    <w:name w:val="Char1"/>
    <w:basedOn w:val="1"/>
    <w:qFormat/>
    <w:uiPriority w:val="0"/>
    <w:rPr>
      <w:szCs w:val="21"/>
    </w:rPr>
  </w:style>
  <w:style w:type="paragraph" w:customStyle="1" w:styleId="117">
    <w:name w:val="列出段落1"/>
    <w:basedOn w:val="1"/>
    <w:qFormat/>
    <w:uiPriority w:val="34"/>
    <w:pPr>
      <w:spacing w:before="100" w:beforeAutospacing="1" w:after="100" w:afterAutospacing="1" w:line="360" w:lineRule="auto"/>
      <w:ind w:firstLine="420" w:firstLineChars="200"/>
    </w:pPr>
  </w:style>
  <w:style w:type="paragraph" w:customStyle="1" w:styleId="118">
    <w:name w:val="Char Char Char Char Char Char Char1"/>
    <w:basedOn w:val="1"/>
    <w:qFormat/>
    <w:uiPriority w:val="0"/>
  </w:style>
  <w:style w:type="paragraph" w:customStyle="1" w:styleId="119">
    <w:name w:val="默认段落字体 Para Char Char Char Char Char Char Char Char Char1 Char Char Char Char"/>
    <w:basedOn w:val="1"/>
    <w:qFormat/>
    <w:uiPriority w:val="0"/>
    <w:rPr>
      <w:rFonts w:ascii="Tahoma" w:hAnsi="Tahoma"/>
      <w:sz w:val="24"/>
      <w:szCs w:val="20"/>
    </w:rPr>
  </w:style>
  <w:style w:type="paragraph" w:customStyle="1" w:styleId="120">
    <w:name w:val="Normal_0"/>
    <w:qFormat/>
    <w:uiPriority w:val="0"/>
    <w:rPr>
      <w:rFonts w:ascii="Times New Roman" w:hAnsi="Times New Roman" w:eastAsia="Times New Roman" w:cs="Times New Roman"/>
      <w:sz w:val="24"/>
      <w:szCs w:val="24"/>
      <w:lang w:val="en-US" w:eastAsia="zh-CN" w:bidi="ar-SA"/>
    </w:rPr>
  </w:style>
  <w:style w:type="paragraph" w:customStyle="1" w:styleId="121">
    <w:name w:val="msolistparagraph"/>
    <w:basedOn w:val="1"/>
    <w:qFormat/>
    <w:uiPriority w:val="0"/>
    <w:pPr>
      <w:ind w:firstLine="420" w:firstLineChars="200"/>
    </w:pPr>
  </w:style>
  <w:style w:type="character" w:customStyle="1" w:styleId="122">
    <w:name w:val="font81"/>
    <w:basedOn w:val="37"/>
    <w:qFormat/>
    <w:uiPriority w:val="0"/>
    <w:rPr>
      <w:rFonts w:hint="default" w:ascii="CESI仿宋-GB2312" w:hAnsi="CESI仿宋-GB2312" w:eastAsia="CESI仿宋-GB2312" w:cs="CESI仿宋-GB2312"/>
      <w:color w:val="000000"/>
      <w:sz w:val="20"/>
      <w:szCs w:val="20"/>
      <w:u w:val="none"/>
    </w:rPr>
  </w:style>
  <w:style w:type="character" w:customStyle="1" w:styleId="123">
    <w:name w:val="font91"/>
    <w:basedOn w:val="37"/>
    <w:qFormat/>
    <w:uiPriority w:val="0"/>
    <w:rPr>
      <w:rFonts w:hint="default" w:ascii="仿宋_GB2312" w:eastAsia="仿宋_GB2312" w:cs="仿宋_GB2312"/>
      <w:b/>
      <w:bCs/>
      <w:color w:val="000000"/>
      <w:sz w:val="28"/>
      <w:szCs w:val="28"/>
      <w:u w:val="none"/>
    </w:rPr>
  </w:style>
  <w:style w:type="character" w:customStyle="1" w:styleId="124">
    <w:name w:val="font101"/>
    <w:basedOn w:val="37"/>
    <w:qFormat/>
    <w:uiPriority w:val="0"/>
    <w:rPr>
      <w:rFonts w:hint="default" w:ascii="Times New Roman" w:hAnsi="Times New Roman" w:cs="Times New Roman"/>
      <w:color w:val="000000"/>
      <w:sz w:val="28"/>
      <w:szCs w:val="28"/>
      <w:u w:val="none"/>
    </w:rPr>
  </w:style>
  <w:style w:type="character" w:customStyle="1" w:styleId="125">
    <w:name w:val="font121"/>
    <w:basedOn w:val="37"/>
    <w:qFormat/>
    <w:uiPriority w:val="0"/>
    <w:rPr>
      <w:rFonts w:hint="default" w:ascii="仿宋_GB2312" w:eastAsia="仿宋_GB2312" w:cs="仿宋_GB2312"/>
      <w:color w:val="7030A0"/>
      <w:sz w:val="28"/>
      <w:szCs w:val="28"/>
      <w:u w:val="none"/>
    </w:rPr>
  </w:style>
  <w:style w:type="character" w:customStyle="1" w:styleId="126">
    <w:name w:val="font111"/>
    <w:basedOn w:val="37"/>
    <w:qFormat/>
    <w:uiPriority w:val="0"/>
    <w:rPr>
      <w:rFonts w:hint="default" w:ascii="仿宋_GB2312" w:eastAsia="仿宋_GB2312" w:cs="仿宋_GB2312"/>
      <w:color w:val="FF0000"/>
      <w:sz w:val="22"/>
      <w:szCs w:val="22"/>
      <w:u w:val="none"/>
    </w:rPr>
  </w:style>
  <w:style w:type="character" w:customStyle="1" w:styleId="127">
    <w:name w:val="font51"/>
    <w:basedOn w:val="37"/>
    <w:qFormat/>
    <w:uiPriority w:val="0"/>
    <w:rPr>
      <w:rFonts w:hint="default" w:ascii="CESI仿宋-GB2312" w:hAnsi="CESI仿宋-GB2312" w:eastAsia="CESI仿宋-GB2312" w:cs="CESI仿宋-GB2312"/>
      <w:color w:val="000000"/>
      <w:sz w:val="20"/>
      <w:szCs w:val="20"/>
      <w:u w:val="none"/>
    </w:rPr>
  </w:style>
  <w:style w:type="character" w:customStyle="1" w:styleId="128">
    <w:name w:val="font61"/>
    <w:basedOn w:val="37"/>
    <w:qFormat/>
    <w:uiPriority w:val="0"/>
    <w:rPr>
      <w:rFonts w:hint="default" w:ascii="CESI仿宋-GB2312" w:hAnsi="CESI仿宋-GB2312" w:eastAsia="CESI仿宋-GB2312" w:cs="CESI仿宋-GB2312"/>
      <w:color w:val="FF0000"/>
      <w:sz w:val="20"/>
      <w:szCs w:val="20"/>
      <w:u w:val="none"/>
    </w:rPr>
  </w:style>
  <w:style w:type="character" w:customStyle="1" w:styleId="129">
    <w:name w:val="font71"/>
    <w:basedOn w:val="37"/>
    <w:qFormat/>
    <w:uiPriority w:val="0"/>
    <w:rPr>
      <w:rFonts w:hint="default" w:ascii="CESI仿宋-GB2312" w:hAnsi="CESI仿宋-GB2312" w:eastAsia="CESI仿宋-GB2312" w:cs="CESI仿宋-GB2312"/>
      <w:color w:val="auto"/>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7640d68e-ce25-40e2-9890-c4f9ac9931fd</errorID>
      <errorWord>)</errorWord>
      <group>L1_Format</group>
      <groupName>格式问题</groupName>
      <ability>L2_HalfPunc_CN</ability>
      <abilityName>全半角问题</abilityName>
      <candidateList>
        <item>）</item>
      </candidateList>
      <explain>文本全半角错误。</explain>
      <paraID>4AE5D49F</paraID>
      <start>38</start>
      <end>39</end>
      <status>modified</status>
      <modifiedWord>）</modifiedWord>
      <trackRevisions>false</trackRevisions>
    </reviewItem>
    <reviewItem>
      <errorID>1a2bb663-c8dd-420c-9456-eaf019c1a0fc</errorID>
      <errorWord>(</errorWord>
      <group>L1_Format</group>
      <groupName>格式问题</groupName>
      <ability>L2_HalfPunc_CN</ability>
      <abilityName>全半角问题</abilityName>
      <candidateList>
        <item>（</item>
      </candidateList>
      <explain>文本全半角错误。</explain>
      <paraID>59656543</paraID>
      <start>12</start>
      <end>13</end>
      <status>modified</status>
      <modifiedWord>（</modifiedWord>
      <trackRevisions>false</trackRevisions>
    </reviewItem>
    <reviewItem>
      <errorID>794746f7-1fcb-488b-a24b-b66052b45f47</errorID>
      <errorWord>)</errorWord>
      <group>L1_Format</group>
      <groupName>格式问题</groupName>
      <ability>L2_HalfPunc_CN</ability>
      <abilityName>全半角问题</abilityName>
      <candidateList>
        <item>）</item>
      </candidateList>
      <explain>文本全半角错误。</explain>
      <paraID>59656543</paraID>
      <start>35</start>
      <end>36</end>
      <status>modified</status>
      <modifiedWord>）</modifiedWord>
      <trackRevisions>false</trackRevisions>
    </reviewItem>
    <reviewItem>
      <errorID>a7cecfb4-7844-411e-ba49-cef5d6b7ff41</errorID>
      <errorWord>(</errorWord>
      <group>L1_Format</group>
      <groupName>格式问题</groupName>
      <ability>L2_HalfPunc_CN</ability>
      <abilityName>全半角问题</abilityName>
      <candidateList>
        <item>（</item>
      </candidateList>
      <explain>文本全半角错误。</explain>
      <paraID>59656543</paraID>
      <start>45</start>
      <end>46</end>
      <status>modified</status>
      <modifiedWord>（</modifiedWord>
      <trackRevisions>false</trackRevisions>
    </reviewItem>
    <reviewItem>
      <errorID>1a1c3f95-b29e-4892-99c1-3ed7a9a105cf</errorID>
      <errorWord>)</errorWord>
      <group>L1_Format</group>
      <groupName>格式问题</groupName>
      <ability>L2_HalfPunc_CN</ability>
      <abilityName>全半角问题</abilityName>
      <candidateList>
        <item>）</item>
      </candidateList>
      <explain>文本全半角错误。</explain>
      <paraID>59656543</paraID>
      <start>61</start>
      <end>62</end>
      <status>modified</status>
      <modifiedWord>）</modifiedWord>
      <trackRevisions>false</trackRevisions>
    </reviewItem>
    <reviewItem>
      <errorID>89b253ab-2903-403b-b7ee-f8969b55451c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36EE3783</paraID>
      <start>0</start>
      <end>2</end>
      <status>modified</status>
      <modifiedWord>1.</modifiedWord>
      <trackRevisions>false</trackRevisions>
    </reviewItem>
    <reviewItem>
      <errorID>76b5f582-bd3d-4300-94f6-fc70de9e800f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6BD47899</paraID>
      <start>0</start>
      <end>2</end>
      <status>modified</status>
      <modifiedWord>2.</modifiedWord>
      <trackRevisions>false</trackRevisions>
    </reviewItem>
    <reviewItem>
      <errorID>fe3a268a-225a-4642-8f3e-023295e8dd49</errorID>
      <errorWord>传递交</errorWord>
      <group>L1_Grammar</group>
      <groupName>语法问题</groupName>
      <ability>L2_Order</ability>
      <abilityName>语序不当</abilityName>
      <candidateList>
        <item>传</item>
      </candidateList>
      <explain>句子可能没有遵循时空、逻辑顺序，或者介词、关联词等位置不当。</explain>
      <paraID>27AE1019</paraID>
      <start>124</start>
      <end>127</end>
      <status>ignored</status>
      <modifiedWord/>
      <trackRevisions>false</trackRevisions>
    </reviewItem>
    <reviewItem>
      <errorID>8a3d2add-00b1-4ad0-a337-d46db95cb424</errorID>
      <errorWord>(</errorWord>
      <group>L1_Format</group>
      <groupName>格式问题</groupName>
      <ability>L2_HalfPunc_CN</ability>
      <abilityName>全半角问题</abilityName>
      <candidateList>
        <item>（</item>
      </candidateList>
      <explain>文本全半角错误。</explain>
      <paraID>7AEC94D5</paraID>
      <start>40</start>
      <end>41</end>
      <status>modified</status>
      <modifiedWord>（</modifiedWord>
      <trackRevisions>false</trackRevisions>
    </reviewItem>
    <reviewItem>
      <errorID>8dc5a85e-f586-4aa5-b039-61cee0e2440c</errorID>
      <errorWord>)</errorWord>
      <group>L1_Format</group>
      <groupName>格式问题</groupName>
      <ability>L2_HalfPunc_CN</ability>
      <abilityName>全半角问题</abilityName>
      <candidateList>
        <item>）</item>
      </candidateList>
      <explain>文本全半角错误。</explain>
      <paraID>7AEC94D5</paraID>
      <start>45</start>
      <end>46</end>
      <status>modified</status>
      <modifiedWord>）</modifiedWord>
      <trackRevisions>false</trackRevisions>
    </reviewItem>
    <reviewItem>
      <errorID>6114caeb-5e16-4bc6-9f52-f45d9bfb32a2</errorID>
      <errorWord>(</errorWord>
      <group>L1_Format</group>
      <groupName>格式问题</groupName>
      <ability>L2_HalfPunc_CN</ability>
      <abilityName>全半角问题</abilityName>
      <candidateList>
        <item>（</item>
      </candidateList>
      <explain>文本全半角错误。</explain>
      <paraID>7C15AA44</paraID>
      <start>22</start>
      <end>23</end>
      <status>modified</status>
      <modifiedWord>（</modifiedWord>
      <trackRevisions>false</trackRevisions>
    </reviewItem>
    <reviewItem>
      <errorID>c4c10d88-8d95-495e-ae2b-2a3117391e8e</errorID>
      <errorWord>)</errorWord>
      <group>L1_Format</group>
      <groupName>格式问题</groupName>
      <ability>L2_HalfPunc_CN</ability>
      <abilityName>全半角问题</abilityName>
      <candidateList>
        <item>）</item>
      </candidateList>
      <explain>文本全半角错误。</explain>
      <paraID>7C15AA44</paraID>
      <start>30</start>
      <end>31</end>
      <status>modified</status>
      <modifiedWord>）</modifiedWord>
      <trackRevisions>false</trackRevisions>
    </reviewItem>
    <reviewItem>
      <errorID>ad8a03ae-f13d-4abe-889f-7adf73f49e7e</errorID>
      <errorWord>(</errorWord>
      <group>L1_Format</group>
      <groupName>格式问题</groupName>
      <ability>L2_HalfPunc_CN</ability>
      <abilityName>全半角问题</abilityName>
      <candidateList>
        <item>（</item>
      </candidateList>
      <explain>文本全半角错误。</explain>
      <paraID>7C15AA44</paraID>
      <start>56</start>
      <end>57</end>
      <status>modified</status>
      <modifiedWord>（</modifiedWord>
      <trackRevisions>false</trackRevisions>
    </reviewItem>
    <reviewItem>
      <errorID>c9295f0c-fdb0-4d52-a30e-caa4c849dd2b</errorID>
      <errorWord>)</errorWord>
      <group>L1_Format</group>
      <groupName>格式问题</groupName>
      <ability>L2_HalfPunc_CN</ability>
      <abilityName>全半角问题</abilityName>
      <candidateList>
        <item>）</item>
      </candidateList>
      <explain>文本全半角错误。</explain>
      <paraID>7C15AA44</paraID>
      <start>69</start>
      <end>70</end>
      <status>modified</status>
      <modifiedWord>）</modifiedWord>
      <trackRevisions>false</trackRevisions>
    </reviewItem>
    <reviewItem>
      <errorID>8c7c8b29-e7fa-48bc-ba18-44718c7aaa7c</errorID>
      <errorWord>(</errorWord>
      <group>L1_Format</group>
      <groupName>格式问题</groupName>
      <ability>L2_HalfPunc_CN</ability>
      <abilityName>全半角问题</abilityName>
      <candidateList>
        <item>（</item>
      </candidateList>
      <explain>文本全半角错误。</explain>
      <paraID>7C15AA44</paraID>
      <start>120</start>
      <end>121</end>
      <status>modified</status>
      <modifiedWord>（</modifiedWord>
      <trackRevisions>false</trackRevisions>
    </reviewItem>
    <reviewItem>
      <errorID>46625f19-93e5-4f15-8a0b-3101f3c3b6b1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AC6B1AF</paraID>
      <start>22</start>
      <end>23</end>
      <status>ignored</status>
      <modifiedWord/>
      <trackRevisions>false</trackRevisions>
    </reviewItem>
    <reviewItem>
      <errorID>de060f3e-6739-4612-aa66-8bc8264568e7</errorID>
      <errorWord>登陆</errorWord>
      <group>L1_Word</group>
      <groupName>字词问题</groupName>
      <ability>L2_Typo</ability>
      <abilityName>字词错误</abilityName>
      <candidateList>
        <item>登录</item>
      </candidateList>
      <explain>存在发音相同字词的误用。</explain>
      <paraID> AC6B1AF</paraID>
      <start>23</start>
      <end>25</end>
      <status>modified</status>
      <modifiedWord>登录</modifiedWord>
      <trackRevisions>false</trackRevisions>
    </reviewItem>
    <reviewItem>
      <errorID>70cf0281-91e9-4576-bd7d-f1f0676e26db</errorID>
      <errorWord>(</errorWord>
      <group>L1_Format</group>
      <groupName>格式问题</groupName>
      <ability>L2_HalfPunc_CN</ability>
      <abilityName>全半角问题</abilityName>
      <candidateList>
        <item>（</item>
      </candidateList>
      <explain>文本全半角错误。</explain>
      <paraID> AC6B1AF</paraID>
      <start>51</start>
      <end>52</end>
      <status>modified</status>
      <modifiedWord>（</modifiedWord>
      <trackRevisions>false</trackRevisions>
    </reviewItem>
    <reviewItem>
      <errorID>e2f15be5-059f-4a50-9be3-68d0925a90d3</errorID>
      <errorWord>)</errorWord>
      <group>L1_Format</group>
      <groupName>格式问题</groupName>
      <ability>L2_HalfPunc_CN</ability>
      <abilityName>全半角问题</abilityName>
      <candidateList>
        <item>）</item>
      </candidateList>
      <explain>文本全半角错误。</explain>
      <paraID> AC6B1AF</paraID>
      <start>112</start>
      <end>113</end>
      <status>modified</status>
      <modifiedWord>）</modifiedWord>
      <trackRevisions>false</trackRevisions>
    </reviewItem>
    <reviewItem>
      <errorID>0347185e-19d6-4e86-8a8c-fdfbd7dc4d84</errorID>
      <errorWord>(</errorWord>
      <group>L1_Format</group>
      <groupName>格式问题</groupName>
      <ability>L2_HalfPunc_CN</ability>
      <abilityName>全半角问题</abilityName>
      <candidateList>
        <item>（</item>
      </candidateList>
      <explain>文本全半角错误。</explain>
      <paraID> 39B2B85</paraID>
      <start>15</start>
      <end>16</end>
      <status>modified</status>
      <modifiedWord>（</modifiedWord>
      <trackRevisions>false</trackRevisions>
    </reviewItem>
    <reviewItem>
      <errorID>f6f0b69a-8bac-4318-ae6b-ac13081f137c</errorID>
      <errorWord>:</errorWord>
      <group>L1_Format</group>
      <groupName>格式问题</groupName>
      <ability>L2_HalfPunc_CN</ability>
      <abilityName>全半角问题</abilityName>
      <candidateList>
        <item>：</item>
      </candidateList>
      <explain>文本全半角错误。</explain>
      <paraID> 39B2B85</paraID>
      <start>22</start>
      <end>23</end>
      <status>modified</status>
      <modifiedWord>：</modifiedWord>
      <trackRevisions>false</trackRevisions>
    </reviewItem>
    <reviewItem>
      <errorID>595c6e89-62de-4dc1-be63-5d27886fb1ff</errorID>
      <errorWord>(</errorWord>
      <group>L1_Format</group>
      <groupName>格式问题</groupName>
      <ability>L2_HalfPunc_CN</ability>
      <abilityName>全半角问题</abilityName>
      <candidateList>
        <item>（</item>
      </candidateList>
      <explain>文本全半角错误。</explain>
      <paraID> 39B2B85</paraID>
      <start>51</start>
      <end>52</end>
      <status>modified</status>
      <modifiedWord>（</modifiedWord>
      <trackRevisions>false</trackRevisions>
    </reviewItem>
    <reviewItem>
      <errorID>7e00bb6f-3f54-4fa3-9b10-06fdf13ccd8c</errorID>
      <errorWord>)</errorWord>
      <group>L1_Format</group>
      <groupName>格式问题</groupName>
      <ability>L2_HalfPunc_CN</ability>
      <abilityName>全半角问题</abilityName>
      <candidateList>
        <item>）</item>
      </candidateList>
      <explain>文本全半角错误。</explain>
      <paraID> 39B2B85</paraID>
      <start>60</start>
      <end>61</end>
      <status>modified</status>
      <modifiedWord>）</modifiedWord>
      <trackRevisions>false</trackRevisions>
    </reviewItem>
    <reviewItem>
      <errorID>4d4d6f60-751f-4d77-8aaf-65c456fcfa33</errorID>
      <errorWord>)</errorWord>
      <group>L1_Format</group>
      <groupName>格式问题</groupName>
      <ability>L2_HalfPunc_CN</ability>
      <abilityName>全半角问题</abilityName>
      <candidateList>
        <item>）</item>
      </candidateList>
      <explain>文本全半角错误。</explain>
      <paraID> 39B2B85</paraID>
      <start>101</start>
      <end>102</end>
      <status>modified</status>
      <modifiedWord>）</modifiedWord>
      <trackRevisions>false</trackRevisions>
    </reviewItem>
    <reviewItem>
      <errorID>820cfc37-9838-4ca4-9e95-a5f95e86710b</errorID>
      <errorWord>（</errorWord>
      <group>L1_Punc</group>
      <groupName>标点问题</groupName>
      <ability>L2_Punc_CN</ability>
      <abilityName>标点符号问题</abilityName>
      <candidateList/>
      <explain>同一形式括号套用。</explain>
      <paraID>569A1221</paraID>
      <start>61</start>
      <end>62</end>
      <status>ignored</status>
      <modifiedWord/>
      <trackRevisions>false</trackRevisions>
    </reviewItem>
    <reviewItem>
      <errorID>3458e419-55a8-4a63-829b-e2856fe2942a</errorID>
      <errorWord>）</errorWord>
      <group>L1_Punc</group>
      <groupName>标点问题</groupName>
      <ability>L2_Punc_CN</ability>
      <abilityName>标点符号问题</abilityName>
      <candidateList/>
      <explain>同一形式括号套用。</explain>
      <paraID>569A1221</paraID>
      <start>71</start>
      <end>72</end>
      <status>ignored</status>
      <modifiedWord/>
      <trackRevisions>false</trackRevisions>
    </reviewItem>
    <reviewItem>
      <errorID>e530494d-403d-4d02-8bf8-57530faa3a04</errorID>
      <errorWord>就业服务网点</errorWord>
      <group>L1_Knowledge</group>
      <groupName>知识性问题</groupName>
      <ability>L2_Term</ability>
      <abilityName>专业术语</abilityName>
      <candidateList>
        <item>商业服务网点</item>
      </candidateList>
      <explain/>
      <paraID>2B531BC0</paraID>
      <start>236</start>
      <end>242</end>
      <status>ignored</status>
      <modifiedWord/>
      <trackRevisions>false</trackRevisions>
    </reviewItem>
    <reviewItem>
      <errorID>8db2c686-c2a9-44c4-ac61-4d8658f6c6e9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2850E7F5</paraID>
      <start>99</start>
      <end>100</end>
      <status>ignored</status>
      <modifiedWord/>
      <trackRevisions>false</trackRevisions>
    </reviewItem>
    <reviewItem>
      <errorID>8862f78f-98a4-4b79-aef2-59507b4ef367</errorID>
      <errorWord>(</errorWord>
      <group>L1_Format</group>
      <groupName>格式问题</groupName>
      <ability>L2_HalfPunc_CN</ability>
      <abilityName>全半角问题</abilityName>
      <candidateList>
        <item>（</item>
      </candidateList>
      <explain>文本全半角错误。</explain>
      <paraID>2850E7F5</paraID>
      <start>100</start>
      <end>101</end>
      <status>modified</status>
      <modifiedWord>（</modifiedWord>
      <trackRevisions>false</trackRevisions>
    </reviewItem>
    <reviewItem>
      <errorID>fb4b6a70-0359-4634-83af-64d96671f4ce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2850E7F5</paraID>
      <start>178</start>
      <end>179</end>
      <status>ignored</status>
      <modifiedWord/>
      <trackRevisions>false</trackRevisions>
    </reviewItem>
    <reviewItem>
      <errorID>f723c3eb-63d8-4429-8dc5-58105e8d30ef</errorID>
      <errorWord>,</errorWord>
      <group>L1_Format</group>
      <groupName>格式问题</groupName>
      <ability>L2_HalfPunc_CN</ability>
      <abilityName>全半角问题</abilityName>
      <candidateList>
        <item>，</item>
      </candidateList>
      <explain>文本全半角错误。</explain>
      <paraID>39A2F863</paraID>
      <start>85</start>
      <end>86</end>
      <status>modified</status>
      <modifiedWord>，</modifiedWord>
      <trackRevisions>false</trackRevisions>
    </reviewItem>
    <reviewItem>
      <errorID>f30f9565-39ea-4a34-9c2d-29bcf1fe4053</errorID>
      <errorWord>，</errorWord>
      <group>L1_Word</group>
      <groupName>字词问题</groupName>
      <ability>L2_Typo</ability>
      <abilityName>字词错误</abilityName>
      <candidateList>
        <item>，以</item>
      </candidateList>
      <explain/>
      <paraID>21BE41A1</paraID>
      <start>64</start>
      <end>65</end>
      <status>ignored</status>
      <modifiedWord/>
      <trackRevisions>false</trackRevisions>
    </reviewItem>
    <reviewItem>
      <errorID>141db00b-e1db-4c80-a6e6-1e56ca1e44e9</errorID>
      <errorWord>其它</errorWord>
      <group>L1_Word</group>
      <groupName>字词问题</groupName>
      <ability>L2_Alias</ability>
      <abilityName>也作/曾用词</abilityName>
      <candidateList>
        <item>其他</item>
      </candidateList>
      <explain>词汇[其它]为不规范表述或旧称，其规范书面表述为[其他]。</explain>
      <paraID>24F4D542</paraID>
      <start>40</start>
      <end>42</end>
      <status>modified</status>
      <modifiedWord>其他</modifiedWord>
      <trackRevisions>false</trackRevisions>
    </reviewItem>
    <reviewItem>
      <errorID>210676d9-cba5-4ecf-b5e7-055432d2c6b8</errorID>
      <errorWord>满</errorWord>
      <group>L1_Word</group>
      <groupName>字词问题</groupName>
      <ability>L2_Typo</ability>
      <abilityName>字词错误</abilityName>
      <candidateList>
        <item>满后</item>
      </candidateList>
      <explain/>
      <paraID>7ED17972</paraID>
      <start>88</start>
      <end>90</end>
      <status>modified</status>
      <modifiedWord>满后</modifiedWord>
      <trackRevisions>false</trackRevisions>
    </reviewItem>
    <reviewItem>
      <errorID>b5b99683-9697-4fee-858f-575488e2ff9f</errorID>
      <errorWord>提供在</errorWord>
      <group>L1_Word</group>
      <groupName>字词问题</groupName>
      <ability>L2_Typo</ability>
      <abilityName>字词错误</abilityName>
      <candidateList>
        <item>提供</item>
      </candidateList>
      <explain/>
      <paraID>538527AB</paraID>
      <start>7</start>
      <end>9</end>
      <status>modified</status>
      <modifiedWord>提供</modifiedWord>
      <trackRevisions>false</trackRevisions>
    </reviewItem>
    <reviewItem>
      <errorID>569ac687-2402-45a2-aaed-59503ae697a9</errorID>
      <errorWord>的</errorWord>
      <group>L1_Word</group>
      <groupName>字词问题</groupName>
      <ability>L2_Typo</ability>
      <abilityName>字词错误</abilityName>
      <candidateList>
        <item>的认</item>
      </candidateList>
      <explain/>
      <paraID>2D775C0C</paraID>
      <start>19</start>
      <end>21</end>
      <status>modified</status>
      <modifiedWord>的认</modifiedWord>
      <trackRevisions>false</trackRevisions>
    </reviewItem>
    <reviewItem>
      <errorID>70603d58-3884-4aeb-aeb3-402ace3e44ea</errorID>
      <errorWord>的</errorWord>
      <group>L1_Word</group>
      <groupName>字词问题</groupName>
      <ability>L2_Typo</ability>
      <abilityName>字词错误</abilityName>
      <candidateList>
        <item>的认</item>
      </candidateList>
      <explain/>
      <paraID>688DF90C</paraID>
      <start>24</start>
      <end>25</end>
      <status>ignored</status>
      <modifiedWord/>
      <trackRevisions>false</trackRevisions>
    </reviewItem>
    <reviewItem>
      <errorID>26f5fb03-c8e0-49b4-94c7-1891d80235a9</errorID>
      <errorWord>，</errorWord>
      <group>L1_Word</group>
      <groupName>字词问题</groupName>
      <ability>L2_Typo</ability>
      <abilityName>字词错误</abilityName>
      <candidateList>
        <item>，在</item>
      </candidateList>
      <explain/>
      <paraID>4C079D4F</paraID>
      <start>13</start>
      <end>14</end>
      <status>ignored</status>
      <modifiedWord/>
      <trackRevisions>false</trackRevisions>
    </reviewItem>
    <reviewItem>
      <errorID>99a3b77a-0436-438c-bbdd-647bc60aeb6e</errorID>
      <errorWord>，</errorWord>
      <group>L1_Word</group>
      <groupName>字词问题</groupName>
      <ability>L2_Typo</ability>
      <abilityName>字词错误</abilityName>
      <candidateList>
        <item>，并</item>
      </candidateList>
      <explain/>
      <paraID>2EA27B05</paraID>
      <start>101</start>
      <end>103</end>
      <status>modified</status>
      <modifiedWord>，并</modifiedWord>
      <trackRevisions>false</trackRevisions>
    </reviewItem>
    <reviewItem>
      <errorID>735f1ed7-5281-4f99-b572-823755464b2e</errorID>
      <errorWord>结点</errorWord>
      <group>L1_Word</group>
      <groupName>字词问题</groupName>
      <ability>L2_Typo</ability>
      <abilityName>字词错误</abilityName>
      <candidateList>
        <item>节点</item>
      </candidateList>
      <explain/>
      <paraID>2A564B48</paraID>
      <start>11</start>
      <end>13</end>
      <status>modified</status>
      <modifiedWord>节点</modifiedWord>
      <trackRevisions>false</trackRevisions>
    </reviewItem>
    <reviewItem>
      <errorID>97f87799-8710-47e3-9200-7157af21d72f</errorID>
      <errorWord>，</errorWord>
      <group>L1_Word</group>
      <groupName>字词问题</groupName>
      <ability>L2_Typo</ability>
      <abilityName>字词错误</abilityName>
      <candidateList>
        <item>，由</item>
      </candidateList>
      <explain/>
      <paraID>4B92C22D</paraID>
      <start>29</start>
      <end>31</end>
      <status>modified</status>
      <modifiedWord>，由</modifiedWord>
      <trackRevisions>false</trackRevisions>
    </reviewItem>
    <reviewItem>
      <errorID>396846aa-fa01-414f-999b-dfe97fa365c0</errorID>
      <errorWord>[2019]217号</errorWord>
      <group>L1_Knowledge</group>
      <groupName>知识性问题</groupName>
      <ability>L2_Knowledge</ability>
      <abilityName>其他知识</abilityName>
      <candidateList>
        <item>〔2019〕217号</item>
      </candidateList>
      <explain>发文字号格式错误。</explain>
      <paraID>4886DDFA</paraID>
      <start>83</start>
      <end>93</end>
      <status>modified</status>
      <modifiedWord>〔2019〕217号</modifiedWord>
      <trackRevisions>false</trackRevisions>
    </reviewItem>
    <reviewItem>
      <errorID>4a8d30e0-ceb6-4043-8a24-b702f25ee983</errorID>
      <errorWord>，</errorWord>
      <group>L1_Word</group>
      <groupName>字词问题</groupName>
      <ability>L2_Typo</ability>
      <abilityName>字词错误</abilityName>
      <candidateList>
        <item>，有</item>
      </candidateList>
      <explain/>
      <paraID>7E36661C</paraID>
      <start>30</start>
      <end>32</end>
      <status>modified</status>
      <modifiedWord>，有</modifiedWord>
      <trackRevisions>false</trackRevisions>
    </reviewItem>
    <reviewItem>
      <errorID>26b8778c-39db-4a86-84ed-020727cef1f0</errorID>
      <errorWord>法律、法规</errorWord>
      <group>L1_Word</group>
      <groupName>字词问题</groupName>
      <ability>L2_Typo</ability>
      <abilityName>字词错误</abilityName>
      <candidateList>
        <item>法律法规</item>
      </candidateList>
      <explain/>
      <paraID>5109BDD8</paraID>
      <start>18</start>
      <end>23</end>
      <status>ignored</status>
      <modifiedWord/>
      <trackRevisions>false</trackRevisions>
    </reviewItem>
    <reviewItem>
      <errorID>056899b6-02be-403e-b1f1-af6e427b7bab</errorID>
      <errorWord>法律、法规</errorWord>
      <group>L1_Word</group>
      <groupName>字词问题</groupName>
      <ability>L2_Typo</ability>
      <abilityName>字词错误</abilityName>
      <candidateList>
        <item>法律法规</item>
      </candidateList>
      <explain/>
      <paraID>5109BDD8</paraID>
      <start>53</start>
      <end>58</end>
      <status>ignored</status>
      <modifiedWord/>
      <trackRevisions>false</trackRevisions>
    </reviewItem>
    <reviewItem>
      <errorID>e5c79286-d6cf-4dcc-a67d-ad1ff9aac19f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68AE1519</paraID>
      <start>18</start>
      <end>21</end>
      <status>ignored</status>
      <modifiedWord/>
      <trackRevisions>false</trackRevisions>
    </reviewItem>
    <reviewItem>
      <errorID>5766b109-7c27-4838-b29c-950065eb7f5b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68AE1519</paraID>
      <start>26</start>
      <end>29</end>
      <status>ignored</status>
      <modifiedWord/>
      <trackRevisions>false</trackRevisions>
    </reviewItem>
    <reviewItem>
      <errorID>ffbd3c79-2dd0-47d1-bafd-1b0dbe9f00d0</errorID>
      <errorWord>WiFi</errorWord>
      <group>L1_Punc</group>
      <groupName>标点问题</groupName>
      <ability>L2_Punc_CN</ability>
      <abilityName>标点符号问题</abilityName>
      <candidateList>
        <item>Wi-Fi</item>
      </candidateList>
      <explain/>
      <paraID> AFBCDAE</paraID>
      <start>82</start>
      <end>87</end>
      <status>modified</status>
      <modifiedWord>Wi-Fi</modifiedWord>
      <trackRevisions>false</trackRevisions>
    </reviewItem>
    <reviewItem>
      <errorID>33a1ffe5-9fe0-498d-ad83-ed6f7bd5418a</errorID>
      <errorWord>,</errorWord>
      <group>L1_Format</group>
      <groupName>格式问题</groupName>
      <ability>L2_HalfPunc_CN</ability>
      <abilityName>全半角问题</abilityName>
      <candidateList>
        <item>，</item>
      </candidateList>
      <explain>文本全半角错误。</explain>
      <paraID> AFBCDAE</paraID>
      <start>185</start>
      <end>186</end>
      <status>modified</status>
      <modifiedWord>，</modifiedWord>
      <trackRevisions>false</trackRevisions>
    </reviewItem>
    <reviewItem>
      <errorID>011b5a8b-9b7e-48cf-94e7-77aad24562d7</errorID>
      <errorWord>(</errorWord>
      <group>L1_Format</group>
      <groupName>格式问题</groupName>
      <ability>L2_HalfPunc_CN</ability>
      <abilityName>全半角问题</abilityName>
      <candidateList>
        <item>（</item>
      </candidateList>
      <explain>文本全半角错误。</explain>
      <paraID> AFBCDAE</paraID>
      <start>215</start>
      <end>216</end>
      <status>modified</status>
      <modifiedWord>（</modifiedWord>
      <trackRevisions>false</trackRevisions>
    </reviewItem>
    <reviewItem>
      <errorID>fd8aea97-178a-446b-a94d-e23d4d280e78</errorID>
      <errorWord>;</errorWord>
      <group>L1_Format</group>
      <groupName>格式问题</groupName>
      <ability>L2_HalfPunc_CN</ability>
      <abilityName>全半角问题</abilityName>
      <candidateList>
        <item>；</item>
      </candidateList>
      <explain>文本全半角错误。</explain>
      <paraID> AFBCDAE</paraID>
      <start>305</start>
      <end>306</end>
      <status>modified</status>
      <modifiedWord>；</modifiedWord>
      <trackRevisions>false</trackRevisions>
    </reviewItem>
    <reviewItem>
      <errorID>0d4c6140-b482-4c34-b965-7afe86ad66c1</errorID>
      <errorWord>;</errorWord>
      <group>L1_Format</group>
      <groupName>格式问题</groupName>
      <ability>L2_HalfPunc_CN</ability>
      <abilityName>全半角问题</abilityName>
      <candidateList>
        <item>；</item>
      </candidateList>
      <explain>文本全半角错误。</explain>
      <paraID> AFBCDAE</paraID>
      <start>335</start>
      <end>336</end>
      <status>modified</status>
      <modifiedWord>；</modifiedWord>
      <trackRevisions>false</trackRevisions>
    </reviewItem>
    <reviewItem>
      <errorID>ae376250-91b0-4f0a-b7df-f7027f86fbcf</errorID>
      <errorWord>;</errorWord>
      <group>L1_Format</group>
      <groupName>格式问题</groupName>
      <ability>L2_HalfPunc_CN</ability>
      <abilityName>全半角问题</abilityName>
      <candidateList>
        <item>；</item>
      </candidateList>
      <explain>文本全半角错误。</explain>
      <paraID> AFBCDAE</paraID>
      <start>364</start>
      <end>365</end>
      <status>modified</status>
      <modifiedWord>；</modifiedWord>
      <trackRevisions>false</trackRevisions>
    </reviewItem>
    <reviewItem>
      <errorID>bb7fe168-1338-4a76-8cce-23b95eb75da0</errorID>
      <errorWord>;</errorWord>
      <group>L1_Format</group>
      <groupName>格式问题</groupName>
      <ability>L2_HalfPunc_CN</ability>
      <abilityName>全半角问题</abilityName>
      <candidateList>
        <item>；</item>
      </candidateList>
      <explain>文本全半角错误。</explain>
      <paraID> AFBCDAE</paraID>
      <start>472</start>
      <end>473</end>
      <status>modified</status>
      <modifiedWord>；</modifiedWord>
      <trackRevisions>false</trackRevisions>
    </reviewItem>
    <reviewItem>
      <errorID>61f8fc5a-7ea7-467f-b5d6-ec8591dfcf04</errorID>
      <errorWord>;</errorWord>
      <group>L1_Format</group>
      <groupName>格式问题</groupName>
      <ability>L2_HalfPunc_CN</ability>
      <abilityName>全半角问题</abilityName>
      <candidateList>
        <item>；</item>
      </candidateList>
      <explain>文本全半角错误。</explain>
      <paraID>6A5C4018</paraID>
      <start>46</start>
      <end>47</end>
      <status>modified</status>
      <modifiedWord>；</modifiedWord>
      <trackRevisions>false</trackRevisions>
    </reviewItem>
    <reviewItem>
      <errorID>6892f7a5-d5fb-4c68-8031-6c8c07921f30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ED3D0C</paraID>
      <start>51</start>
      <end>54</end>
      <status>ignored</status>
      <modifiedWord/>
      <trackRevisions>false</trackRevisions>
    </reviewItem>
    <reviewItem>
      <errorID>25ee2d6f-577a-4f75-925a-60b3e4efe524</errorID>
      <errorWord>;</errorWord>
      <group>L1_Format</group>
      <groupName>格式问题</groupName>
      <ability>L2_HalfPunc_CN</ability>
      <abilityName>全半角问题</abilityName>
      <candidateList>
        <item>；</item>
      </candidateList>
      <explain>文本全半角错误。</explain>
      <paraID>4B22414C</paraID>
      <start>62</start>
      <end>63</end>
      <status>modified</status>
      <modifiedWord>；</modifiedWord>
      <trackRevisions>false</trackRevisions>
    </reviewItem>
    <reviewItem>
      <errorID>6075d30b-e848-4b26-a923-7afc461a7451</errorID>
      <errorWord>;</errorWord>
      <group>L1_Format</group>
      <groupName>格式问题</groupName>
      <ability>L2_HalfPunc_CN</ability>
      <abilityName>全半角问题</abilityName>
      <candidateList>
        <item>；</item>
      </candidateList>
      <explain>文本全半角错误。</explain>
      <paraID>3F34F3D6</paraID>
      <start>30</start>
      <end>31</end>
      <status>modified</status>
      <modifiedWord>；</modifiedWord>
      <trackRevisions>false</trackRevisions>
    </reviewItem>
    <reviewItem>
      <errorID>ccf366c2-dd8b-483e-9767-434a19053556</errorID>
      <errorWord>;</errorWord>
      <group>L1_Format</group>
      <groupName>格式问题</groupName>
      <ability>L2_HalfPunc_CN</ability>
      <abilityName>全半角问题</abilityName>
      <candidateList>
        <item>；</item>
      </candidateList>
      <explain>文本全半角错误。</explain>
      <paraID> 122369F</paraID>
      <start>29</start>
      <end>30</end>
      <status>modified</status>
      <modifiedWord>；</modifiedWord>
      <trackRevisions>false</trackRevisions>
    </reviewItem>
    <reviewItem>
      <errorID>2324b40e-62f5-4253-b982-59f55495fc5a</errorID>
      <errorWord>;</errorWord>
      <group>L1_Format</group>
      <groupName>格式问题</groupName>
      <ability>L2_HalfPunc_CN</ability>
      <abilityName>全半角问题</abilityName>
      <candidateList>
        <item>；</item>
      </candidateList>
      <explain>文本全半角错误。</explain>
      <paraID>2334A9A9</paraID>
      <start>22</start>
      <end>23</end>
      <status>modified</status>
      <modifiedWord>；</modifiedWord>
      <trackRevisions>false</trackRevisions>
    </reviewItem>
    <reviewItem>
      <errorID>fc096c2f-9d38-4833-8e1a-901133edfbeb</errorID>
      <errorWord>;</errorWord>
      <group>L1_Format</group>
      <groupName>格式问题</groupName>
      <ability>L2_HalfPunc_CN</ability>
      <abilityName>全半角问题</abilityName>
      <candidateList>
        <item>；</item>
      </candidateList>
      <explain>文本全半角错误。</explain>
      <paraID>4715ADCC</paraID>
      <start>25</start>
      <end>26</end>
      <status>modified</status>
      <modifiedWord>；</modifiedWord>
      <trackRevisions>false</trackRevisions>
    </reviewItem>
    <reviewItem>
      <errorID>99a8e7a2-2327-466b-9c17-9a57a2375b16</errorID>
      <errorWord>;</errorWord>
      <group>L1_Format</group>
      <groupName>格式问题</groupName>
      <ability>L2_HalfPunc_CN</ability>
      <abilityName>全半角问题</abilityName>
      <candidateList>
        <item>；</item>
      </candidateList>
      <explain>文本全半角错误。</explain>
      <paraID>4715ADCC</paraID>
      <start>41</start>
      <end>42</end>
      <status>modified</status>
      <modifiedWord>；</modifiedWord>
      <trackRevisions>false</trackRevisions>
    </reviewItem>
    <reviewItem>
      <errorID>584130b9-dbd3-403e-9ac3-093f6274ddc4</errorID>
      <errorWord>;</errorWord>
      <group>L1_Format</group>
      <groupName>格式问题</groupName>
      <ability>L2_HalfPunc_CN</ability>
      <abilityName>全半角问题</abilityName>
      <candidateList>
        <item>；</item>
      </candidateList>
      <explain>文本全半角错误。</explain>
      <paraID>4715ADCC</paraID>
      <start>53</start>
      <end>54</end>
      <status>modified</status>
      <modifiedWord>；</modifiedWord>
      <trackRevisions>false</trackRevisions>
    </reviewItem>
    <reviewItem>
      <errorID>3e072de3-6f44-4639-a4eb-de6d548f67c6</errorID>
      <errorWord>WiFi</errorWord>
      <group>L1_Punc</group>
      <groupName>标点问题</groupName>
      <ability>L2_Punc_CN</ability>
      <abilityName>标点符号问题</abilityName>
      <candidateList>
        <item>Wi-Fi</item>
      </candidateList>
      <explain/>
      <paraID>4715ADCC</paraID>
      <start>109</start>
      <end>114</end>
      <status>modified</status>
      <modifiedWord>Wi-Fi</modifiedWord>
      <trackRevisions>false</trackRevisions>
    </reviewItem>
    <reviewItem>
      <errorID>ad03c7f9-53d8-4e8e-ab22-973732e360cf</errorID>
      <errorWord>;</errorWord>
      <group>L1_Format</group>
      <groupName>格式问题</groupName>
      <ability>L2_HalfPunc_CN</ability>
      <abilityName>全半角问题</abilityName>
      <candidateList>
        <item>；</item>
      </candidateList>
      <explain>文本全半角错误。</explain>
      <paraID>4715ADCC</paraID>
      <start>169</start>
      <end>170</end>
      <status>modified</status>
      <modifiedWord>；</modifiedWord>
      <trackRevisions>false</trackRevisions>
    </reviewItem>
    <reviewItem>
      <errorID>ae13f104-6b43-49cf-aa7e-51baf2fb1b9d</errorID>
      <errorWord>;</errorWord>
      <group>L1_Format</group>
      <groupName>格式问题</groupName>
      <ability>L2_HalfPunc_CN</ability>
      <abilityName>全半角问题</abilityName>
      <candidateList>
        <item>；</item>
      </candidateList>
      <explain>文本全半角错误。</explain>
      <paraID>4715ADCC</paraID>
      <start>195</start>
      <end>196</end>
      <status>modified</status>
      <modifiedWord>；</modifiedWord>
      <trackRevisions>false</trackRevisions>
    </reviewItem>
    <reviewItem>
      <errorID>f870b30e-7e71-4efd-964d-5f9c924fb41e</errorID>
      <errorWord>;</errorWord>
      <group>L1_Format</group>
      <groupName>格式问题</groupName>
      <ability>L2_HalfPunc_CN</ability>
      <abilityName>全半角问题</abilityName>
      <candidateList>
        <item>；</item>
      </candidateList>
      <explain>文本全半角错误。</explain>
      <paraID>4715ADCC</paraID>
      <start>282</start>
      <end>283</end>
      <status>modified</status>
      <modifiedWord>；</modifiedWord>
      <trackRevisions>false</trackRevisions>
    </reviewItem>
    <reviewItem>
      <errorID>3bb5dd44-9ff3-426e-9091-d275365985c1</errorID>
      <errorWord>;</errorWord>
      <group>L1_Format</group>
      <groupName>格式问题</groupName>
      <ability>L2_HalfPunc_CN</ability>
      <abilityName>全半角问题</abilityName>
      <candidateList>
        <item>；</item>
      </candidateList>
      <explain>文本全半角错误。</explain>
      <paraID>4715ADCC</paraID>
      <start>301</start>
      <end>302</end>
      <status>modified</status>
      <modifiedWord>；</modifiedWord>
      <trackRevisions>false</trackRevisions>
    </reviewItem>
    <reviewItem>
      <errorID>3ccf50ee-9022-4111-bd07-945dac2d8708</errorID>
      <errorWord>;</errorWord>
      <group>L1_Format</group>
      <groupName>格式问题</groupName>
      <ability>L2_HalfPunc_CN</ability>
      <abilityName>全半角问题</abilityName>
      <candidateList>
        <item>；</item>
      </candidateList>
      <explain>文本全半角错误。</explain>
      <paraID>4715ADCC</paraID>
      <start>324</start>
      <end>325</end>
      <status>modified</status>
      <modifiedWord>；</modifiedWord>
      <trackRevisions>false</trackRevisions>
    </reviewItem>
    <reviewItem>
      <errorID>90f16a33-6945-46f6-9980-da6823d09436</errorID>
      <errorWord>,</errorWord>
      <group>L1_Format</group>
      <groupName>格式问题</groupName>
      <ability>L2_HalfPunc_CN</ability>
      <abilityName>全半角问题</abilityName>
      <candidateList>
        <item>，</item>
      </candidateList>
      <explain>文本全半角错误。</explain>
      <paraID>4715ADCC</paraID>
      <start>423</start>
      <end>424</end>
      <status>modified</status>
      <modifiedWord>，</modifiedWord>
      <trackRevisions>false</trackRevisions>
    </reviewItem>
    <reviewItem>
      <errorID>11949b74-af9f-47d3-a0ac-676b393ccc1a</errorID>
      <errorWord>;</errorWord>
      <group>L1_Format</group>
      <groupName>格式问题</groupName>
      <ability>L2_HalfPunc_CN</ability>
      <abilityName>全半角问题</abilityName>
      <candidateList>
        <item>；</item>
      </candidateList>
      <explain>文本全半角错误。</explain>
      <paraID>4715ADCC</paraID>
      <start>432</start>
      <end>433</end>
      <status>modified</status>
      <modifiedWord>；</modifiedWord>
      <trackRevisions>false</trackRevisions>
    </reviewItem>
    <reviewItem>
      <errorID>915595b4-691b-4a0e-8846-3f2dd112b0bf</errorID>
      <errorWord>(</errorWord>
      <group>L1_Format</group>
      <groupName>格式问题</groupName>
      <ability>L2_HalfPunc_CN</ability>
      <abilityName>全半角问题</abilityName>
      <candidateList>
        <item>（</item>
      </candidateList>
      <explain>文本全半角错误。</explain>
      <paraID>4715ADCC</paraID>
      <start>444</start>
      <end>445</end>
      <status>modified</status>
      <modifiedWord>（</modifiedWord>
      <trackRevisions>false</trackRevisions>
    </reviewItem>
    <reviewItem>
      <errorID>724a984d-ed61-443b-98f7-de0d34ec4db0</errorID>
      <errorWord>)</errorWord>
      <group>L1_Format</group>
      <groupName>格式问题</groupName>
      <ability>L2_HalfPunc_CN</ability>
      <abilityName>全半角问题</abilityName>
      <candidateList>
        <item>）</item>
      </candidateList>
      <explain>文本全半角错误。</explain>
      <paraID>4715ADCC</paraID>
      <start>454</start>
      <end>455</end>
      <status>modified</status>
      <modifiedWord>）</modifiedWord>
      <trackRevisions>false</trackRevisions>
    </reviewItem>
    <reviewItem>
      <errorID>5e6b29e1-fb70-461a-b2f2-fa161b9accf0</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69957E91</paraID>
      <start>9</start>
      <end>13</end>
      <status>ignored</status>
      <modifiedWord/>
      <trackRevisions>false</trackRevisions>
    </reviewItem>
    <reviewItem>
      <errorID>a8c2481c-8fc1-4203-965d-88584f4c2972</errorID>
      <errorWord>;</errorWord>
      <group>L1_Format</group>
      <groupName>格式问题</groupName>
      <ability>L2_HalfPunc_CN</ability>
      <abilityName>全半角问题</abilityName>
      <candidateList>
        <item>；</item>
      </candidateList>
      <explain>文本全半角错误。</explain>
      <paraID>771FE508</paraID>
      <start>46</start>
      <end>47</end>
      <status>modified</status>
      <modifiedWord>；</modifiedWord>
      <trackRevisions>false</trackRevisions>
    </reviewItem>
    <reviewItem>
      <errorID>579d0294-b4ae-43f6-9be5-1fc6f42ec7c2</errorID>
      <errorWord>,</errorWord>
      <group>L1_Format</group>
      <groupName>格式问题</groupName>
      <ability>L2_HalfPunc_CN</ability>
      <abilityName>全半角问题</abilityName>
      <candidateList>
        <item>，</item>
      </candidateList>
      <explain>文本全半角错误。</explain>
      <paraID>267AFC08</paraID>
      <start>40</start>
      <end>41</end>
      <status>modified</status>
      <modifiedWord>，</modifiedWord>
      <trackRevisions>false</trackRevisions>
    </reviewItem>
    <reviewItem>
      <errorID>fae5790a-9bf7-4506-abce-8561e08c2219</errorID>
      <errorWord>;</errorWord>
      <group>L1_Format</group>
      <groupName>格式问题</groupName>
      <ability>L2_HalfPunc_CN</ability>
      <abilityName>全半角问题</abilityName>
      <candidateList>
        <item>；</item>
      </candidateList>
      <explain>文本全半角错误。</explain>
      <paraID>35E85EEC</paraID>
      <start>62</start>
      <end>63</end>
      <status>modified</status>
      <modifiedWord>；</modifiedWord>
      <trackRevisions>false</trackRevisions>
    </reviewItem>
    <reviewItem>
      <errorID>0dc26c8f-b323-48e0-be6a-37cabda979db</errorID>
      <errorWord>;</errorWord>
      <group>L1_Format</group>
      <groupName>格式问题</groupName>
      <ability>L2_HalfPunc_CN</ability>
      <abilityName>全半角问题</abilityName>
      <candidateList>
        <item>；</item>
      </candidateList>
      <explain>文本全半角错误。</explain>
      <paraID>5A3938B2</paraID>
      <start>30</start>
      <end>31</end>
      <status>modified</status>
      <modifiedWord>；</modifiedWord>
      <trackRevisions>false</trackRevisions>
    </reviewItem>
    <reviewItem>
      <errorID>304c435b-3436-4d7f-a4c5-b897d6e6411a</errorID>
      <errorWord>;</errorWord>
      <group>L1_Format</group>
      <groupName>格式问题</groupName>
      <ability>L2_HalfPunc_CN</ability>
      <abilityName>全半角问题</abilityName>
      <candidateList>
        <item>；</item>
      </candidateList>
      <explain>文本全半角错误。</explain>
      <paraID> 96E0B35</paraID>
      <start>29</start>
      <end>30</end>
      <status>modified</status>
      <modifiedWord>；</modifiedWord>
      <trackRevisions>false</trackRevisions>
    </reviewItem>
    <reviewItem>
      <errorID>43e74b0c-8432-464d-abad-6bcd85a73572</errorID>
      <errorWord>;</errorWord>
      <group>L1_Format</group>
      <groupName>格式问题</groupName>
      <ability>L2_HalfPunc_CN</ability>
      <abilityName>全半角问题</abilityName>
      <candidateList>
        <item>；</item>
      </candidateList>
      <explain>文本全半角错误。</explain>
      <paraID>4F049D11</paraID>
      <start>22</start>
      <end>23</end>
      <status>modified</status>
      <modifiedWord>；</modifiedWord>
      <trackRevisions>false</trackRevisions>
    </reviewItem>
    <reviewItem>
      <errorID>15c99baa-6a06-4323-9cd8-12107dae7209</errorID>
      <errorWord>、以及</errorWord>
      <group>L1_Punc</group>
      <groupName>标点问题</groupName>
      <ability>L2_Punc_CN</ability>
      <abilityName>标点符号问题</abilityName>
      <candidateList>
        <item>，以及</item>
      </candidateList>
      <explain>连接词前后不宜使用顿号，建议使用逗号。</explain>
      <paraID>59DA32AE</paraID>
      <start>15</start>
      <end>18</end>
      <status>modified</status>
      <modifiedWord>，以及</modifiedWord>
      <trackRevisions>false</trackRevisions>
    </reviewItem>
    <reviewItem>
      <errorID>f8a4075e-4b19-478d-b064-05d95a0c5a8e</errorID>
      <errorWord>;</errorWord>
      <group>L1_Format</group>
      <groupName>格式问题</groupName>
      <ability>L2_HalfPunc_CN</ability>
      <abilityName>全半角问题</abilityName>
      <candidateList>
        <item>；</item>
      </candidateList>
      <explain>文本全半角错误。</explain>
      <paraID>58CA8DA9</paraID>
      <start>25</start>
      <end>26</end>
      <status>modified</status>
      <modifiedWord>；</modifiedWord>
      <trackRevisions>false</trackRevisions>
    </reviewItem>
    <reviewItem>
      <errorID>8361e462-b7ed-4abf-b7cb-6627d07a4c6e</errorID>
      <errorWord>;</errorWord>
      <group>L1_Format</group>
      <groupName>格式问题</groupName>
      <ability>L2_HalfPunc_CN</ability>
      <abilityName>全半角问题</abilityName>
      <candidateList>
        <item>；</item>
      </candidateList>
      <explain>文本全半角错误。</explain>
      <paraID>58CA8DA9</paraID>
      <start>41</start>
      <end>42</end>
      <status>modified</status>
      <modifiedWord>；</modifiedWord>
      <trackRevisions>false</trackRevisions>
    </reviewItem>
    <reviewItem>
      <errorID>130edef2-f572-4c2c-a836-3d3d9cbcc776</errorID>
      <errorWord>;</errorWord>
      <group>L1_Format</group>
      <groupName>格式问题</groupName>
      <ability>L2_HalfPunc_CN</ability>
      <abilityName>全半角问题</abilityName>
      <candidateList>
        <item>；</item>
      </candidateList>
      <explain>文本全半角错误。</explain>
      <paraID>58CA8DA9</paraID>
      <start>53</start>
      <end>54</end>
      <status>modified</status>
      <modifiedWord>；</modifiedWord>
      <trackRevisions>false</trackRevisions>
    </reviewItem>
    <reviewItem>
      <errorID>5cd42774-2da2-4507-91e0-5b7ac8d68254</errorID>
      <errorWord>至少可容纳30人及以上</errorWord>
      <group>L1_Grammar</group>
      <groupName>语法问题</groupName>
      <ability>L2_Grammar</ability>
      <abilityName>语法错误</abilityName>
      <candidateList>
        <item>至少可容纳30人及</item>
      </candidateList>
      <explain>该表达中的“至少可容纳30人及以上”存在语义重复。</explain>
      <paraID>58CA8DA9</paraID>
      <start>106</start>
      <end>117</end>
      <status>ignored</status>
      <modifiedWord/>
      <trackRevisions>false</trackRevisions>
    </reviewItem>
    <reviewItem>
      <errorID>4d51e6b1-b677-413d-b561-b69560ce53aa</errorID>
      <errorWord>WiFi</errorWord>
      <group>L1_Punc</group>
      <groupName>标点问题</groupName>
      <ability>L2_Punc_CN</ability>
      <abilityName>标点符号问题</abilityName>
      <candidateList>
        <item>Wi-Fi</item>
      </candidateList>
      <explain/>
      <paraID>58CA8DA9</paraID>
      <start>151</start>
      <end>156</end>
      <status>modified</status>
      <modifiedWord>Wi-Fi</modifiedWord>
      <trackRevisions>false</trackRevisions>
    </reviewItem>
    <reviewItem>
      <errorID>7bf5c55f-d61b-40ac-8d16-94aac6af80ba</errorID>
      <errorWord>;</errorWord>
      <group>L1_Format</group>
      <groupName>格式问题</groupName>
      <ability>L2_HalfPunc_CN</ability>
      <abilityName>全半角问题</abilityName>
      <candidateList>
        <item>；</item>
      </candidateList>
      <explain>文本全半角错误。</explain>
      <paraID>58CA8DA9</paraID>
      <start>192</start>
      <end>193</end>
      <status>modified</status>
      <modifiedWord>；</modifiedWord>
      <trackRevisions>false</trackRevisions>
    </reviewItem>
    <reviewItem>
      <errorID>d0dae112-a3a7-49e9-bdad-dfda9ca5f586</errorID>
      <errorWord>;</errorWord>
      <group>L1_Format</group>
      <groupName>格式问题</groupName>
      <ability>L2_HalfPunc_CN</ability>
      <abilityName>全半角问题</abilityName>
      <candidateList>
        <item>；</item>
      </candidateList>
      <explain>文本全半角错误。</explain>
      <paraID>58CA8DA9</paraID>
      <start>218</start>
      <end>219</end>
      <status>modified</status>
      <modifiedWord>；</modifiedWord>
      <trackRevisions>false</trackRevisions>
    </reviewItem>
    <reviewItem>
      <errorID>8a21de27-9576-4cec-af98-ddf4d0c94443</errorID>
      <errorWord>;</errorWord>
      <group>L1_Format</group>
      <groupName>格式问题</groupName>
      <ability>L2_HalfPunc_CN</ability>
      <abilityName>全半角问题</abilityName>
      <candidateList>
        <item>；</item>
      </candidateList>
      <explain>文本全半角错误。</explain>
      <paraID>58CA8DA9</paraID>
      <start>305</start>
      <end>306</end>
      <status>modified</status>
      <modifiedWord>；</modifiedWord>
      <trackRevisions>false</trackRevisions>
    </reviewItem>
    <reviewItem>
      <errorID>4fac08ea-e744-4314-ab87-02ea7d5a2e8b</errorID>
      <errorWord>;</errorWord>
      <group>L1_Format</group>
      <groupName>格式问题</groupName>
      <ability>L2_HalfPunc_CN</ability>
      <abilityName>全半角问题</abilityName>
      <candidateList>
        <item>；</item>
      </candidateList>
      <explain>文本全半角错误。</explain>
      <paraID>58CA8DA9</paraID>
      <start>324</start>
      <end>325</end>
      <status>modified</status>
      <modifiedWord>；</modifiedWord>
      <trackRevisions>false</trackRevisions>
    </reviewItem>
    <reviewItem>
      <errorID>a94d7233-f28c-417f-aaeb-ec44fe0e8c77</errorID>
      <errorWord>;</errorWord>
      <group>L1_Format</group>
      <groupName>格式问题</groupName>
      <ability>L2_HalfPunc_CN</ability>
      <abilityName>全半角问题</abilityName>
      <candidateList>
        <item>；</item>
      </candidateList>
      <explain>文本全半角错误。</explain>
      <paraID>58CA8DA9</paraID>
      <start>347</start>
      <end>348</end>
      <status>modified</status>
      <modifiedWord>；</modifiedWord>
      <trackRevisions>false</trackRevisions>
    </reviewItem>
    <reviewItem>
      <errorID>8d0e261f-6a75-40ed-9481-66a7d04959c5</errorID>
      <errorWord>,</errorWord>
      <group>L1_Format</group>
      <groupName>格式问题</groupName>
      <ability>L2_HalfPunc_CN</ability>
      <abilityName>全半角问题</abilityName>
      <candidateList>
        <item>，</item>
      </candidateList>
      <explain>文本全半角错误。</explain>
      <paraID>58CA8DA9</paraID>
      <start>448</start>
      <end>449</end>
      <status>modified</status>
      <modifiedWord>，</modifiedWord>
      <trackRevisions>false</trackRevisions>
    </reviewItem>
    <reviewItem>
      <errorID>c2ba96e0-0c6f-45e8-8c83-12d30a7b533a</errorID>
      <errorWord>;</errorWord>
      <group>L1_Format</group>
      <groupName>格式问题</groupName>
      <ability>L2_HalfPunc_CN</ability>
      <abilityName>全半角问题</abilityName>
      <candidateList>
        <item>；</item>
      </candidateList>
      <explain>文本全半角错误。</explain>
      <paraID>58CA8DA9</paraID>
      <start>457</start>
      <end>458</end>
      <status>modified</status>
      <modifiedWord>；</modifiedWord>
      <trackRevisions>false</trackRevisions>
    </reviewItem>
    <reviewItem>
      <errorID>1ecc6efa-e98d-4a9f-af61-005cdc11be41</errorID>
      <errorWord>(</errorWord>
      <group>L1_Format</group>
      <groupName>格式问题</groupName>
      <ability>L2_HalfPunc_CN</ability>
      <abilityName>全半角问题</abilityName>
      <candidateList>
        <item>（</item>
      </candidateList>
      <explain>文本全半角错误。</explain>
      <paraID>58CA8DA9</paraID>
      <start>469</start>
      <end>470</end>
      <status>modified</status>
      <modifiedWord>（</modifiedWord>
      <trackRevisions>false</trackRevisions>
    </reviewItem>
    <reviewItem>
      <errorID>09e0ef29-f70b-4611-8814-397516bba08e</errorID>
      <errorWord>)</errorWord>
      <group>L1_Format</group>
      <groupName>格式问题</groupName>
      <ability>L2_HalfPunc_CN</ability>
      <abilityName>全半角问题</abilityName>
      <candidateList>
        <item>）</item>
      </candidateList>
      <explain>文本全半角错误。</explain>
      <paraID>58CA8DA9</paraID>
      <start>479</start>
      <end>480</end>
      <status>modified</status>
      <modifiedWord>）</modifiedWord>
      <trackRevisions>false</trackRevisions>
    </reviewItem>
    <reviewItem>
      <errorID>7e019f8a-6acc-4aec-97a2-11b704f01452</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7378F14F</paraID>
      <start>9</start>
      <end>13</end>
      <status>ignored</status>
      <modifiedWord/>
      <trackRevisions>false</trackRevisions>
    </reviewItem>
    <reviewItem>
      <errorID>774203c5-a964-4b76-a292-0ae64c888e76</errorID>
      <errorWord>;</errorWord>
      <group>L1_Format</group>
      <groupName>格式问题</groupName>
      <ability>L2_HalfPunc_CN</ability>
      <abilityName>全半角问题</abilityName>
      <candidateList>
        <item>；</item>
      </candidateList>
      <explain>文本全半角错误。</explain>
      <paraID>37303DD0</paraID>
      <start>46</start>
      <end>47</end>
      <status>modified</status>
      <modifiedWord>；</modifiedWord>
      <trackRevisions>false</trackRevisions>
    </reviewItem>
    <reviewItem>
      <errorID>dfdd8750-be03-4af6-a049-feb8ba50d1b5</errorID>
      <errorWord>；</errorWord>
      <group>L1_Word</group>
      <groupName>字词问题</groupName>
      <ability>L2_Typo</ability>
      <abilityName>字词错误</abilityName>
      <candidateList>
        <item>；在</item>
      </candidateList>
      <explain/>
      <paraID>27942347</paraID>
      <start>28</start>
      <end>30</end>
      <status>modified</status>
      <modifiedWord>；在</modifiedWord>
      <trackRevisions>false</trackRevisions>
    </reviewItem>
    <reviewItem>
      <errorID>cb424e3a-a5d5-4297-8a16-0366271db2f0</errorID>
      <errorWord>,</errorWord>
      <group>L1_Format</group>
      <groupName>格式问题</groupName>
      <ability>L2_HalfPunc_CN</ability>
      <abilityName>全半角问题</abilityName>
      <candidateList>
        <item>，</item>
      </candidateList>
      <explain>文本全半角错误。</explain>
      <paraID>27942347</paraID>
      <start>45</start>
      <end>46</end>
      <status>modified</status>
      <modifiedWord>，</modifiedWord>
      <trackRevisions>false</trackRevisions>
    </reviewItem>
    <reviewItem>
      <errorID>e48fa613-3ea7-4921-b786-0dc0688b3fa4</errorID>
      <errorWord>;</errorWord>
      <group>L1_Format</group>
      <groupName>格式问题</groupName>
      <ability>L2_HalfPunc_CN</ability>
      <abilityName>全半角问题</abilityName>
      <candidateList>
        <item>；</item>
      </candidateList>
      <explain>文本全半角错误。</explain>
      <paraID> 65C6BFE</paraID>
      <start>60</start>
      <end>61</end>
      <status>modified</status>
      <modifiedWord>；</modifiedWord>
      <trackRevisions>false</trackRevisions>
    </reviewItem>
    <reviewItem>
      <errorID>ccba65bb-34f0-4a99-a5dc-e7b63a5f064c</errorID>
      <errorWord>;</errorWord>
      <group>L1_Format</group>
      <groupName>格式问题</groupName>
      <ability>L2_HalfPunc_CN</ability>
      <abilityName>全半角问题</abilityName>
      <candidateList>
        <item>；</item>
      </candidateList>
      <explain>文本全半角错误。</explain>
      <paraID>7A4D8DE8</paraID>
      <start>30</start>
      <end>31</end>
      <status>modified</status>
      <modifiedWord>；</modifiedWord>
      <trackRevisions>false</trackRevisions>
    </reviewItem>
    <reviewItem>
      <errorID>48be5d7e-a2a1-4718-b0d2-df3f79b373c7</errorID>
      <errorWord>;</errorWord>
      <group>L1_Format</group>
      <groupName>格式问题</groupName>
      <ability>L2_HalfPunc_CN</ability>
      <abilityName>全半角问题</abilityName>
      <candidateList>
        <item>；</item>
      </candidateList>
      <explain>文本全半角错误。</explain>
      <paraID> 73C659B</paraID>
      <start>29</start>
      <end>30</end>
      <status>modified</status>
      <modifiedWord>；</modifiedWord>
      <trackRevisions>false</trackRevisions>
    </reviewItem>
    <reviewItem>
      <errorID>b5c6b4bd-5835-40c4-8cee-fe9509d99055</errorID>
      <errorWord>;</errorWord>
      <group>L1_Format</group>
      <groupName>格式问题</groupName>
      <ability>L2_HalfPunc_CN</ability>
      <abilityName>全半角问题</abilityName>
      <candidateList>
        <item>；</item>
      </candidateList>
      <explain>文本全半角错误。</explain>
      <paraID>2E138950</paraID>
      <start>22</start>
      <end>23</end>
      <status>modified</status>
      <modifiedWord>；</modifiedWord>
      <trackRevisions>false</trackRevisions>
    </reviewItem>
    <reviewItem>
      <errorID>82ddb699-6c11-467f-ab0d-93a84550be62</errorID>
      <errorWord>(</errorWord>
      <group>L1_Format</group>
      <groupName>格式问题</groupName>
      <ability>L2_HalfPunc_CN</ability>
      <abilityName>全半角问题</abilityName>
      <candidateList>
        <item>（</item>
      </candidateList>
      <explain>文本全半角错误。</explain>
      <paraID>5D6C5813</paraID>
      <start>4</start>
      <end>5</end>
      <status>modified</status>
      <modifiedWord>（</modifiedWord>
      <trackRevisions>false</trackRevisions>
    </reviewItem>
    <reviewItem>
      <errorID>ecfdd91f-f3db-4a1a-8914-6a95f82dd959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333EB0B0</paraID>
      <start>46</start>
      <end>47</end>
      <status>ignored</status>
      <modifiedWord/>
      <trackRevisions>false</trackRevisions>
    </reviewItem>
    <reviewItem>
      <errorID>704d9330-be66-4b11-98d7-d49782308df3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3A44BAAB</paraID>
      <start>29</start>
      <end>30</end>
      <status>ignored</status>
      <modifiedWord/>
      <trackRevisions>false</trackRevisions>
    </reviewItem>
    <reviewItem>
      <errorID>83ffd9e4-ed68-4453-8322-f11a68d92faf</errorID>
      <errorWord>..</errorWord>
      <group>L1_Punc</group>
      <groupName>标点问题</groupName>
      <ability>L2_Punc_CN</ability>
      <abilityName>标点符号问题</abilityName>
      <candidateList>
        <item>.</item>
      </candidateList>
      <explain/>
      <paraID>17117270</paraID>
      <start>160</start>
      <end>161</end>
      <status>modified</status>
      <modifiedWord>.</modifiedWord>
      <trackRevisions>false</trackRevisions>
    </reviewItem>
    <reviewItem>
      <errorID>17cf4e2b-4419-44f6-9c90-31774abbaded</errorID>
      <errorWord>态</errorWord>
      <group>L1_Word</group>
      <groupName>字词问题</groupName>
      <ability>L2_Typo</ability>
      <abilityName>字词错误</abilityName>
      <candidateList>
        <item>态化</item>
      </candidateList>
      <explain/>
      <paraID>78088C4C</paraID>
      <start>28</start>
      <end>30</end>
      <status>modified</status>
      <modifiedWord>态化</modifiedWord>
      <trackRevisions>false</trackRevisions>
    </reviewItem>
    <reviewItem>
      <errorID>ff4b445e-7d90-40b4-9f82-6c9db76cecfd</errorID>
      <errorWord>数据安全法</errorWord>
      <group>L1_Knowledge</group>
      <groupName>知识性问题</groupName>
      <ability>L2_Knowledge</ability>
      <abilityName>其他知识</abilityName>
      <candidateList>
        <item>中华人民共和国数据安全法</item>
      </candidateList>
      <explain>当前法律法规名称使用简称，请注意是否应当使用全称。</explain>
      <paraID>230B2BBE</paraID>
      <start>32</start>
      <end>44</end>
      <status>modified</status>
      <modifiedWord>中华人民共和国数据安全法</modifiedWord>
      <trackRevisions>false</trackRevisions>
    </reviewItem>
    <reviewItem>
      <errorID>c3921fa3-ddca-4d19-ad86-915a82bec0fc</errorID>
      <errorWord>个人信息保护法</errorWord>
      <group>L1_Knowledge</group>
      <groupName>知识性问题</groupName>
      <ability>L2_Knowledge</ability>
      <abilityName>其他知识</abilityName>
      <candidateList>
        <item>中华人民共和国个人信息保护法</item>
      </candidateList>
      <explain>当前法律法规名称使用简称，请注意是否应当使用全称。</explain>
      <paraID>230B2BBE</paraID>
      <start>46</start>
      <end>60</end>
      <status>modified</status>
      <modifiedWord>中华人民共和国个人信息保护法</modifiedWord>
      <trackRevisions>false</trackRevisions>
    </reviewItem>
    <reviewItem>
      <errorID>3dd53f98-dfcc-4d64-b320-3e2e9b98f58f</errorID>
      <errorWord>》</errorWord>
      <group>L1_Word</group>
      <groupName>字词问题</groupName>
      <ability>L2_Typo</ability>
      <abilityName>字词错误</abilityName>
      <candidateList>
        <item>》等</item>
      </candidateList>
      <explain/>
      <paraID>230B2BBE</paraID>
      <start>60</start>
      <end>61</end>
      <status>ignored</status>
      <modifiedWord/>
      <trackRevisions>false</trackRevisions>
    </reviewItem>
    <reviewItem>
      <errorID>8d399115-d340-4100-bf80-ad7d1924af5a</errorID>
      <errorWord>全年内</errorWord>
      <group>L1_Word</group>
      <groupName>字词问题</groupName>
      <ability>L2_Typo</ability>
      <abilityName>字词错误</abilityName>
      <candidateList>
        <item>全年</item>
      </candidateList>
      <explain/>
      <paraID>2C534338</paraID>
      <start>58</start>
      <end>61</end>
      <status>ignored</status>
      <modifiedWord/>
      <trackRevisions>false</trackRevisions>
    </reviewItem>
    <reviewItem>
      <errorID>ddfd08e4-7bdd-4c55-b2f6-e889ed69e5d9</errorID>
      <errorWord>.</errorWord>
      <group>L1_Format</group>
      <groupName>格式问题</groupName>
      <ability>L2_HalfPunc_CN</ability>
      <abilityName>全半角问题</abilityName>
      <candidateList>
        <item>。</item>
      </candidateList>
      <explain>文本全半角错误。</explain>
      <paraID>3EE0689D</paraID>
      <start>24</start>
      <end>25</end>
      <status>modified</status>
      <modifiedWord>。</modifiedWord>
      <trackRevisions>false</trackRevisions>
    </reviewItem>
    <reviewItem>
      <errorID>6c5237e4-7e3b-4bd7-b487-bfaaa73f84db</errorID>
      <errorWord>、和</errorWord>
      <group>L1_Punc</group>
      <groupName>标点问题</groupName>
      <ability>L2_Punc_CN</ability>
      <abilityName>标点符号问题</abilityName>
      <candidateList>
        <item>和</item>
      </candidateList>
      <explain>“及”“和”“等”连词前不宜使用顿号，建议删除（或使用逗号）。</explain>
      <paraID>64B1D7D7</paraID>
      <start>358</start>
      <end>360</end>
      <status>ignored</status>
      <modifiedWord/>
      <trackRevisions>false</trackRevisions>
    </reviewItem>
    <reviewItem>
      <errorID>475498f8-24f3-4889-a0b8-cceaec9bb452</errorID>
      <errorWord>.</errorWord>
      <group>L1_Format</group>
      <groupName>格式问题</groupName>
      <ability>L2_HalfPunc_CN</ability>
      <abilityName>全半角问题</abilityName>
      <candidateList>
        <item>。</item>
      </candidateList>
      <explain>文本全半角错误。</explain>
      <paraID>64B1D7D7</paraID>
      <start>436</start>
      <end>437</end>
      <status>modified</status>
      <modifiedWord>。</modifiedWord>
      <trackRevisions>false</trackRevisions>
    </reviewItem>
    <reviewItem>
      <errorID>d60209d1-6238-4a08-8dbf-f80de4cc598a</errorID>
      <errorWord>;</errorWord>
      <group>L1_Format</group>
      <groupName>格式问题</groupName>
      <ability>L2_HalfPunc_CN</ability>
      <abilityName>全半角问题</abilityName>
      <candidateList>
        <item>；</item>
      </candidateList>
      <explain>文本全半角错误。</explain>
      <paraID>64B1D7D7</paraID>
      <start>518</start>
      <end>519</end>
      <status>modified</status>
      <modifiedWord>；</modifiedWord>
      <trackRevisions>false</trackRevisions>
    </reviewItem>
    <reviewItem>
      <errorID>c2984994-a66f-430d-ad15-47c689e4c297</errorID>
      <errorWord>、和</errorWord>
      <group>L1_Punc</group>
      <groupName>标点问题</groupName>
      <ability>L2_Punc_CN</ability>
      <abilityName>标点符号问题</abilityName>
      <candidateList>
        <item>和</item>
      </candidateList>
      <explain>“及”“和”“等”连词前不宜使用顿号，建议删除（或使用逗号）。</explain>
      <paraID>64B1D7D7</paraID>
      <start>636</start>
      <end>638</end>
      <status>ignored</status>
      <modifiedWord/>
      <trackRevisions>false</trackRevisions>
    </reviewItem>
    <reviewItem>
      <errorID>358c63b0-e918-4d1b-ba3a-c0647ba50d2d</errorID>
      <errorWord>，]</errorWord>
      <group>L1_Punc</group>
      <groupName>标点问题</groupName>
      <ability>L2_Punc_CN</ability>
      <abilityName>标点符号问题</abilityName>
      <candidateList>
        <item>]</item>
      </candidateList>
      <explain/>
      <paraID> D5EE219</paraID>
      <start>71</start>
      <end>73</end>
      <status>ignored</status>
      <modifiedWord/>
      <trackRevisions>false</trackRevisions>
    </reviewItem>
    <reviewItem>
      <errorID>534c35d9-5af6-4e6e-be2f-3c6a2b313709</errorID>
      <errorWord>（</errorWord>
      <group>L1_Punc</group>
      <groupName>标点问题</groupName>
      <ability>L2_Punc_CN</ability>
      <abilityName>标点符号问题</abilityName>
      <candidateList/>
      <explain>同一形式括号套用。</explain>
      <paraID>29A1CCE2</paraID>
      <start>58</start>
      <end>59</end>
      <status>ignored</status>
      <modifiedWord/>
      <trackRevisions>false</trackRevisions>
    </reviewItem>
    <reviewItem>
      <errorID>535a026b-d053-474b-876d-57c9b7edfd33</errorID>
      <errorWord>）</errorWord>
      <group>L1_Punc</group>
      <groupName>标点问题</groupName>
      <ability>L2_Punc_CN</ability>
      <abilityName>标点符号问题</abilityName>
      <candidateList/>
      <explain>同一形式括号套用。</explain>
      <paraID>29A1CCE2</paraID>
      <start>61</start>
      <end>62</end>
      <status>ignored</status>
      <modifiedWord/>
      <trackRevisions>false</trackRevisions>
    </reviewItem>
    <reviewItem>
      <errorID>66942ccb-dcdf-46f3-bfb7-1f0919293196</errorID>
      <errorWord>（</errorWord>
      <group>L1_Punc</group>
      <groupName>标点问题</groupName>
      <ability>L2_Punc_CN</ability>
      <abilityName>标点符号问题</abilityName>
      <candidateList/>
      <explain>同一形式括号套用。</explain>
      <paraID>29A1CCE2</paraID>
      <start>80</start>
      <end>81</end>
      <status>ignored</status>
      <modifiedWord/>
      <trackRevisions>false</trackRevisions>
    </reviewItem>
    <reviewItem>
      <errorID>b38884db-4d9f-4c44-9611-9c50ab9953f8</errorID>
      <errorWord>）</errorWord>
      <group>L1_Punc</group>
      <groupName>标点问题</groupName>
      <ability>L2_Punc_CN</ability>
      <abilityName>标点符号问题</abilityName>
      <candidateList/>
      <explain>同一形式括号套用。</explain>
      <paraID>29A1CCE2</paraID>
      <start>83</start>
      <end>84</end>
      <status>ignored</status>
      <modifiedWord/>
      <trackRevisions>false</trackRevisions>
    </reviewItem>
    <reviewItem>
      <errorID>6dfe6aac-9863-477a-96e3-6aede3a7957c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41AF9412</paraID>
      <start>0</start>
      <end>2</end>
      <status>modified</status>
      <modifiedWord>1.</modifiedWord>
      <trackRevisions>false</trackRevisions>
    </reviewItem>
    <reviewItem>
      <errorID>77a48901-c1aa-435d-8502-fe6084f53c10</errorID>
      <errorWord>态</errorWord>
      <group>L1_Word</group>
      <groupName>字词问题</groupName>
      <ability>L2_Typo</ability>
      <abilityName>字词错误</abilityName>
      <candidateList>
        <item>态化</item>
      </candidateList>
      <explain/>
      <paraID>2F4BAC41</paraID>
      <start>21</start>
      <end>23</end>
      <status>modified</status>
      <modifiedWord>态化</modifiedWord>
      <trackRevisions>false</trackRevisions>
    </reviewItem>
    <reviewItem>
      <errorID>5aa03878-ee3e-4099-8c64-67b4a9332bf1</errorID>
      <errorWord>数据安全法</errorWord>
      <group>L1_Knowledge</group>
      <groupName>知识性问题</groupName>
      <ability>L2_Knowledge</ability>
      <abilityName>其他知识</abilityName>
      <candidateList>
        <item>中华人民共和国数据安全法</item>
      </candidateList>
      <explain>当前法律法规名称使用简称，请注意是否应当使用全称。</explain>
      <paraID>5C7EF880</paraID>
      <start>32</start>
      <end>44</end>
      <status>modified</status>
      <modifiedWord>中华人民共和国数据安全法</modifiedWord>
      <trackRevisions>false</trackRevisions>
    </reviewItem>
    <reviewItem>
      <errorID>1c269193-53d9-4cd3-9ffb-4abca1488cdd</errorID>
      <errorWord>个人信息保护法</errorWord>
      <group>L1_Knowledge</group>
      <groupName>知识性问题</groupName>
      <ability>L2_Knowledge</ability>
      <abilityName>其他知识</abilityName>
      <candidateList>
        <item>中华人民共和国个人信息保护法</item>
      </candidateList>
      <explain>当前法律法规名称使用简称，请注意是否应当使用全称。</explain>
      <paraID>5C7EF880</paraID>
      <start>46</start>
      <end>60</end>
      <status>modified</status>
      <modifiedWord>中华人民共和国个人信息保护法</modifiedWord>
      <trackRevisions>false</trackRevisions>
    </reviewItem>
    <reviewItem>
      <errorID>3cb58592-723d-4d7a-ab67-66ad939c98a6</errorID>
      <errorWord>》</errorWord>
      <group>L1_Word</group>
      <groupName>字词问题</groupName>
      <ability>L2_Typo</ability>
      <abilityName>字词错误</abilityName>
      <candidateList>
        <item>》等</item>
      </candidateList>
      <explain/>
      <paraID>5C7EF880</paraID>
      <start>60</start>
      <end>61</end>
      <status>ignored</status>
      <modifiedWord/>
      <trackRevisions>false</trackRevisions>
    </reviewItem>
    <reviewItem>
      <errorID>42ab2ea5-412b-46ad-a74b-7e7393b7ff18</errorID>
      <errorWord>未未</errorWord>
      <group>L1_Word</group>
      <groupName>字词问题</groupName>
      <ability>L2_Typo</ability>
      <abilityName>字词错误</abilityName>
      <candidateList>
        <item>未</item>
      </candidateList>
      <explain/>
      <paraID>1A713E40</paraID>
      <start>26</start>
      <end>27</end>
      <status>modified</status>
      <modifiedWord>未</modifiedWord>
      <trackRevisions>false</trackRevisions>
    </reviewItem>
    <reviewItem>
      <errorID>5b40f9e3-3fa1-4d8e-8f77-e698f4dae4a5</errorID>
      <errorWord>态</errorWord>
      <group>L1_Word</group>
      <groupName>字词问题</groupName>
      <ability>L2_Typo</ability>
      <abilityName>字词错误</abilityName>
      <candidateList>
        <item>态化</item>
      </candidateList>
      <explain/>
      <paraID>517BFC9F</paraID>
      <start>21</start>
      <end>23</end>
      <status>modified</status>
      <modifiedWord>态化</modifiedWord>
      <trackRevisions>false</trackRevisions>
    </reviewItem>
    <reviewItem>
      <errorID>c1536970-f36b-45c7-a91a-930476701dbd</errorID>
      <errorWord>，，</errorWord>
      <group>L1_Punc</group>
      <groupName>标点问题</groupName>
      <ability>L2_Punc_CN</ability>
      <abilityName>标点符号问题</abilityName>
      <candidateList>
        <item>，</item>
      </candidateList>
      <explain/>
      <paraID>6FB0581A</paraID>
      <start>35</start>
      <end>36</end>
      <status>modified</status>
      <modifiedWord>，</modifiedWord>
      <trackRevisions>false</trackRevisions>
    </reviewItem>
    <reviewItem>
      <errorID>2797ba19-3992-4592-8bae-786b7e7213fc</errorID>
      <errorWord>数据安全法</errorWord>
      <group>L1_Knowledge</group>
      <groupName>知识性问题</groupName>
      <ability>L2_Knowledge</ability>
      <abilityName>其他知识</abilityName>
      <candidateList>
        <item>中华人民共和国数据安全法</item>
      </candidateList>
      <explain>当前法律法规名称使用简称，请注意是否应当使用全称。</explain>
      <paraID>149B5040</paraID>
      <start>32</start>
      <end>44</end>
      <status>modified</status>
      <modifiedWord>中华人民共和国数据安全法</modifiedWord>
      <trackRevisions>false</trackRevisions>
    </reviewItem>
    <reviewItem>
      <errorID>448bd2b1-b5d3-4f2a-9da3-20cfe71c1033</errorID>
      <errorWord>个人信息保护法</errorWord>
      <group>L1_Knowledge</group>
      <groupName>知识性问题</groupName>
      <ability>L2_Knowledge</ability>
      <abilityName>其他知识</abilityName>
      <candidateList>
        <item>中华人民共和国个人信息保护法</item>
      </candidateList>
      <explain>当前法律法规名称使用简称，请注意是否应当使用全称。</explain>
      <paraID>149B5040</paraID>
      <start>46</start>
      <end>60</end>
      <status>modified</status>
      <modifiedWord>中华人民共和国个人信息保护法</modifiedWord>
      <trackRevisions>false</trackRevisions>
    </reviewItem>
    <reviewItem>
      <errorID>dfc1f5b9-cb06-42d3-afc6-7f4afe0f1e0e</errorID>
      <errorWord>》</errorWord>
      <group>L1_Word</group>
      <groupName>字词问题</groupName>
      <ability>L2_Typo</ability>
      <abilityName>字词错误</abilityName>
      <candidateList>
        <item>》等</item>
      </candidateList>
      <explain/>
      <paraID>149B5040</paraID>
      <start>60</start>
      <end>61</end>
      <status>ignored</status>
      <modifiedWord/>
      <trackRevisions>false</trackRevisions>
    </reviewItem>
    <reviewItem>
      <errorID>0f6f9567-0d53-467f-9570-cb00cad2f5b2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3751F6A2</paraID>
      <start>25</start>
      <end>26</end>
      <status>ignored</status>
      <modifiedWord/>
      <trackRevisions>false</trackRevisions>
    </reviewItem>
    <reviewItem>
      <errorID>63406bd0-42b0-4b45-bdcd-dfa17d2fbbea</errorID>
      <errorWord>(</errorWord>
      <group>L1_Format</group>
      <groupName>格式问题</groupName>
      <ability>L2_HalfPunc_CN</ability>
      <abilityName>全半角问题</abilityName>
      <candidateList>
        <item>（</item>
      </candidateList>
      <explain>文本全半角错误。</explain>
      <paraID>  8DF1BC</paraID>
      <start>11</start>
      <end>12</end>
      <status>modified</status>
      <modifiedWord>（</modifiedWord>
      <trackRevisions>false</trackRevisions>
    </reviewItem>
    <reviewItem>
      <errorID>c3627e07-c29f-45ee-bd74-4a419e384855</errorID>
      <errorWord>)</errorWord>
      <group>L1_Format</group>
      <groupName>格式问题</groupName>
      <ability>L2_HalfPunc_CN</ability>
      <abilityName>全半角问题</abilityName>
      <candidateList>
        <item>）</item>
      </candidateList>
      <explain>文本全半角错误。</explain>
      <paraID>  8DF1BC</paraID>
      <start>22</start>
      <end>23</end>
      <status>modified</status>
      <modifiedWord>）</modifiedWord>
      <trackRevisions>false</trackRevisions>
    </reviewItem>
    <reviewItem>
      <errorID>22a5ce3d-d895-45c5-b5c3-003cb4c5de73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632A1912</paraID>
      <start>8</start>
      <end>9</end>
      <status>ignored</status>
      <modifiedWord/>
      <trackRevisions>false</trackRevisions>
    </reviewItem>
    <reviewItem>
      <errorID>a285bf93-27d8-42f6-8016-9198aaedc5b8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25A194E0</paraID>
      <start>71</start>
      <end>72</end>
      <status>ignored</status>
      <modifiedWord/>
      <trackRevisions>false</trackRevisions>
    </reviewItem>
    <reviewItem>
      <errorID>87a6769b-bbd0-426e-8956-96bf9df87f8e</errorID>
      <errorWord>(</errorWord>
      <group>L1_Format</group>
      <groupName>格式问题</groupName>
      <ability>L2_HalfPunc_CN</ability>
      <abilityName>全半角问题</abilityName>
      <candidateList>
        <item>（</item>
      </candidateList>
      <explain>文本全半角错误。</explain>
      <paraID>34CBE96B</paraID>
      <start>8</start>
      <end>9</end>
      <status>modified</status>
      <modifiedWord>（</modifiedWord>
      <trackRevisions>false</trackRevisions>
    </reviewItem>
    <reviewItem>
      <errorID>69832d97-8f02-4c86-8e74-e607c6e0689c</errorID>
      <errorWord>)</errorWord>
      <group>L1_Format</group>
      <groupName>格式问题</groupName>
      <ability>L2_HalfPunc_CN</ability>
      <abilityName>全半角问题</abilityName>
      <candidateList>
        <item>）</item>
      </candidateList>
      <explain>文本全半角错误。</explain>
      <paraID>34CBE96B</paraID>
      <start>19</start>
      <end>20</end>
      <status>modified</status>
      <modifiedWord>）</modifiedWord>
      <trackRevisions>false</trackRevisions>
    </reviewItem>
    <reviewItem>
      <errorID>454c265e-016c-48f3-9541-4bf2be6f2dca</errorID>
      <errorWord>[2011]300号</errorWord>
      <group>L1_Knowledge</group>
      <groupName>知识性问题</groupName>
      <ability>L2_Knowledge</ability>
      <abilityName>其他知识</abilityName>
      <candidateList>
        <item>〔2011〕300号</item>
      </candidateList>
      <explain>发文字号格式错误。</explain>
      <paraID>4F6392D9</paraID>
      <start>35</start>
      <end>45</end>
      <status>modified</status>
      <modifiedWord>〔2011〕300号</modifiedWord>
      <trackRevisions>false</trackRevisions>
    </reviewItem>
    <reviewItem>
      <errorID>55e2039f-bd0a-453c-a107-e32d06caa076</errorID>
      <errorWord>须</errorWord>
      <group>L1_Word</group>
      <groupName>字词问题</groupName>
      <ability>L2_Typo</ability>
      <abilityName>字词错误</abilityName>
      <candidateList>
        <item>需</item>
      </candidateList>
      <explain>存在发音相同字词的误用。</explain>
      <paraID>4F6392D9</paraID>
      <start>82</start>
      <end>83</end>
      <status>modified</status>
      <modifiedWord>需</modifiedWord>
      <trackRevisions>false</trackRevisions>
    </reviewItem>
    <reviewItem>
      <errorID>90d9b473-778f-4a7c-b7a1-964d18697052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3C568145</paraID>
      <start>0</start>
      <end>2</end>
      <status>modified</status>
      <modifiedWord>1.</modifiedWord>
      <trackRevisions>false</trackRevisions>
    </reviewItem>
    <reviewItem>
      <errorID>095f7da8-136e-4801-ac12-b636d9b60776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5DAA158C</paraID>
      <start>0</start>
      <end>2</end>
      <status>modified</status>
      <modifiedWord>2.</modifiedWord>
      <trackRevisions>false</trackRevisions>
    </reviewItem>
    <reviewItem>
      <errorID>2fe71b2f-ddbf-465d-8f18-ae0f81419f70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5DAA158C</paraID>
      <start>134</start>
      <end>135</end>
      <status>ignored</status>
      <modifiedWord/>
      <trackRevisions>false</trackRevisions>
    </reviewItem>
    <reviewItem>
      <errorID>75368581-eb95-4698-b2b8-6a26a14bd6dd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610981C3</paraID>
      <start>0</start>
      <end>2</end>
      <status>modified</status>
      <modifiedWord>3.</modifiedWord>
      <trackRevisions>false</trackRevisions>
    </reviewItem>
    <reviewItem>
      <errorID>2c05cccb-5f0a-42a4-a06f-237f3290c2c6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44C3F0E1</paraID>
      <start>0</start>
      <end>2</end>
      <status>modified</status>
      <modifiedWord>4.</modifiedWord>
      <trackRevisions>false</trackRevisions>
    </reviewItem>
    <reviewItem>
      <errorID>b57615fa-a460-419f-814a-dd75c312d286</errorID>
      <errorWord>应按</errorWord>
      <group>L1_Word</group>
      <groupName>字词问题</groupName>
      <ability>L2_Typo</ability>
      <abilityName>字词错误</abilityName>
      <candidateList>
        <item>应</item>
      </candidateList>
      <explain/>
      <paraID>44C3F0E1</paraID>
      <start>45</start>
      <end>47</end>
      <status>ignored</status>
      <modifiedWord/>
      <trackRevisions>false</trackRevisions>
    </reviewItem>
    <reviewItem>
      <errorID>55cece4f-41fd-4037-9ab1-f9523307a14b</errorID>
      <errorWord>)</errorWord>
      <group>L1_Format</group>
      <groupName>格式问题</groupName>
      <ability>L2_HalfPunc_CN</ability>
      <abilityName>全半角问题</abilityName>
      <candidateList>
        <item>）</item>
      </candidateList>
      <explain>文本全半角错误。</explain>
      <paraID>44C3F0E1</paraID>
      <start>225</start>
      <end>226</end>
      <status>modified</status>
      <modifiedWord>）</modifiedWord>
      <trackRevisions>false</trackRevisions>
    </reviewItem>
    <reviewItem>
      <errorID>f9d82b28-b5a5-4f85-b8cf-bb463c938bc3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2BFCB5D1</paraID>
      <start>0</start>
      <end>2</end>
      <status>modified</status>
      <modifiedWord>5.</modifiedWord>
      <trackRevisions>false</trackRevisions>
    </reviewItem>
    <reviewItem>
      <errorID>f220337b-81a3-4264-9d90-0f20d5758339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18D7D0BF</paraID>
      <start>0</start>
      <end>2</end>
      <status>modified</status>
      <modifiedWord>6.</modifiedWord>
      <trackRevisions>false</trackRevisions>
    </reviewItem>
    <reviewItem>
      <errorID>3c9136f3-f962-4da5-8143-6e8812887161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2A6FDD3F</paraID>
      <start>0</start>
      <end>2</end>
      <status>modified</status>
      <modifiedWord>7.</modifiedWord>
      <trackRevisions>false</trackRevisions>
    </reviewItem>
    <reviewItem>
      <errorID>252f561b-2095-4846-a58b-347ad9412076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208773A9</paraID>
      <start>0</start>
      <end>2</end>
      <status>modified</status>
      <modifiedWord>8.</modifiedWord>
      <trackRevisions>false</trackRevisions>
    </reviewItem>
    <reviewItem>
      <errorID>afc9f52c-355d-4925-ac23-f88f19b0333e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4765652</paraID>
      <start>0</start>
      <end>2</end>
      <status>modified</status>
      <modifiedWord>1.</modifiedWord>
      <trackRevisions>false</trackRevisions>
    </reviewItem>
    <reviewItem>
      <errorID>75dc7dd1-fa7b-4fbe-ba6b-3c3e7e539128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4ADA3EB6</paraID>
      <start>0</start>
      <end>2</end>
      <status>modified</status>
      <modifiedWord>2.</modifiedWord>
      <trackRevisions>false</trackRevisions>
    </reviewItem>
    <reviewItem>
      <errorID>af371690-2b27-4320-bbae-3d606244f3dc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31A4AB6D</paraID>
      <start>0</start>
      <end>2</end>
      <status>modified</status>
      <modifiedWord>3.</modifiedWord>
      <trackRevisions>false</trackRevisions>
    </reviewItem>
    <reviewItem>
      <errorID>1c2591fc-3c20-40b4-a7cd-ec14f6f8f663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1551503D</paraID>
      <start>0</start>
      <end>2</end>
      <status>modified</status>
      <modifiedWord>4.</modifiedWord>
      <trackRevisions>false</trackRevisions>
    </reviewItem>
    <reviewItem>
      <errorID>7f4d9683-9142-4940-83bc-91a9991b5d3f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6B7FED41</paraID>
      <start>0</start>
      <end>2</end>
      <status>modified</status>
      <modifiedWord>5.</modifiedWord>
      <trackRevisions>false</trackRevisions>
    </reviewItem>
    <reviewItem>
      <errorID>cc8a2f12-4b20-475c-8ee2-eb831453706e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25BDC030</paraID>
      <start>0</start>
      <end>2</end>
      <status>modified</status>
      <modifiedWord>6.</modifiedWord>
      <trackRevisions>false</trackRevisions>
    </reviewItem>
    <reviewItem>
      <errorID>7f460421-004d-4225-bffd-928ca43bd7bb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57E40CED</paraID>
      <start>0</start>
      <end>2</end>
      <status>modified</status>
      <modifiedWord>1.</modifiedWord>
      <trackRevisions>false</trackRevisions>
    </reviewItem>
    <reviewItem>
      <errorID>3417a9f7-d3a8-4ba9-aba4-b56bcde64aca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62D0CBD8</paraID>
      <start>0</start>
      <end>2</end>
      <status>modified</status>
      <modifiedWord>2.</modifiedWord>
      <trackRevisions>false</trackRevisions>
    </reviewItem>
    <reviewItem>
      <errorID>14f5c007-e738-457d-991e-8ee4e2974d7d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7F28FEF2</paraID>
      <start>0</start>
      <end>2</end>
      <status>modified</status>
      <modifiedWord>3.</modifiedWord>
      <trackRevisions>false</trackRevisions>
    </reviewItem>
    <reviewItem>
      <errorID>e5e7c2fc-bb5a-428e-aae3-b43cc5b8dc5a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62C9962E</paraID>
      <start>0</start>
      <end>2</end>
      <status>modified</status>
      <modifiedWord>4.</modifiedWord>
      <trackRevisions>false</trackRevisions>
    </reviewItem>
    <reviewItem>
      <errorID>c9e7abdb-ac9d-46c4-aa11-d497215a066c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6A933DBF</paraID>
      <start>0</start>
      <end>2</end>
      <status>modified</status>
      <modifiedWord>5.</modifiedWord>
      <trackRevisions>false</trackRevisions>
    </reviewItem>
    <reviewItem>
      <errorID>8f7a232a-b1e9-4e0e-94b3-caa1ee8e0a65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2DB4BCD4</paraID>
      <start>0</start>
      <end>2</end>
      <status>modified</status>
      <modifiedWord>6.</modifiedWord>
      <trackRevisions>false</trackRevisions>
    </reviewItem>
    <reviewItem>
      <errorID>e0e12046-fa2e-46ec-854a-c7e3f049dfb8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37F3847D</paraID>
      <start>0</start>
      <end>2</end>
      <status>modified</status>
      <modifiedWord>1.</modifiedWord>
      <trackRevisions>false</trackRevisions>
    </reviewItem>
    <reviewItem>
      <errorID>20a216e3-17e7-478f-a4dd-a575c15a7469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142E76BF</paraID>
      <start>0</start>
      <end>2</end>
      <status>modified</status>
      <modifiedWord>2.</modifiedWord>
      <trackRevisions>false</trackRevisions>
    </reviewItem>
    <reviewItem>
      <errorID>d0d03fe5-8e7c-417b-b800-03137d931b9b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558E2DDD</paraID>
      <start>0</start>
      <end>2</end>
      <status>modified</status>
      <modifiedWord>3.</modifiedWord>
      <trackRevisions>false</trackRevisions>
    </reviewItem>
    <reviewItem>
      <errorID>d883ca0e-f9eb-48a5-ac53-b1680b68f151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4A826521</paraID>
      <start>0</start>
      <end>2</end>
      <status>modified</status>
      <modifiedWord>4.</modifiedWord>
      <trackRevisions>false</trackRevisions>
    </reviewItem>
    <reviewItem>
      <errorID>0fde5fee-ba02-4ca7-acf2-d3c1f6320e40</errorID>
      <errorWord>（</errorWord>
      <group>L1_Punc</group>
      <groupName>标点问题</groupName>
      <ability>L2_Punc_CN</ability>
      <abilityName>标点符号问题</abilityName>
      <candidateList/>
      <explain>同一形式括号套用。</explain>
      <paraID>51FC57A6</paraID>
      <start>42</start>
      <end>43</end>
      <status>ignored</status>
      <modifiedWord/>
      <trackRevisions>false</trackRevisions>
    </reviewItem>
    <reviewItem>
      <errorID>76d86689-1613-447f-8496-284bb979e1c2</errorID>
      <errorWord>）</errorWord>
      <group>L1_Punc</group>
      <groupName>标点问题</groupName>
      <ability>L2_Punc_CN</ability>
      <abilityName>标点符号问题</abilityName>
      <candidateList/>
      <explain>同一形式括号套用。</explain>
      <paraID>51FC57A6</paraID>
      <start>45</start>
      <end>46</end>
      <status>ignored</status>
      <modifiedWord/>
      <trackRevisions>false</trackRevisions>
    </reviewItem>
    <reviewItem>
      <errorID>f231af32-d90f-4931-aa4a-5e02202b21d5</errorID>
      <errorWord>，</errorWord>
      <group>L1_Word</group>
      <groupName>字词问题</groupName>
      <ability>L2_Typo</ability>
      <abilityName>字词错误</abilityName>
      <candidateList>
        <item>，以</item>
      </candidateList>
      <explain/>
      <paraID>51FC57A6</paraID>
      <start>66</start>
      <end>68</end>
      <status>modified</status>
      <modifiedWord>，以</modifiedWord>
      <trackRevisions>false</trackRevisions>
    </reviewItem>
    <reviewItem>
      <errorID>c525cafe-c96e-4547-a580-3bac27ada9a5</errorID>
      <errorWord>生产</errorWord>
      <group>L1_Word</group>
      <groupName>字词问题</groupName>
      <ability>L2_Typo</ability>
      <abilityName>字词错误</abilityName>
      <candidateList>
        <item>生成</item>
      </candidateList>
      <explain/>
      <paraID>21D6940A</paraID>
      <start>45</start>
      <end>47</end>
      <status>modified</status>
      <modifiedWord>生成</modifiedWord>
      <trackRevisions>false</trackRevisions>
    </reviewItem>
    <reviewItem>
      <errorID>b9e44a7d-a2ab-48b2-bdd1-5d5563f05325</errorID>
      <errorWord>（</errorWord>
      <group>L1_Format</group>
      <groupName>格式问题</groupName>
      <ability>L2_HalfPunc_CN</ability>
      <abilityName>全半角问题</abilityName>
      <candidateList>
        <item>(</item>
      </candidateList>
      <explain>文本全半角错误。</explain>
      <paraID>671859EE</paraID>
      <start>4</start>
      <end>5</end>
      <status>modified</status>
      <modifiedWord>(</modifiedWord>
      <trackRevisions>false</trackRevisions>
    </reviewItem>
    <reviewItem>
      <errorID>a1ee80e4-3d75-436e-bdf2-a0913e0192c3</errorID>
      <errorWord>）</errorWord>
      <group>L1_Format</group>
      <groupName>格式问题</groupName>
      <ability>L2_HalfPunc_CN</ability>
      <abilityName>全半角问题</abilityName>
      <candidateList>
        <item>)</item>
      </candidateList>
      <explain>文本全半角错误。</explain>
      <paraID>671859EE</paraID>
      <start>6</start>
      <end>7</end>
      <status>modified</status>
      <modifiedWord>)</modifiedWord>
      <trackRevisions>false</trackRevisions>
    </reviewItem>
    <reviewItem>
      <errorID>e95da9a8-211d-4ed5-a433-a0aa7f51a24e</errorID>
      <errorWord>(</errorWord>
      <group>L1_Format</group>
      <groupName>格式问题</groupName>
      <ability>L2_HalfPunc_CN</ability>
      <abilityName>全半角问题</abilityName>
      <candidateList>
        <item>（</item>
      </candidateList>
      <explain>文本全半角错误。</explain>
      <paraID>5FCF3D7D</paraID>
      <start>13</start>
      <end>14</end>
      <status>modified</status>
      <modifiedWord>（</modifiedWord>
      <trackRevisions>false</trackRevisions>
    </reviewItem>
    <reviewItem>
      <errorID>08909bcb-8669-4846-a279-9cd70cbfd808</errorID>
      <errorWord>)</errorWord>
      <group>L1_Format</group>
      <groupName>格式问题</groupName>
      <ability>L2_HalfPunc_CN</ability>
      <abilityName>全半角问题</abilityName>
      <candidateList>
        <item>）</item>
      </candidateList>
      <explain>文本全半角错误。</explain>
      <paraID>5FCF3D7D</paraID>
      <start>36</start>
      <end>37</end>
      <status>modified</status>
      <modifiedWord>）</modifiedWord>
      <trackRevisions>false</trackRevisions>
    </reviewItem>
    <reviewItem>
      <errorID>9bbc6936-ac87-44b3-bfa1-5c08515a99e5</errorID>
      <errorWord>(</errorWord>
      <group>L1_Format</group>
      <groupName>格式问题</groupName>
      <ability>L2_HalfPunc_CN</ability>
      <abilityName>全半角问题</abilityName>
      <candidateList>
        <item>（</item>
      </candidateList>
      <explain>文本全半角错误。</explain>
      <paraID>5FCF3D7D</paraID>
      <start>46</start>
      <end>47</end>
      <status>modified</status>
      <modifiedWord>（</modifiedWord>
      <trackRevisions>false</trackRevisions>
    </reviewItem>
    <reviewItem>
      <errorID>6eaeb206-b987-40df-b237-43f49736c4ad</errorID>
      <errorWord>)</errorWord>
      <group>L1_Format</group>
      <groupName>格式问题</groupName>
      <ability>L2_HalfPunc_CN</ability>
      <abilityName>全半角问题</abilityName>
      <candidateList>
        <item>）</item>
      </candidateList>
      <explain>文本全半角错误。</explain>
      <paraID>5FCF3D7D</paraID>
      <start>62</start>
      <end>63</end>
      <status>modified</status>
      <modifiedWord>）</modifiedWord>
      <trackRevisions>false</trackRevisions>
    </reviewItem>
    <reviewItem>
      <errorID>e599642c-ed0f-4fc8-9a12-325e1f783cee</errorID>
      <errorWord>(</errorWord>
      <group>L1_Format</group>
      <groupName>格式问题</groupName>
      <ability>L2_HalfPunc_CN</ability>
      <abilityName>全半角问题</abilityName>
      <candidateList>
        <item>（</item>
      </candidateList>
      <explain>文本全半角错误。</explain>
      <paraID>25DDE47D</paraID>
      <start>10</start>
      <end>11</end>
      <status>modified</status>
      <modifiedWord>（</modifiedWord>
      <trackRevisions>false</trackRevisions>
    </reviewItem>
    <reviewItem>
      <errorID>82efc255-18dc-4bd2-ba36-bf06f8113dcc</errorID>
      <errorWord>)</errorWord>
      <group>L1_Format</group>
      <groupName>格式问题</groupName>
      <ability>L2_HalfPunc_CN</ability>
      <abilityName>全半角问题</abilityName>
      <candidateList>
        <item>）</item>
      </candidateList>
      <explain>文本全半角错误。</explain>
      <paraID>25DDE47D</paraID>
      <start>33</start>
      <end>34</end>
      <status>modified</status>
      <modifiedWord>）</modifiedWord>
      <trackRevisions>false</trackRevisions>
    </reviewItem>
    <reviewItem>
      <errorID>b312841b-bf22-4c8c-b868-0d743d4027d8</errorID>
      <errorWord>(</errorWord>
      <group>L1_Format</group>
      <groupName>格式问题</groupName>
      <ability>L2_HalfPunc_CN</ability>
      <abilityName>全半角问题</abilityName>
      <candidateList>
        <item>（</item>
      </candidateList>
      <explain>文本全半角错误。</explain>
      <paraID>25DDE47D</paraID>
      <start>43</start>
      <end>44</end>
      <status>modified</status>
      <modifiedWord>（</modifiedWord>
      <trackRevisions>false</trackRevisions>
    </reviewItem>
    <reviewItem>
      <errorID>bfad8a2e-07d8-4da7-90b1-b7356424ced1</errorID>
      <errorWord>)</errorWord>
      <group>L1_Format</group>
      <groupName>格式问题</groupName>
      <ability>L2_HalfPunc_CN</ability>
      <abilityName>全半角问题</abilityName>
      <candidateList>
        <item>）</item>
      </candidateList>
      <explain>文本全半角错误。</explain>
      <paraID>25DDE47D</paraID>
      <start>59</start>
      <end>60</end>
      <status>modified</status>
      <modifiedWord>）</modifiedWord>
      <trackRevisions>false</trackRevisions>
    </reviewItem>
    <reviewItem>
      <errorID>d6043aff-a8f7-425a-8200-f7a4f0a2b2ea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623920BF</paraID>
      <start>0</start>
      <end>2</end>
      <status>modified</status>
      <modifiedWord>1.</modifiedWord>
      <trackRevisions>false</trackRevisions>
    </reviewItem>
    <reviewItem>
      <errorID>dbe9ba8a-3207-48a5-a137-b6bc47016d16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44AA395F</paraID>
      <start>0</start>
      <end>2</end>
      <status>modified</status>
      <modifiedWord>2.</modifiedWord>
      <trackRevisions>false</trackRevisions>
    </reviewItem>
    <reviewItem>
      <errorID>5a1905e8-d926-4deb-b9c0-c0194666ef57</errorID>
      <errorWord>[2002]1980号</errorWord>
      <group>L1_Knowledge</group>
      <groupName>知识性问题</groupName>
      <ability>L2_Knowledge</ability>
      <abilityName>其他知识</abilityName>
      <candidateList>
        <item>〔2002〕1980号</item>
      </candidateList>
      <explain>发文字号格式错误。</explain>
      <paraID>73662F68</paraID>
      <start>46</start>
      <end>57</end>
      <status>modified</status>
      <modifiedWord>〔2002〕1980号</modifiedWord>
      <trackRevisions>false</trackRevisions>
    </reviewItem>
    <reviewItem>
      <errorID>eae8c42f-fc9e-4bf7-8c2f-aaa549ebab70</errorID>
      <errorWord>[2011]534号</errorWord>
      <group>L1_Knowledge</group>
      <groupName>知识性问题</groupName>
      <ability>L2_Knowledge</ability>
      <abilityName>其他知识</abilityName>
      <candidateList>
        <item>〔2011〕534号</item>
      </candidateList>
      <explain>发文字号格式错误。</explain>
      <paraID>73662F68</paraID>
      <start>101</start>
      <end>111</end>
      <status>modified</status>
      <modifiedWord>〔2011〕534号</modifiedWord>
      <trackRevisions>false</trackRevisions>
    </reviewItem>
    <reviewItem>
      <errorID>e9e00231-dbd2-4182-aaa5-18102ed42b17</errorID>
      <errorWord>(</errorWord>
      <group>L1_Format</group>
      <groupName>格式问题</groupName>
      <ability>L2_HalfPunc_CN</ability>
      <abilityName>全半角问题</abilityName>
      <candidateList>
        <item>（</item>
      </candidateList>
      <explain>文本全半角错误。</explain>
      <paraID>19FB1C60</paraID>
      <start>26</start>
      <end>27</end>
      <status>modified</status>
      <modifiedWord>（</modifiedWord>
      <trackRevisions>false</trackRevisions>
    </reviewItem>
    <reviewItem>
      <errorID>01321e9c-b738-403e-9fc2-235c9a4a47c7</errorID>
      <errorWord>)</errorWord>
      <group>L1_Format</group>
      <groupName>格式问题</groupName>
      <ability>L2_HalfPunc_CN</ability>
      <abilityName>全半角问题</abilityName>
      <candidateList>
        <item>）</item>
      </candidateList>
      <explain>文本全半角错误。</explain>
      <paraID>19FB1C60</paraID>
      <start>43</start>
      <end>44</end>
      <status>modified</status>
      <modifiedWord>）</modifiedWord>
      <trackRevisions>false</trackRevisions>
    </reviewItem>
    <reviewItem>
      <errorID>51f84e98-7bd5-490c-ab9c-0b029de4a7e5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7A36D5B1</paraID>
      <start>22</start>
      <end>25</end>
      <status>ignored</status>
      <modifiedWord/>
      <trackRevisions>false</trackRevisions>
    </reviewItem>
    <reviewItem>
      <errorID>43d37453-fb94-4dcc-9df8-a8b75e00c0e6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7A36D5B1</paraID>
      <start>54</start>
      <end>57</end>
      <status>ignored</status>
      <modifiedWord/>
      <trackRevisions>false</trackRevisions>
    </reviewItem>
    <reviewItem>
      <errorID>7b3aef51-10d1-4cd4-87d3-c935ca6fb8bf</errorID>
      <errorWord>法律、法规</errorWord>
      <group>L1_Word</group>
      <groupName>字词问题</groupName>
      <ability>L2_Typo</ability>
      <abilityName>字词错误</abilityName>
      <candidateList>
        <item>法律法规</item>
      </candidateList>
      <explain/>
      <paraID>7A36D5B1</paraID>
      <start>78</start>
      <end>83</end>
      <status>ignored</status>
      <modifiedWord/>
      <trackRevisions>false</trackRevisions>
    </reviewItem>
    <reviewItem>
      <errorID>ab060ee1-30ba-4138-aa2b-fc77d895d4db</errorID>
      <errorWord>公章的管理规定，用</errorWord>
      <group>L1_Word</group>
      <groupName>字词问题</groupName>
      <ability>L2_Typo</ability>
      <abilityName>字词错误</abilityName>
      <candidateList>
        <item>公章的管理规定，使用</item>
      </candidateList>
      <explain/>
      <paraID>35ADA86C</paraID>
      <start>25</start>
      <end>34</end>
      <status>ignored</status>
      <modifiedWord/>
      <trackRevisions>false</trackRevisions>
    </reviewItem>
    <reviewItem>
      <errorID>24ea9edf-840b-4564-9e41-f13b0d7e997b</errorID>
      <errorWord>（</errorWord>
      <group>L1_Punc</group>
      <groupName>标点问题</groupName>
      <ability>L2_Punc_CN</ability>
      <abilityName>标点符号问题</abilityName>
      <candidateList/>
      <explain>同一形式括号套用。</explain>
      <paraID>35ADA86C</paraID>
      <start>74</start>
      <end>75</end>
      <status>ignored</status>
      <modifiedWord/>
      <trackRevisions>false</trackRevisions>
    </reviewItem>
    <reviewItem>
      <errorID>aa46b03f-5482-4f6f-96b2-22c1673f98c4</errorID>
      <errorWord>）</errorWord>
      <group>L1_Punc</group>
      <groupName>标点问题</groupName>
      <ability>L2_Punc_CN</ability>
      <abilityName>标点符号问题</abilityName>
      <candidateList/>
      <explain>同一形式括号套用。</explain>
      <paraID>35ADA86C</paraID>
      <start>79</start>
      <end>80</end>
      <status>ignored</status>
      <modifiedWord/>
      <trackRevisions>false</trackRevisions>
    </reviewItem>
    <reviewItem>
      <errorID>4fbd29a7-2dd7-4d75-b1e0-f827de302b78</errorID>
      <errorWord>（</errorWord>
      <group>L1_Punc</group>
      <groupName>标点问题</groupName>
      <ability>L2_Punc_CN</ability>
      <abilityName>标点符号问题</abilityName>
      <candidateList/>
      <explain>同一形式括号套用。</explain>
      <paraID>77444CB5</paraID>
      <start>82</start>
      <end>83</end>
      <status>ignored</status>
      <modifiedWord/>
      <trackRevisions>false</trackRevisions>
    </reviewItem>
    <reviewItem>
      <errorID>74168201-e2d1-4441-b58b-8388034e674d</errorID>
      <errorWord>）</errorWord>
      <group>L1_Punc</group>
      <groupName>标点问题</groupName>
      <ability>L2_Punc_CN</ability>
      <abilityName>标点符号问题</abilityName>
      <candidateList/>
      <explain>同一形式括号套用。</explain>
      <paraID>77444CB5</paraID>
      <start>87</start>
      <end>88</end>
      <status>ignored</status>
      <modifiedWord/>
      <trackRevisions>false</trackRevisions>
    </reviewItem>
    <reviewItem>
      <errorID>20c81728-27f6-43b4-adab-599b145edd22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4D0EED4F</paraID>
      <start>51</start>
      <end>54</end>
      <status>ignored</status>
      <modifiedWord/>
      <trackRevisions>false</trackRevisions>
    </reviewItem>
    <reviewItem>
      <errorID>548b35c5-5657-4efd-bd39-11f073ac41fc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4D0EED4F</paraID>
      <start>70</start>
      <end>73</end>
      <status>ignored</status>
      <modifiedWord/>
      <trackRevisions>false</trackRevisions>
    </reviewItem>
    <reviewItem>
      <errorID>7d86e546-c09a-49d5-85ef-2b85d309eb3f</errorID>
      <errorWord>法律、法规</errorWord>
      <group>L1_Word</group>
      <groupName>字词问题</groupName>
      <ability>L2_Typo</ability>
      <abilityName>字词错误</abilityName>
      <candidateList>
        <item>法律法规</item>
      </candidateList>
      <explain/>
      <paraID>50B2C557</paraID>
      <start>25</start>
      <end>30</end>
      <status>ignored</status>
      <modifiedWord/>
      <trackRevisions>false</trackRevisions>
    </reviewItem>
    <reviewItem>
      <errorID>423b1508-7a4f-4211-a16e-e0c251daa681</errorID>
      <errorWord>[2020]46号</errorWord>
      <group>L1_Knowledge</group>
      <groupName>知识性问题</groupName>
      <ability>L2_Knowledge</ability>
      <abilityName>其他知识</abilityName>
      <candidateList>
        <item>〔2020〕46号</item>
      </candidateList>
      <explain>发文字号格式错误。</explain>
      <paraID>6FF14275</paraID>
      <start>26</start>
      <end>35</end>
      <status>modified</status>
      <modifiedWord>〔2020〕46号</modifiedWord>
      <trackRevisions>false</trackRevisions>
    </reviewItem>
    <reviewItem>
      <errorID>1873dd58-4ec7-496f-91f4-3f9f987e433d</errorID>
      <errorWord>第九条、</errorWord>
      <group>L1_Punc</group>
      <groupName>标点问题</groupName>
      <ability>L2_Punc_CN</ability>
      <abilityName>标点符号问题</abilityName>
      <candidateList>
        <item>第九条，</item>
      </candidateList>
      <explain>连接词前后不宜使用顿号，建议使用逗号。</explain>
      <paraID>6FF14275</paraID>
      <start>36</start>
      <end>40</end>
      <status>ignored</status>
      <modifiedWord/>
      <trackRevisions>false</trackRevisions>
    </reviewItem>
    <reviewItem>
      <errorID>369852bc-0616-4d3d-ae41-048d1516d1e6</errorID>
      <errorWord>[2020]46号</errorWord>
      <group>L1_Knowledge</group>
      <groupName>知识性问题</groupName>
      <ability>L2_Knowledge</ability>
      <abilityName>其他知识</abilityName>
      <candidateList>
        <item>〔2020〕46号</item>
      </candidateList>
      <explain>发文字号格式错误。</explain>
      <paraID>7A7D8A44</paraID>
      <start>26</start>
      <end>35</end>
      <status>modified</status>
      <modifiedWord>〔2020〕46号</modifiedWord>
      <trackRevisions>false</trackRevisions>
    </reviewItem>
    <reviewItem>
      <errorID>4b57964f-0d5f-4472-ae70-8718cd6c8013</errorID>
      <errorWord>(</errorWord>
      <group>L1_Format</group>
      <groupName>格式问题</groupName>
      <ability>L2_HalfPunc_CN</ability>
      <abilityName>全半角问题</abilityName>
      <candidateList>
        <item>（</item>
      </candidateList>
      <explain>文本全半角错误。</explain>
      <paraID>1ADC10E4</paraID>
      <start>94</start>
      <end>95</end>
      <status>modified</status>
      <modifiedWord>（</modifiedWord>
      <trackRevisions>false</trackRevisions>
    </reviewItem>
    <reviewItem>
      <errorID>5b0c6aac-086b-46b5-8afc-faa5879463d4</errorID>
      <errorWord>)</errorWord>
      <group>L1_Format</group>
      <groupName>格式问题</groupName>
      <ability>L2_HalfPunc_CN</ability>
      <abilityName>全半角问题</abilityName>
      <candidateList>
        <item>）</item>
      </candidateList>
      <explain>文本全半角错误。</explain>
      <paraID>1ADC10E4</paraID>
      <start>133</start>
      <end>134</end>
      <status>modified</status>
      <modifiedWord>）</modifiedWord>
      <trackRevisions>false</trackRevisions>
    </reviewItem>
    <reviewItem>
      <errorID>c3c438b5-c020-44e4-82f3-b3d827d3265b</errorID>
      <errorWord>操作合</errorWord>
      <group>L1_Word</group>
      <groupName>字词问题</groupName>
      <ability>L2_Typo</ability>
      <abilityName>字词错误</abilityName>
      <candidateList>
        <item>操作台</item>
      </candidateList>
      <explain/>
      <paraID>671DAF87</paraID>
      <start>9</start>
      <end>12</end>
      <status>ignored</status>
      <modifiedWord/>
      <trackRevisions>false</trackRevisions>
    </reviewItem>
    <reviewItem>
      <errorID>5bbb8b60-f048-42f6-b6a8-2a6c705d5870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64E82D5</paraID>
      <start>39</start>
      <end>40</end>
      <status>ignored</status>
      <modifiedWord/>
      <trackRevisions>false</trackRevisions>
    </reviewItem>
    <reviewItem>
      <errorID>1536f6cb-5109-4976-922d-0603450bcc32</errorID>
      <errorWord>详见在</errorWord>
      <group>L1_Word</group>
      <groupName>字词问题</groupName>
      <ability>L2_Typo</ability>
      <abilityName>字词错误</abilityName>
      <candidateList>
        <item>详见</item>
      </candidateList>
      <explain/>
      <paraID> 42CBBF0</paraID>
      <start>0</start>
      <end>3</end>
      <status>ignored</status>
      <modifiedWord/>
      <trackRevisions>false</trackRevisions>
    </reviewItem>
    <reviewItem>
      <errorID>7c6b6d09-cbd4-4572-9969-0bc855e2261f</errorID>
      <errorWord>间</errorWord>
      <group>L1_Word</group>
      <groupName>字词问题</groupName>
      <ability>L2_Typo</ability>
      <abilityName>字词错误</abilityName>
      <candidateList>
        <item>间之</item>
      </candidateList>
      <explain/>
      <paraID>399D293B</paraID>
      <start>47</start>
      <end>48</end>
      <status>ignored</status>
      <modifiedWord/>
      <trackRevisions>false</trackRevisions>
    </reviewItem>
    <reviewItem>
      <errorID>045c9107-a1a8-4507-bae5-af020701eef5</errorID>
      <errorWord>会</errorWord>
      <group>L1_Word</group>
      <groupName>字词问题</groupName>
      <ability>L2_Typo</ability>
      <abilityName>字词错误</abilityName>
      <candidateList>
        <item>会在</item>
      </candidateList>
      <explain/>
      <paraID>468A0C31</paraID>
      <start>13</start>
      <end>14</end>
      <status>ignored</status>
      <modifiedWord/>
      <trackRevisions>false</trackRevisions>
    </reviewItem>
    <reviewItem>
      <errorID>7398ae36-c6f4-41b7-a47a-cbbdeda3acc7</errorID>
      <errorWord>，</errorWord>
      <group>L1_Word</group>
      <groupName>字词问题</groupName>
      <ability>L2_Typo</ability>
      <abilityName>字词错误</abilityName>
      <candidateList>
        <item>，在</item>
      </candidateList>
      <explain/>
      <paraID> EA41755</paraID>
      <start>62</start>
      <end>63</end>
      <status>ignored</status>
      <modifiedWord/>
      <trackRevisions>false</trackRevisions>
    </reviewItem>
    <reviewItem>
      <errorID>473e2fc4-f65a-4876-8452-2ef251f87055</errorID>
      <errorWord>可之一的</errorWord>
      <group>L1_Word</group>
      <groupName>字词问题</groupName>
      <ability>L2_Typo</ability>
      <abilityName>字词错误</abilityName>
      <candidateList>
        <item>可置疑的</item>
      </candidateList>
      <explain/>
      <paraID>5D16AB48</paraID>
      <start>35</start>
      <end>39</end>
      <status>modified</status>
      <modifiedWord>可置疑的</modifiedWord>
      <trackRevisions>false</trackRevisions>
    </reviewItem>
    <reviewItem>
      <errorID>c7e79dac-b0bb-4b62-87a3-0a494c5a7c6d</errorID>
      <errorWord>做出</errorWord>
      <group>L1_Word</group>
      <groupName>字词问题</groupName>
      <ability>L2_Typo</ability>
      <abilityName>字词错误</abilityName>
      <candidateList>
        <item>作出</item>
      </candidateList>
      <explain/>
      <paraID>189E9DD8</paraID>
      <start>109</start>
      <end>111</end>
      <status>modified</status>
      <modifiedWord>作出</modifiedWord>
      <trackRevisions>false</trackRevisions>
    </reviewItem>
    <reviewItem>
      <errorID>5a87d987-d22d-4ebb-848b-0daf46d941fb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37C109ED</paraID>
      <start>19</start>
      <end>20</end>
      <status>ignored</status>
      <modifiedWord/>
      <trackRevisions>false</trackRevisions>
    </reviewItem>
    <reviewItem>
      <errorID>ce88e7cd-72b0-42b2-b69f-8ad0f2e63f4b</errorID>
      <errorWord>晰</errorWord>
      <group>L1_Word</group>
      <groupName>字词问题</groupName>
      <ability>L2_Typo</ability>
      <abilityName>字词错误</abilityName>
      <candidateList>
        <item>晰地</item>
      </candidateList>
      <explain/>
      <paraID>37C109ED</paraID>
      <start>28</start>
      <end>30</end>
      <status>modified</status>
      <modifiedWord>晰地</modifiedWord>
      <trackRevisions>false</trackRevisions>
    </reviewItem>
    <reviewItem>
      <errorID>c1c82ab4-a6ac-4b20-8eed-04379dcafd1e</errorID>
      <errorWord>(</errorWord>
      <group>L1_Format</group>
      <groupName>格式问题</groupName>
      <ability>L2_HalfPunc_CN</ability>
      <abilityName>全半角问题</abilityName>
      <candidateList>
        <item>（</item>
      </candidateList>
      <explain>文本全半角错误。</explain>
      <paraID>2AE1325F</paraID>
      <start>24</start>
      <end>25</end>
      <status>modified</status>
      <modifiedWord>（</modifiedWord>
      <trackRevisions>false</trackRevisions>
    </reviewItem>
    <reviewItem>
      <errorID>0da70756-b050-4302-ab2b-d06e220ecfc0</errorID>
      <errorWord>电请</errorWord>
      <group>L1_Word</group>
      <groupName>字词问题</groupName>
      <ability>L2_Typo</ability>
      <abilityName>字词错误</abilityName>
      <candidateList>
        <item>申请</item>
      </candidateList>
      <explain/>
      <paraID>2AE1325F</paraID>
      <start>91</start>
      <end>93</end>
      <status>modified</status>
      <modifiedWord>申请</modifiedWord>
      <trackRevisions>false</trackRevisions>
    </reviewItem>
    <reviewItem>
      <errorID>bf3dd31d-d168-48dd-bd47-704e8d6acf4c</errorID>
      <errorWord>,</errorWord>
      <group>L1_Format</group>
      <groupName>格式问题</groupName>
      <ability>L2_HalfPunc_CN</ability>
      <abilityName>全半角问题</abilityName>
      <candidateList>
        <item>，</item>
      </candidateList>
      <explain>文本全半角错误。</explain>
      <paraID>69DC5338</paraID>
      <start>148</start>
      <end>149</end>
      <status>modified</status>
      <modifiedWord>，</modifiedWord>
      <trackRevisions>false</trackRevisions>
    </reviewItem>
    <reviewItem>
      <errorID>da7bec66-f5a6-4932-842d-6ffe4138fe77</errorID>
      <errorWord>;</errorWord>
      <group>L1_Format</group>
      <groupName>格式问题</groupName>
      <ability>L2_HalfPunc_CN</ability>
      <abilityName>全半角问题</abilityName>
      <candidateList>
        <item>；</item>
      </candidateList>
      <explain>文本全半角错误。</explain>
      <paraID>515B366D</paraID>
      <start>41</start>
      <end>42</end>
      <status>modified</status>
      <modifiedWord>；</modifiedWord>
      <trackRevisions>false</trackRevisions>
    </reviewItem>
    <reviewItem>
      <errorID>a6b7f462-f75a-4657-937e-530bb1ed9a28</errorID>
      <errorWord>;</errorWord>
      <group>L1_Format</group>
      <groupName>格式问题</groupName>
      <ability>L2_HalfPunc_CN</ability>
      <abilityName>全半角问题</abilityName>
      <candidateList>
        <item>；</item>
      </candidateList>
      <explain>文本全半角错误。</explain>
      <paraID>56C5F4DA</paraID>
      <start>52</start>
      <end>53</end>
      <status>modified</status>
      <modifiedWord>；</modifiedWord>
      <trackRevisions>false</trackRevisions>
    </reviewItem>
    <reviewItem>
      <errorID>cbe88b2d-1bbe-4654-9074-c9c3de759278</errorID>
      <errorWord>法律、法规</errorWord>
      <group>L1_Word</group>
      <groupName>字词问题</groupName>
      <ability>L2_Typo</ability>
      <abilityName>字词错误</abilityName>
      <candidateList>
        <item>法律法规</item>
      </candidateList>
      <explain/>
      <paraID>57A24217</paraID>
      <start>4</start>
      <end>9</end>
      <status>ignored</status>
      <modifiedWord/>
      <trackRevisions>false</trackRevisions>
    </reviewItem>
    <reviewItem>
      <errorID>59fd2f1f-31b8-4d60-94fb-348f4ca325fb</errorID>
      <errorWord>;</errorWord>
      <group>L1_Format</group>
      <groupName>格式问题</groupName>
      <ability>L2_HalfPunc_CN</ability>
      <abilityName>全半角问题</abilityName>
      <candidateList>
        <item>；</item>
      </candidateList>
      <explain>文本全半角错误。</explain>
      <paraID> 24EB525</paraID>
      <start>41</start>
      <end>42</end>
      <status>modified</status>
      <modifiedWord>；</modifiedWord>
      <trackRevisions>false</trackRevisions>
    </reviewItem>
    <reviewItem>
      <errorID>4e4fca91-6e37-4e1a-867e-d6237e1ed099</errorID>
      <errorWord>原则做出结论</errorWord>
      <group>L1_Word</group>
      <groupName>字词问题</groupName>
      <ability>L2_Typo</ability>
      <abilityName>字词错误</abilityName>
      <candidateList>
        <item>原则作出结论</item>
      </candidateList>
      <explain/>
      <paraID>692432F4</paraID>
      <start>114</start>
      <end>120</end>
      <status>modified</status>
      <modifiedWord>原则作出结论</modifiedWord>
      <trackRevisions>false</trackRevisions>
    </reviewItem>
    <reviewItem>
      <errorID>d4462fc8-d467-4409-a335-0b22e9652be9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21E537C3</paraID>
      <start>0</start>
      <end>2</end>
      <status>modified</status>
      <modifiedWord>1.</modifiedWord>
      <trackRevisions>false</trackRevisions>
    </reviewItem>
    <reviewItem>
      <errorID>f4e12727-241a-4c54-bd32-8bb3a1b57ddf</errorID>
      <errorWord>程</errorWord>
      <group>L1_Word</group>
      <groupName>字词问题</groupName>
      <ability>L2_Typo</ability>
      <abilityName>字词错误</abilityName>
      <candidateList>
        <item>程中</item>
      </candidateList>
      <explain/>
      <paraID>32F79B88</paraID>
      <start>25</start>
      <end>27</end>
      <status>modified</status>
      <modifiedWord>程中</modifiedWord>
      <trackRevisions>false</trackRevisions>
    </reviewItem>
    <reviewItem>
      <errorID>71783d09-6fdf-4e58-b1f9-0254420a3937</errorID>
      <errorWord>的</errorWord>
      <group>L1_Word</group>
      <groupName>字词问题</groupName>
      <ability>L2_DDD</ability>
      <abilityName>的地得用法</abilityName>
      <candidateList>
        <item>地</item>
      </candidateList>
      <explain/>
      <paraID>60166E72</paraID>
      <start>63</start>
      <end>64</end>
      <status>modified</status>
      <modifiedWord>地</modifiedWord>
      <trackRevisions>false</trackRevisions>
    </reviewItem>
    <reviewItem>
      <errorID>6d367078-6dfc-4867-a262-0f7d57d16658</errorID>
      <errorWord>，</errorWord>
      <group>L1_Word</group>
      <groupName>字词问题</groupName>
      <ability>L2_Typo</ability>
      <abilityName>字词错误</abilityName>
      <candidateList>
        <item>，具</item>
      </candidateList>
      <explain/>
      <paraID>4D0FFEB2</paraID>
      <start>23</start>
      <end>24</end>
      <status>ignored</status>
      <modifiedWord/>
      <trackRevisions>false</trackRevisions>
    </reviewItem>
    <reviewItem>
      <errorID>134fd2e6-42e2-4acd-98f7-48b008356e61</errorID>
      <errorWord>建立有</errorWord>
      <group>L1_Word</group>
      <groupName>字词问题</groupName>
      <ability>L2_Typo</ability>
      <abilityName>字词错误</abilityName>
      <candidateList>
        <item>建立</item>
      </candidateList>
      <explain/>
      <paraID>2BDB3B5A</paraID>
      <start>38</start>
      <end>40</end>
      <status>modified</status>
      <modifiedWord>建立</modifiedWord>
      <trackRevisions>false</trackRevisions>
    </reviewItem>
    <reviewItem>
      <errorID>e3154482-44a5-40b5-b408-e9dd396d11e1</errorID>
      <errorWord>并</errorWord>
      <group>L1_Word</group>
      <groupName>字词问题</groupName>
      <ability>L2_Typo</ability>
      <abilityName>字词错误</abilityName>
      <candidateList>
        <item>并在</item>
      </candidateList>
      <explain/>
      <paraID>1480B01C</paraID>
      <start>128</start>
      <end>129</end>
      <status>ignored</status>
      <modifiedWord/>
      <trackRevisions>false</trackRevisions>
    </reviewItem>
    <reviewItem>
      <errorID>cb706996-87de-40c2-9f2e-fbf866afec44</errorID>
      <errorWord>；、</errorWord>
      <group>L1_Punc</group>
      <groupName>标点问题</groupName>
      <ability>L2_Punc_CN</ability>
      <abilityName>标点符号问题</abilityName>
      <candidateList>
        <item>；</item>
      </candidateList>
      <explain/>
      <paraID>1C883BE5</paraID>
      <start>46</start>
      <end>47</end>
      <status>modified</status>
      <modifiedWord>；</modifiedWord>
      <trackRevisions>false</trackRevisions>
    </reviewItem>
    <reviewItem>
      <errorID>726f3e07-7b11-4546-8c98-041092df7e40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1D1F115B</paraID>
      <start>13</start>
      <end>16</end>
      <status>ignored</status>
      <modifiedWord/>
      <trackRevisions>false</trackRevisions>
    </reviewItem>
    <reviewItem>
      <errorID>4b2bfd45-acb0-42ea-995b-23bc8813d51a</errorID>
      <errorWord>（</errorWord>
      <group>L1_Format</group>
      <groupName>格式问题</groupName>
      <ability>L2_HalfPunc_CN</ability>
      <abilityName>全半角问题</abilityName>
      <candidateList>
        <item>(</item>
      </candidateList>
      <explain>文本全半角错误。</explain>
      <paraID> BA30A8F</paraID>
      <start>0</start>
      <end>1</end>
      <status>modified</status>
      <modifiedWord>(</modifiedWord>
      <trackRevisions>false</trackRevisions>
    </reviewItem>
    <reviewItem>
      <errorID>4e74eda7-c225-42b6-a601-0b79d5d7d887</errorID>
      <errorWord>）</errorWord>
      <group>L1_Format</group>
      <groupName>格式问题</groupName>
      <ability>L2_HalfPunc_CN</ability>
      <abilityName>全半角问题</abilityName>
      <candidateList>
        <item>)</item>
      </candidateList>
      <explain>文本全半角错误。</explain>
      <paraID> BA30A8F</paraID>
      <start>2</start>
      <end>3</end>
      <status>modified</status>
      <modifiedWord>)</modifiedWord>
      <trackRevisions>false</trackRevisions>
    </reviewItem>
    <reviewItem>
      <errorID>5e9709e7-4162-44be-8fb1-3927d7fd4ac6</errorID>
      <errorWord>（</errorWord>
      <group>L1_Format</group>
      <groupName>格式问题</groupName>
      <ability>L2_HalfPunc_CN</ability>
      <abilityName>全半角问题</abilityName>
      <candidateList>
        <item>(</item>
      </candidateList>
      <explain>文本全半角错误。</explain>
      <paraID> 8D8D663</paraID>
      <start>0</start>
      <end>1</end>
      <status>modified</status>
      <modifiedWord>(</modifiedWord>
      <trackRevisions>false</trackRevisions>
    </reviewItem>
    <reviewItem>
      <errorID>79820406-cb78-4fe9-8d40-7ac0132857e4</errorID>
      <errorWord>）</errorWord>
      <group>L1_Format</group>
      <groupName>格式问题</groupName>
      <ability>L2_HalfPunc_CN</ability>
      <abilityName>全半角问题</abilityName>
      <candidateList>
        <item>)</item>
      </candidateList>
      <explain>文本全半角错误。</explain>
      <paraID> 8D8D663</paraID>
      <start>2</start>
      <end>3</end>
      <status>modified</status>
      <modifiedWord>)</modifiedWord>
      <trackRevisions>false</trackRevisions>
    </reviewItem>
    <reviewItem>
      <errorID>f1aa0def-e0e0-4f97-a2e7-5d5b46505e98</errorID>
      <errorWord>,</errorWord>
      <group>L1_Format</group>
      <groupName>格式问题</groupName>
      <ability>L2_HalfPunc_CN</ability>
      <abilityName>全半角问题</abilityName>
      <candidateList>
        <item>，</item>
      </candidateList>
      <explain>文本全半角错误。</explain>
      <paraID>6C41356E</paraID>
      <start>17</start>
      <end>18</end>
      <status>modified</status>
      <modifiedWord>，</modifiedWord>
      <trackRevisions>false</trackRevisions>
    </reviewItem>
    <reviewItem>
      <errorID>6727343b-2f59-454d-97be-4c893d03334a</errorID>
      <errorWord>,</errorWord>
      <group>L1_Format</group>
      <groupName>格式问题</groupName>
      <ability>L2_HalfPunc_CN</ability>
      <abilityName>全半角问题</abilityName>
      <candidateList>
        <item>，</item>
      </candidateList>
      <explain>文本全半角错误。</explain>
      <paraID>6C41356E</paraID>
      <start>28</start>
      <end>29</end>
      <status>modified</status>
      <modifiedWord>，</modifiedWord>
      <trackRevisions>false</trackRevisions>
    </reviewItem>
    <reviewItem>
      <errorID>af146835-583e-4d6d-b6ed-20481370b2a1</errorID>
      <errorWord>法律、法规</errorWord>
      <group>L1_Word</group>
      <groupName>字词问题</groupName>
      <ability>L2_Typo</ability>
      <abilityName>字词错误</abilityName>
      <candidateList>
        <item>法律法规</item>
      </candidateList>
      <explain/>
      <paraID>6C41356E</paraID>
      <start>85</start>
      <end>90</end>
      <status>ignored</status>
      <modifiedWord/>
      <trackRevisions>false</trackRevisions>
    </reviewItem>
    <reviewItem>
      <errorID>7855f4be-56f9-4bd8-b1dc-a8cf8facb1d0</errorID>
      <errorWord>其它</errorWord>
      <group>L1_Word</group>
      <groupName>字词问题</groupName>
      <ability>L2_Alias</ability>
      <abilityName>也作/曾用词</abilityName>
      <candidateList>
        <item>其他</item>
      </candidateList>
      <explain>词汇[其它]为不规范表述或旧称，其规范书面表述为[其他]。</explain>
      <paraID>287172BC</paraID>
      <start>116</start>
      <end>118</end>
      <status>modified</status>
      <modifiedWord>其他</modifiedWord>
      <trackRevisions>false</trackRevisions>
    </reviewItem>
    <reviewItem>
      <errorID>cf8822c9-6670-4085-96bc-24f94dbc2efc</errorID>
      <errorWord>,</errorWord>
      <group>L1_Format</group>
      <groupName>格式问题</groupName>
      <ability>L2_HalfPunc_CN</ability>
      <abilityName>全半角问题</abilityName>
      <candidateList>
        <item>，</item>
      </candidateList>
      <explain>文本全半角错误。</explain>
      <paraID>63C08748</paraID>
      <start>11</start>
      <end>12</end>
      <status>modified</status>
      <modifiedWord>，</modifiedWord>
      <trackRevisions>false</trackRevisions>
    </reviewItem>
    <reviewItem>
      <errorID>0839cb8e-7338-4c83-afa8-e57f1cef42da</errorID>
      <errorWord>1 合同使用汉语书就</errorWord>
      <group>L1_Word</group>
      <groupName>字词问题</groupName>
      <ability>L2_Typo</ability>
      <abilityName>字词错误</abilityName>
      <candidateList>
        <item>1 合同使用汉语书写</item>
      </candidateList>
      <explain/>
      <paraID>241AFAF3</paraID>
      <start>5</start>
      <end>15</end>
      <status>ignored</status>
      <modifiedWord/>
      <trackRevisions>false</trackRevisions>
    </reviewItem>
    <reviewItem>
      <errorID>932bf585-aa5d-4a72-b6b7-a530529c43b2</errorID>
      <errorWord>工作 日</errorWord>
      <group>L1_Word</group>
      <groupName>字词问题</groupName>
      <ability>L2_Typo</ability>
      <abilityName>字词错误</abilityName>
      <candidateList>
        <item>工作日</item>
      </candidateList>
      <explain/>
      <paraID>56E95500</paraID>
      <start>29</start>
      <end>32</end>
      <status>modified</status>
      <modifiedWord>工作日</modifiedWord>
      <trackRevisions>false</trackRevisions>
    </reviewItem>
    <reviewItem>
      <errorID>e9551bf5-6d3a-4b41-8f7f-2ca818070050</errorID>
      <errorWord>工作 日</errorWord>
      <group>L1_Word</group>
      <groupName>字词问题</groupName>
      <ability>L2_Typo</ability>
      <abilityName>字词错误</abilityName>
      <candidateList>
        <item>工作日</item>
      </candidateList>
      <explain/>
      <paraID>506EBD29</paraID>
      <start>31</start>
      <end>34</end>
      <status>modified</status>
      <modifiedWord>工作日</modifiedWord>
      <trackRevisions>false</trackRevisions>
    </reviewItem>
    <reviewItem>
      <errorID>c9d1d8e3-2b51-4d78-bffb-8ad418b287be</errorID>
      <errorWord>工作 日</errorWord>
      <group>L1_Word</group>
      <groupName>字词问题</groupName>
      <ability>L2_Typo</ability>
      <abilityName>字词错误</abilityName>
      <candidateList>
        <item>工作日</item>
      </candidateList>
      <explain/>
      <paraID>435BB7C5</paraID>
      <start>73</start>
      <end>76</end>
      <status>modified</status>
      <modifiedWord>工作日</modifiedWord>
      <trackRevisions>false</trackRevisions>
    </reviewItem>
    <reviewItem>
      <errorID>ec6e75e9-3369-4883-bfa0-6fdee70d6636</errorID>
      <errorWord>[2019]217号</errorWord>
      <group>L1_Knowledge</group>
      <groupName>知识性问题</groupName>
      <ability>L2_Knowledge</ability>
      <abilityName>其他知识</abilityName>
      <candidateList>
        <item>〔2019〕217号</item>
      </candidateList>
      <explain>发文字号格式错误。</explain>
      <paraID>4BA83C08</paraID>
      <start>35</start>
      <end>45</end>
      <status>modified</status>
      <modifiedWord>〔2019〕217号</modifiedWord>
      <trackRevisions>false</trackRevisions>
    </reviewItem>
    <reviewItem>
      <errorID>7b81f275-7b67-4976-a379-29d9568a64d3</errorID>
      <errorWord>(</errorWord>
      <group>L1_Format</group>
      <groupName>格式问题</groupName>
      <ability>L2_HalfPunc_CN</ability>
      <abilityName>全半角问题</abilityName>
      <candidateList>
        <item>（</item>
      </candidateList>
      <explain>文本全半角错误。</explain>
      <paraID> 4B49954</paraID>
      <start>6</start>
      <end>7</end>
      <status>modified</status>
      <modifiedWord>（</modifiedWord>
      <trackRevisions>false</trackRevisions>
    </reviewItem>
    <reviewItem>
      <errorID>b2a31c7d-0a93-4a72-933a-bea7903567fb</errorID>
      <errorWord>)</errorWord>
      <group>L1_Format</group>
      <groupName>格式问题</groupName>
      <ability>L2_HalfPunc_CN</ability>
      <abilityName>全半角问题</abilityName>
      <candidateList>
        <item>）</item>
      </candidateList>
      <explain>文本全半角错误。</explain>
      <paraID> 4B49954</paraID>
      <start>27</start>
      <end>28</end>
      <status>modified</status>
      <modifiedWord>）</modifiedWord>
      <trackRevisions>false</trackRevisions>
    </reviewItem>
    <reviewItem>
      <errorID>749f592d-7dc7-4543-a22d-4c53fdcaf548</errorID>
      <errorWord>(</errorWord>
      <group>L1_Format</group>
      <groupName>格式问题</groupName>
      <ability>L2_HalfPunc_CN</ability>
      <abilityName>全半角问题</abilityName>
      <candidateList>
        <item>（</item>
      </candidateList>
      <explain>文本全半角错误。</explain>
      <paraID>2CBCBA83</paraID>
      <start>6</start>
      <end>7</end>
      <status>modified</status>
      <modifiedWord>（</modifiedWord>
      <trackRevisions>false</trackRevisions>
    </reviewItem>
    <reviewItem>
      <errorID>4a9a34d0-3910-4886-a89a-38025ce4a21a</errorID>
      <errorWord>)</errorWord>
      <group>L1_Format</group>
      <groupName>格式问题</groupName>
      <ability>L2_HalfPunc_CN</ability>
      <abilityName>全半角问题</abilityName>
      <candidateList>
        <item>）</item>
      </candidateList>
      <explain>文本全半角错误。</explain>
      <paraID>2CBCBA83</paraID>
      <start>27</start>
      <end>28</end>
      <status>modified</status>
      <modifiedWord>）</modifiedWord>
      <trackRevisions>false</trackRevisions>
    </reviewItem>
    <reviewItem>
      <errorID>33aa2740-c444-4a91-8f7c-8c8d54c37c96</errorID>
      <errorWord>(</errorWord>
      <group>L1_Format</group>
      <groupName>格式问题</groupName>
      <ability>L2_HalfPunc_CN</ability>
      <abilityName>全半角问题</abilityName>
      <candidateList>
        <item>（</item>
      </candidateList>
      <explain>文本全半角错误。</explain>
      <paraID> 17E5FBA</paraID>
      <start>20</start>
      <end>21</end>
      <status>modified</status>
      <modifiedWord>（</modifiedWord>
      <trackRevisions>false</trackRevisions>
    </reviewItem>
    <reviewItem>
      <errorID>176f601f-fdec-4fc9-90f1-c218042f8f99</errorID>
      <errorWord>)</errorWord>
      <group>L1_Format</group>
      <groupName>格式问题</groupName>
      <ability>L2_HalfPunc_CN</ability>
      <abilityName>全半角问题</abilityName>
      <candidateList>
        <item>）</item>
      </candidateList>
      <explain>文本全半角错误。</explain>
      <paraID> 17E5FBA</paraID>
      <start>25</start>
      <end>26</end>
      <status>modified</status>
      <modifiedWord>）</modifiedWord>
      <trackRevisions>false</trackRevisions>
    </reviewItem>
    <reviewItem>
      <errorID>9d725515-043e-4b3a-9c3d-f9de5488bee9</errorID>
      <errorWord>(</errorWord>
      <group>L1_Format</group>
      <groupName>格式问题</groupName>
      <ability>L2_HalfPunc_CN</ability>
      <abilityName>全半角问题</abilityName>
      <candidateList>
        <item>（</item>
      </candidateList>
      <explain>文本全半角错误。</explain>
      <paraID> F0D1D60</paraID>
      <start>6</start>
      <end>7</end>
      <status>modified</status>
      <modifiedWord>（</modifiedWord>
      <trackRevisions>false</trackRevisions>
    </reviewItem>
    <reviewItem>
      <errorID>8646f84e-d0cc-414e-84cb-f23fd13a1d4f</errorID>
      <errorWord>)</errorWord>
      <group>L1_Format</group>
      <groupName>格式问题</groupName>
      <ability>L2_HalfPunc_CN</ability>
      <abilityName>全半角问题</abilityName>
      <candidateList>
        <item>）</item>
      </candidateList>
      <explain>文本全半角错误。</explain>
      <paraID> F0D1D60</paraID>
      <start>11</start>
      <end>12</end>
      <status>modified</status>
      <modifiedWord>）</modifiedWord>
      <trackRevisions>false</trackRevisions>
    </reviewItem>
    <reviewItem>
      <errorID>21d3909f-3d00-4662-a916-6f11d110e3bd</errorID>
      <errorWord>(</errorWord>
      <group>L1_Format</group>
      <groupName>格式问题</groupName>
      <ability>L2_HalfPunc_CN</ability>
      <abilityName>全半角问题</abilityName>
      <candidateList>
        <item>（</item>
      </candidateList>
      <explain>文本全半角错误。</explain>
      <paraID>2D8267E8</paraID>
      <start>6</start>
      <end>7</end>
      <status>modified</status>
      <modifiedWord>（</modifiedWord>
      <trackRevisions>false</trackRevisions>
    </reviewItem>
    <reviewItem>
      <errorID>ab82e0fc-92d9-40f0-b4a9-3feb8d0c0930</errorID>
      <errorWord>)</errorWord>
      <group>L1_Format</group>
      <groupName>格式问题</groupName>
      <ability>L2_HalfPunc_CN</ability>
      <abilityName>全半角问题</abilityName>
      <candidateList>
        <item>）</item>
      </candidateList>
      <explain>文本全半角错误。</explain>
      <paraID>2D8267E8</paraID>
      <start>11</start>
      <end>12</end>
      <status>modified</status>
      <modifiedWord>）</modifiedWord>
      <trackRevisions>false</trackRevisions>
    </reviewItem>
    <reviewItem>
      <errorID>e8487a52-0466-41c3-8189-7a1e278d8966</errorID>
      <errorWord>股东大会</errorWord>
      <group>L1_Word</group>
      <groupName>字词问题</groupName>
      <ability>L2_Typo</ability>
      <abilityName>字词错误</abilityName>
      <candidateList>
        <item>股东会</item>
      </candidateList>
      <explain/>
      <paraID>4B204350</paraID>
      <start>113</start>
      <end>117</end>
      <status>ignored</status>
      <modifiedWord/>
      <trackRevisions>false</trackRevisions>
    </reviewItem>
    <reviewItem>
      <errorID>b31e4f90-451c-424c-94b4-58380b050911</errorID>
      <errorWord>(</errorWord>
      <group>L1_Format</group>
      <groupName>格式问题</groupName>
      <ability>L2_HalfPunc_CN</ability>
      <abilityName>全半角问题</abilityName>
      <candidateList>
        <item>（</item>
      </candidateList>
      <explain>文本全半角错误。</explain>
      <paraID>5ACD7774</paraID>
      <start>5</start>
      <end>6</end>
      <status>modified</status>
      <modifiedWord>（</modifiedWord>
      <trackRevisions>false</trackRevisions>
    </reviewItem>
    <reviewItem>
      <errorID>5fa8575f-8eb9-4911-88f6-16d322f630ee</errorID>
      <errorWord>)</errorWord>
      <group>L1_Format</group>
      <groupName>格式问题</groupName>
      <ability>L2_HalfPunc_CN</ability>
      <abilityName>全半角问题</abilityName>
      <candidateList>
        <item>）</item>
      </candidateList>
      <explain>文本全半角错误。</explain>
      <paraID>5ACD7774</paraID>
      <start>10</start>
      <end>11</end>
      <status>modified</status>
      <modifiedWord>）</modifiedWord>
      <trackRevisions>false</trackRevisions>
    </reviewItem>
    <reviewItem>
      <errorID>65e9a5aa-e7dc-450b-a1a8-877ba8d042ea</errorID>
      <errorWord>(</errorWord>
      <group>L1_Format</group>
      <groupName>格式问题</groupName>
      <ability>L2_HalfPunc_CN</ability>
      <abilityName>全半角问题</abilityName>
      <candidateList>
        <item>（</item>
      </candidateList>
      <explain>文本全半角错误。</explain>
      <paraID>4BB7C957</paraID>
      <start>5</start>
      <end>6</end>
      <status>modified</status>
      <modifiedWord>（</modifiedWord>
      <trackRevisions>false</trackRevisions>
    </reviewItem>
    <reviewItem>
      <errorID>5360116f-1a21-443f-9d9a-3ab9ac162f96</errorID>
      <errorWord>)</errorWord>
      <group>L1_Format</group>
      <groupName>格式问题</groupName>
      <ability>L2_HalfPunc_CN</ability>
      <abilityName>全半角问题</abilityName>
      <candidateList>
        <item>）</item>
      </candidateList>
      <explain>文本全半角错误。</explain>
      <paraID>4BB7C957</paraID>
      <start>10</start>
      <end>11</end>
      <status>modified</status>
      <modifiedWord>）</modifiedWord>
      <trackRevisions>false</trackRevisions>
    </reviewItem>
    <reviewItem>
      <errorID>a88a11cc-5951-4051-a450-83a57d27e08b</errorID>
      <errorWord>(</errorWord>
      <group>L1_Format</group>
      <groupName>格式问题</groupName>
      <ability>L2_HalfPunc_CN</ability>
      <abilityName>全半角问题</abilityName>
      <candidateList>
        <item>（</item>
      </candidateList>
      <explain>文本全半角错误。</explain>
      <paraID>456B9969</paraID>
      <start>7</start>
      <end>8</end>
      <status>modified</status>
      <modifiedWord>（</modifiedWord>
      <trackRevisions>false</trackRevisions>
    </reviewItem>
    <reviewItem>
      <errorID>e0a9f0ec-706d-4821-bce1-7cbaa303d6c6</errorID>
      <errorWord>)</errorWord>
      <group>L1_Format</group>
      <groupName>格式问题</groupName>
      <ability>L2_HalfPunc_CN</ability>
      <abilityName>全半角问题</abilityName>
      <candidateList>
        <item>）</item>
      </candidateList>
      <explain>文本全半角错误。</explain>
      <paraID>456B9969</paraID>
      <start>12</start>
      <end>13</end>
      <status>modified</status>
      <modifiedWord>）</modifiedWord>
      <trackRevisions>false</trackRevisions>
    </reviewItem>
    <reviewItem>
      <errorID>383b2136-c760-40e8-8fce-f9320cb03943</errorID>
      <errorWord>(</errorWord>
      <group>L1_Format</group>
      <groupName>格式问题</groupName>
      <ability>L2_HalfPunc_CN</ability>
      <abilityName>全半角问题</abilityName>
      <candidateList>
        <item>（</item>
      </candidateList>
      <explain>文本全半角错误。</explain>
      <paraID> A955E6E</paraID>
      <start>5</start>
      <end>6</end>
      <status>modified</status>
      <modifiedWord>（</modifiedWord>
      <trackRevisions>false</trackRevisions>
    </reviewItem>
    <reviewItem>
      <errorID>856a7f67-af06-44c5-8e27-eec15a85b035</errorID>
      <errorWord>)</errorWord>
      <group>L1_Format</group>
      <groupName>格式问题</groupName>
      <ability>L2_HalfPunc_CN</ability>
      <abilityName>全半角问题</abilityName>
      <candidateList>
        <item>）</item>
      </candidateList>
      <explain>文本全半角错误。</explain>
      <paraID> A955E6E</paraID>
      <start>10</start>
      <end>11</end>
      <status>modified</status>
      <modifiedWord>）</modifiedWord>
      <trackRevisions>false</trackRevisions>
    </reviewItem>
    <reviewItem>
      <errorID>564e3632-2937-4d16-97f7-9faabcc3ac4b</errorID>
      <errorWord>(</errorWord>
      <group>L1_Format</group>
      <groupName>格式问题</groupName>
      <ability>L2_HalfPunc_CN</ability>
      <abilityName>全半角问题</abilityName>
      <candidateList>
        <item>（</item>
      </candidateList>
      <explain>文本全半角错误。</explain>
      <paraID>177C3A10</paraID>
      <start>7</start>
      <end>8</end>
      <status>modified</status>
      <modifiedWord>（</modifiedWord>
      <trackRevisions>false</trackRevisions>
    </reviewItem>
    <reviewItem>
      <errorID>e7017a2a-1794-40d3-906c-2ed0500b12ea</errorID>
      <errorWord>)</errorWord>
      <group>L1_Format</group>
      <groupName>格式问题</groupName>
      <ability>L2_HalfPunc_CN</ability>
      <abilityName>全半角问题</abilityName>
      <candidateList>
        <item>）</item>
      </candidateList>
      <explain>文本全半角错误。</explain>
      <paraID>177C3A10</paraID>
      <start>12</start>
      <end>13</end>
      <status>modified</status>
      <modifiedWord>）</modifiedWord>
      <trackRevisions>false</trackRevisions>
    </reviewItem>
    <reviewItem>
      <errorID>753cd7d7-c06c-48ab-9f66-99438c6c864e</errorID>
      <errorWord>(</errorWord>
      <group>L1_Format</group>
      <groupName>格式问题</groupName>
      <ability>L2_HalfPunc_CN</ability>
      <abilityName>全半角问题</abilityName>
      <candidateList>
        <item>（</item>
      </candidateList>
      <explain>文本全半角错误。</explain>
      <paraID>7F17C698</paraID>
      <start>7</start>
      <end>8</end>
      <status>modified</status>
      <modifiedWord>（</modifiedWord>
      <trackRevisions>false</trackRevisions>
    </reviewItem>
    <reviewItem>
      <errorID>ec73a84f-64f0-4260-b72c-c3c50e9a2603</errorID>
      <errorWord>)</errorWord>
      <group>L1_Format</group>
      <groupName>格式问题</groupName>
      <ability>L2_HalfPunc_CN</ability>
      <abilityName>全半角问题</abilityName>
      <candidateList>
        <item>）</item>
      </candidateList>
      <explain>文本全半角错误。</explain>
      <paraID>7F17C698</paraID>
      <start>12</start>
      <end>13</end>
      <status>modified</status>
      <modifiedWord>）</modifiedWord>
      <trackRevisions>false</trackRevisions>
    </reviewItem>
    <reviewItem>
      <errorID>e374587c-e412-494a-b26a-0134cea4460a</errorID>
      <errorWord>表</errorWord>
      <group>L1_Word</group>
      <groupName>字词问题</groupName>
      <ability>L2_Typo</ability>
      <abilityName>字词错误</abilityName>
      <candidateList>
        <item>表人</item>
      </candidateList>
      <explain/>
      <paraID>6B6D4B11</paraID>
      <start>3</start>
      <end>5</end>
      <status>modified</status>
      <modifiedWord>表人</modifiedWord>
      <trackRevisions>false</trackRevisions>
    </reviewItem>
    <reviewItem>
      <errorID>ef41e6ad-17c1-4a48-8485-3f4b5969af1c</errorID>
      <errorWord>粘帖</errorWord>
      <group>L1_Word</group>
      <groupName>字词问题</groupName>
      <ability>L2_Typo</ability>
      <abilityName>字词错误</abilityName>
      <candidateList>
        <item>粘贴</item>
      </candidateList>
      <explain>存在发音相同字词的误用。</explain>
      <paraID>6B6D4B11</paraID>
      <start>11</start>
      <end>13</end>
      <status>modified</status>
      <modifiedWord>粘贴</modifiedWord>
      <trackRevisions>false</trackRevisions>
    </reviewItem>
    <reviewItem>
      <errorID>d88d3597-2db4-43eb-b768-58ea8fa257ab</errorID>
      <errorWord>......</errorWord>
      <group>L1_Punc</group>
      <groupName>标点问题</groupName>
      <ability>L2_Punc_CN</ability>
      <abilityName>标点符号问题</abilityName>
      <candidateList>
        <item>……</item>
      </candidateList>
      <explain/>
      <paraID>3611A25A</paraID>
      <start>0</start>
      <end>2</end>
      <status>modified</status>
      <modifiedWord>……</modifiedWord>
      <trackRevisions>false</trackRevisions>
    </reviewItem>
    <reviewItem>
      <errorID>b200a606-7ddf-4f56-97f9-d66dfedb0b95</errorID>
      <errorWord>粘帖</errorWord>
      <group>L1_Word</group>
      <groupName>字词问题</groupName>
      <ability>L2_Typo</ability>
      <abilityName>字词错误</abilityName>
      <candidateList>
        <item>粘贴</item>
      </candidateList>
      <explain>存在发音相同字词的误用。</explain>
      <paraID>340BE296</paraID>
      <start>10</start>
      <end>12</end>
      <status>modified</status>
      <modifiedWord>粘贴</modifiedWord>
      <trackRevisions>false</trackRevisions>
    </reviewItem>
    <reviewItem>
      <errorID>9ac9d9d1-ea89-4f49-add2-9d8ed86d8a07</errorID>
      <errorWord>(</errorWord>
      <group>L1_Format</group>
      <groupName>格式问题</groupName>
      <ability>L2_HalfPunc_CN</ability>
      <abilityName>全半角问题</abilityName>
      <candidateList>
        <item>（</item>
      </candidateList>
      <explain>文本全半角错误。</explain>
      <paraID>176CD967</paraID>
      <start>0</start>
      <end>1</end>
      <status>modified</status>
      <modifiedWord>（</modifiedWord>
      <trackRevisions>false</trackRevisions>
    </reviewItem>
    <reviewItem>
      <errorID>a81f2e12-a385-4636-8994-54414447edd3</errorID>
      <errorWord>)</errorWord>
      <group>L1_Format</group>
      <groupName>格式问题</groupName>
      <ability>L2_HalfPunc_CN</ability>
      <abilityName>全半角问题</abilityName>
      <candidateList>
        <item>）</item>
      </candidateList>
      <explain>文本全半角错误。</explain>
      <paraID>176CD967</paraID>
      <start>15</start>
      <end>16</end>
      <status>modified</status>
      <modifiedWord>）</modifiedWord>
      <trackRevisions>false</trackRevisions>
    </reviewItem>
    <reviewItem>
      <errorID>2292fd37-1149-4362-aa6f-816f0af4a197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4BB9BFDC</paraID>
      <start>63</start>
      <end>66</end>
      <status>ignored</status>
      <modifiedWord/>
      <trackRevisions>false</trackRevisions>
    </reviewItem>
    <reviewItem>
      <errorID>9cd6467e-756a-4602-93f1-c822e24e7270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C6AD5F1</paraID>
      <start>36</start>
      <end>39</end>
      <status>ignored</status>
      <modifiedWord/>
      <trackRevisions>false</trackRevisions>
    </reviewItem>
    <reviewItem>
      <errorID>0267418a-3b4e-443b-954a-e36994f8c183</errorID>
      <errorWord>(</errorWord>
      <group>L1_Format</group>
      <groupName>格式问题</groupName>
      <ability>L2_HalfPunc_CN</ability>
      <abilityName>全半角问题</abilityName>
      <candidateList>
        <item>（</item>
      </candidateList>
      <explain>文本全半角错误。</explain>
      <paraID>46BDF386</paraID>
      <start>7</start>
      <end>8</end>
      <status>modified</status>
      <modifiedWord>（</modifiedWord>
      <trackRevisions>false</trackRevisions>
    </reviewItem>
    <reviewItem>
      <errorID>9842b7d6-5614-4ccd-8d6e-1c002336e209</errorID>
      <errorWord>)</errorWord>
      <group>L1_Format</group>
      <groupName>格式问题</groupName>
      <ability>L2_HalfPunc_CN</ability>
      <abilityName>全半角问题</abilityName>
      <candidateList>
        <item>）</item>
      </candidateList>
      <explain>文本全半角错误。</explain>
      <paraID>46BDF386</paraID>
      <start>12</start>
      <end>13</end>
      <status>modified</status>
      <modifiedWord>）</modifiedWord>
      <trackRevisions>false</trackRevisions>
    </reviewItem>
    <reviewItem>
      <errorID>063cdced-6492-4fbe-a8e7-26e73b97a0f8</errorID>
      <errorWord>(</errorWord>
      <group>L1_Format</group>
      <groupName>格式问题</groupName>
      <ability>L2_HalfPunc_CN</ability>
      <abilityName>全半角问题</abilityName>
      <candidateList>
        <item>（</item>
      </candidateList>
      <explain>文本全半角错误。</explain>
      <paraID>69B52999</paraID>
      <start>7</start>
      <end>8</end>
      <status>modified</status>
      <modifiedWord>（</modifiedWord>
      <trackRevisions>false</trackRevisions>
    </reviewItem>
    <reviewItem>
      <errorID>b8a5d020-89bd-41aa-92e4-42aa3ba487ff</errorID>
      <errorWord>)</errorWord>
      <group>L1_Format</group>
      <groupName>格式问题</groupName>
      <ability>L2_HalfPunc_CN</ability>
      <abilityName>全半角问题</abilityName>
      <candidateList>
        <item>）</item>
      </candidateList>
      <explain>文本全半角错误。</explain>
      <paraID>69B52999</paraID>
      <start>12</start>
      <end>13</end>
      <status>modified</status>
      <modifiedWord>）</modifiedWord>
      <trackRevisions>false</trackRevisions>
    </reviewItem>
    <reviewItem>
      <errorID>52929955-be44-4049-b90b-13675e48fe22</errorID>
      <errorWord>:</errorWord>
      <group>L1_Format</group>
      <groupName>格式问题</groupName>
      <ability>L2_HalfPunc_CN</ability>
      <abilityName>全半角问题</abilityName>
      <candidateList>
        <item>：</item>
      </candidateList>
      <explain>文本全半角错误。</explain>
      <paraID>459E65BE</paraID>
      <start>3</start>
      <end>4</end>
      <status>modified</status>
      <modifiedWord>：</modifiedWord>
      <trackRevisions>false</trackRevisions>
    </reviewItem>
    <reviewItem>
      <errorID>2b3915c1-e6cb-4e44-b4c2-e225b97338ea</errorID>
      <errorWord>上述的</errorWord>
      <group>L1_Word</group>
      <groupName>字词问题</groupName>
      <ability>L2_Typo</ability>
      <abilityName>字词错误</abilityName>
      <candidateList>
        <item>上述</item>
      </candidateList>
      <explain/>
      <paraID>3D9B2030</paraID>
      <start>7</start>
      <end>10</end>
      <status>ignored</status>
      <modifiedWord/>
      <trackRevisions>false</trackRevisions>
    </reviewItem>
    <reviewItem>
      <errorID>2564338f-b84c-4239-b7c8-35cf6cd6148f</errorID>
      <errorWord>(</errorWord>
      <group>L1_Format</group>
      <groupName>格式问题</groupName>
      <ability>L2_HalfPunc_CN</ability>
      <abilityName>全半角问题</abilityName>
      <candidateList>
        <item>（</item>
      </candidateList>
      <explain>文本全半角错误。</explain>
      <paraID>4BF5D341</paraID>
      <start>6</start>
      <end>7</end>
      <status>modified</status>
      <modifiedWord>（</modifiedWord>
      <trackRevisions>false</trackRevisions>
    </reviewItem>
    <reviewItem>
      <errorID>6b4e1bf4-4442-440c-8fc5-94a2f402c8dd</errorID>
      <errorWord>)</errorWord>
      <group>L1_Format</group>
      <groupName>格式问题</groupName>
      <ability>L2_HalfPunc_CN</ability>
      <abilityName>全半角问题</abilityName>
      <candidateList>
        <item>）</item>
      </candidateList>
      <explain>文本全半角错误。</explain>
      <paraID>4BF5D341</paraID>
      <start>11</start>
      <end>12</end>
      <status>modified</status>
      <modifiedWord>）</modifiedWord>
      <trackRevisions>false</trackRevisions>
    </reviewItem>
    <reviewItem>
      <errorID>b56aaffc-ba2c-4969-b737-1d6f31210c03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23AE2369</paraID>
      <start>74</start>
      <end>77</end>
      <status>ignored</status>
      <modifiedWord/>
      <trackRevisions>false</trackRevisions>
    </reviewItem>
    <reviewItem>
      <errorID>a1bbb1e4-a507-4499-9ea3-772d450430b2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6E300D8B</paraID>
      <start>31</start>
      <end>34</end>
      <status>ignored</status>
      <modifiedWord/>
      <trackRevisions>false</trackRevisions>
    </reviewItem>
    <reviewItem>
      <errorID>609be142-8321-4a33-b8b7-2c6ed35bb0e3</errorID>
      <errorWord>(</errorWord>
      <group>L1_Format</group>
      <groupName>格式问题</groupName>
      <ability>L2_HalfPunc_CN</ability>
      <abilityName>全半角问题</abilityName>
      <candidateList>
        <item>（</item>
      </candidateList>
      <explain>文本全半角错误。</explain>
      <paraID>2A3D34CC</paraID>
      <start>5</start>
      <end>6</end>
      <status>modified</status>
      <modifiedWord>（</modifiedWord>
      <trackRevisions>false</trackRevisions>
    </reviewItem>
    <reviewItem>
      <errorID>61a4e64d-611d-49c9-b765-1fc24159e01c</errorID>
      <errorWord>)</errorWord>
      <group>L1_Format</group>
      <groupName>格式问题</groupName>
      <ability>L2_HalfPunc_CN</ability>
      <abilityName>全半角问题</abilityName>
      <candidateList>
        <item>）</item>
      </candidateList>
      <explain>文本全半角错误。</explain>
      <paraID>2A3D34CC</paraID>
      <start>10</start>
      <end>11</end>
      <status>modified</status>
      <modifiedWord>）</modifiedWord>
      <trackRevisions>false</trackRevisions>
    </reviewItem>
    <reviewItem>
      <errorID>5f52f969-3777-4584-92fd-c4291b0d41a5</errorID>
      <errorWord>:</errorWord>
      <group>L1_Format</group>
      <groupName>格式问题</groupName>
      <ability>L2_HalfPunc_CN</ability>
      <abilityName>全半角问题</abilityName>
      <candidateList>
        <item>：</item>
      </candidateList>
      <explain>文本全半角错误。</explain>
      <paraID>29CC711A</paraID>
      <start>3</start>
      <end>4</end>
      <status>modified</status>
      <modifiedWord>：</modifiedWord>
      <trackRevisions>false</trackRevisions>
    </reviewItem>
    <reviewItem>
      <errorID>f09220d0-e174-4f42-99d0-8d2171216284</errorID>
      <errorWord>:</errorWord>
      <group>L1_Format</group>
      <groupName>格式问题</groupName>
      <ability>L2_HalfPunc_CN</ability>
      <abilityName>全半角问题</abilityName>
      <candidateList>
        <item>：</item>
      </candidateList>
      <explain>文本全半角错误。</explain>
      <paraID>4798771A</paraID>
      <start>3</start>
      <end>4</end>
      <status>modified</status>
      <modifiedWord>：</modifiedWord>
      <trackRevisions>false</trackRevisions>
    </reviewItem>
    <reviewItem>
      <errorID>d3b4fde8-bb48-42df-b50d-818beabd8ae8</errorID>
      <errorWord>(</errorWord>
      <group>L1_Format</group>
      <groupName>格式问题</groupName>
      <ability>L2_HalfPunc_CN</ability>
      <abilityName>全半角问题</abilityName>
      <candidateList>
        <item>（</item>
      </candidateList>
      <explain>文本全半角错误。</explain>
      <paraID>37CE788E</paraID>
      <start>0</start>
      <end>1</end>
      <status>modified</status>
      <modifiedWord>（</modifiedWord>
      <trackRevisions>false</trackRevisions>
    </reviewItem>
    <reviewItem>
      <errorID>b5560131-04f0-4860-9528-5d1958df64be</errorID>
      <errorWord>)</errorWord>
      <group>L1_Format</group>
      <groupName>格式问题</groupName>
      <ability>L2_HalfPunc_CN</ability>
      <abilityName>全半角问题</abilityName>
      <candidateList>
        <item>）</item>
      </candidateList>
      <explain>文本全半角错误。</explain>
      <paraID>37CE788E</paraID>
      <start>3</start>
      <end>4</end>
      <status>modified</status>
      <modifiedWord>）</modifiedWord>
      <trackRevisions>false</trackRevisions>
    </reviewItem>
    <reviewItem>
      <errorID>83b4f9fe-a1fc-48de-9955-218c7906d846</errorID>
      <errorWord>(</errorWord>
      <group>L1_Format</group>
      <groupName>格式问题</groupName>
      <ability>L2_HalfPunc_CN</ability>
      <abilityName>全半角问题</abilityName>
      <candidateList>
        <item>（</item>
      </candidateList>
      <explain>文本全半角错误。</explain>
      <paraID>4E4E6595</paraID>
      <start>0</start>
      <end>1</end>
      <status>modified</status>
      <modifiedWord>（</modifiedWord>
      <trackRevisions>false</trackRevisions>
    </reviewItem>
    <reviewItem>
      <errorID>3ba8eff7-7dcf-4ea7-976a-0e64dcec048e</errorID>
      <errorWord>)</errorWord>
      <group>L1_Format</group>
      <groupName>格式问题</groupName>
      <ability>L2_HalfPunc_CN</ability>
      <abilityName>全半角问题</abilityName>
      <candidateList>
        <item>）</item>
      </candidateList>
      <explain>文本全半角错误。</explain>
      <paraID>4E4E6595</paraID>
      <start>3</start>
      <end>4</end>
      <status>modified</status>
      <modifiedWord>）</modifiedWord>
      <trackRevisions>false</trackRevisions>
    </reviewItem>
    <reviewItem>
      <errorID>7f203b55-1b3c-40ba-95d2-58f57b6f62b0</errorID>
      <errorWord>(</errorWord>
      <group>L1_Format</group>
      <groupName>格式问题</groupName>
      <ability>L2_HalfPunc_CN</ability>
      <abilityName>全半角问题</abilityName>
      <candidateList>
        <item>（</item>
      </candidateList>
      <explain>文本全半角错误。</explain>
      <paraID>652D7421</paraID>
      <start>0</start>
      <end>1</end>
      <status>modified</status>
      <modifiedWord>（</modifiedWord>
      <trackRevisions>false</trackRevisions>
    </reviewItem>
    <reviewItem>
      <errorID>e1c381fe-925b-4d66-a1e8-7d2975d3c57f</errorID>
      <errorWord>)</errorWord>
      <group>L1_Format</group>
      <groupName>格式问题</groupName>
      <ability>L2_HalfPunc_CN</ability>
      <abilityName>全半角问题</abilityName>
      <candidateList>
        <item>）</item>
      </candidateList>
      <explain>文本全半角错误。</explain>
      <paraID>652D7421</paraID>
      <start>3</start>
      <end>4</end>
      <status>modified</status>
      <modifiedWord>）</modifiedWord>
      <trackRevisions>false</trackRevisions>
    </reviewItem>
    <reviewItem>
      <errorID>ff498681-a688-4d08-90df-f983ecc707ad</errorID>
      <errorWord>(</errorWord>
      <group>L1_Format</group>
      <groupName>格式问题</groupName>
      <ability>L2_HalfPunc_CN</ability>
      <abilityName>全半角问题</abilityName>
      <candidateList>
        <item>（</item>
      </candidateList>
      <explain>文本全半角错误。</explain>
      <paraID>79B7E881</paraID>
      <start>5</start>
      <end>6</end>
      <status>modified</status>
      <modifiedWord>（</modifiedWord>
      <trackRevisions>false</trackRevisions>
    </reviewItem>
    <reviewItem>
      <errorID>147c1b4c-6fd8-4bb4-841b-85eb27c17ff6</errorID>
      <errorWord>)</errorWord>
      <group>L1_Format</group>
      <groupName>格式问题</groupName>
      <ability>L2_HalfPunc_CN</ability>
      <abilityName>全半角问题</abilityName>
      <candidateList>
        <item>）</item>
      </candidateList>
      <explain>文本全半角错误。</explain>
      <paraID>79B7E881</paraID>
      <start>10</start>
      <end>11</end>
      <status>modified</status>
      <modifiedWord>）</modifiedWord>
      <trackRevisions>false</trackRevisions>
    </reviewItem>
    <reviewItem>
      <errorID>4a427d07-ca41-4c88-93ec-4347f0e55776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45CBDE5A</paraID>
      <start>0</start>
      <end>2</end>
      <status>modified</status>
      <modifiedWord>1.</modifiedWord>
      <trackRevisions>false</trackRevisions>
    </reviewItem>
    <reviewItem>
      <errorID>4fca9e8c-53c4-464f-8be1-03791387ec6e</errorID>
      <errorWord>:</errorWord>
      <group>L1_Format</group>
      <groupName>格式问题</groupName>
      <ability>L2_HalfPunc_CN</ability>
      <abilityName>全半角问题</abilityName>
      <candidateList>
        <item>：</item>
      </candidateList>
      <explain>文本全半角错误。</explain>
      <paraID>391DF2A5</paraID>
      <start>3</start>
      <end>4</end>
      <status>modified</status>
      <modifiedWord>：</modifiedWord>
      <trackRevisions>false</trackRevisions>
    </reviewItem>
    <reviewItem>
      <errorID>ba46232e-82ee-447d-8e9b-dcc7f0c90d13</errorID>
      <errorWord>(</errorWord>
      <group>L1_Format</group>
      <groupName>格式问题</groupName>
      <ability>L2_HalfPunc_CN</ability>
      <abilityName>全半角问题</abilityName>
      <candidateList>
        <item>（</item>
      </candidateList>
      <explain>文本全半角错误。</explain>
      <paraID> 62BE1D8</paraID>
      <start>5</start>
      <end>6</end>
      <status>modified</status>
      <modifiedWord>（</modifiedWord>
      <trackRevisions>false</trackRevisions>
    </reviewItem>
    <reviewItem>
      <errorID>ceafc0ff-bff5-46e7-9753-399a97098236</errorID>
      <errorWord>)</errorWord>
      <group>L1_Format</group>
      <groupName>格式问题</groupName>
      <ability>L2_HalfPunc_CN</ability>
      <abilityName>全半角问题</abilityName>
      <candidateList>
        <item>）</item>
      </candidateList>
      <explain>文本全半角错误。</explain>
      <paraID> 62BE1D8</paraID>
      <start>10</start>
      <end>11</end>
      <status>modified</status>
      <modifiedWord>）</modifiedWord>
      <trackRevisions>false</trackRevisions>
    </reviewItem>
    <reviewItem>
      <errorID>57fdfbed-3a98-4849-bff3-40409eb27268</errorID>
      <errorWord>(</errorWord>
      <group>L1_Format</group>
      <groupName>格式问题</groupName>
      <ability>L2_HalfPunc_CN</ability>
      <abilityName>全半角问题</abilityName>
      <candidateList>
        <item>（</item>
      </candidateList>
      <explain>文本全半角错误。</explain>
      <paraID> AB327CD</paraID>
      <start>679</start>
      <end>680</end>
      <status>modified</status>
      <modifiedWord>（</modifiedWord>
      <trackRevisions>false</trackRevisions>
    </reviewItem>
    <reviewItem>
      <errorID>b4734a3e-f6c2-4ae3-a023-88b0c01c7363</errorID>
      <errorWord>)</errorWord>
      <group>L1_Format</group>
      <groupName>格式问题</groupName>
      <ability>L2_HalfPunc_CN</ability>
      <abilityName>全半角问题</abilityName>
      <candidateList>
        <item>）</item>
      </candidateList>
      <explain>文本全半角错误。</explain>
      <paraID> AB327CD</paraID>
      <start>686</start>
      <end>687</end>
      <status>modified</status>
      <modifiedWord>）</modifiedWord>
      <trackRevisions>false</trackRevisions>
    </reviewItem>
    <reviewItem>
      <errorID>d1b21017-20dc-48b3-a196-c3aeb0daf8f2</errorID>
      <errorWord>(</errorWord>
      <group>L1_Format</group>
      <groupName>格式问题</groupName>
      <ability>L2_HalfPunc_CN</ability>
      <abilityName>全半角问题</abilityName>
      <candidateList>
        <item>（</item>
      </candidateList>
      <explain>文本全半角错误。</explain>
      <paraID> AB327CD</paraID>
      <start>698</start>
      <end>699</end>
      <status>modified</status>
      <modifiedWord>（</modifiedWord>
      <trackRevisions>false</trackRevisions>
    </reviewItem>
    <reviewItem>
      <errorID>5588abbc-264a-41c7-b35f-547ceb3651f8</errorID>
      <errorWord>)</errorWord>
      <group>L1_Format</group>
      <groupName>格式问题</groupName>
      <ability>L2_HalfPunc_CN</ability>
      <abilityName>全半角问题</abilityName>
      <candidateList>
        <item>）</item>
      </candidateList>
      <explain>文本全半角错误。</explain>
      <paraID> AB327CD</paraID>
      <start>704</start>
      <end>705</end>
      <status>modified</status>
      <modifiedWord>）</modifiedWord>
      <trackRevisions>false</trackRevisions>
    </reviewItem>
    <reviewItem>
      <errorID>8a8c8821-1d70-4a65-b153-d686e301a7f3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43D1999D</paraID>
      <start>0</start>
      <end>2</end>
      <status>modified</status>
      <modifiedWord>1.</modifiedWord>
      <trackRevisions>false</trackRevisions>
    </reviewItem>
    <reviewItem>
      <errorID>94931213-d0c9-4112-9f96-74ffc63b5ad3</errorID>
      <errorWord>)</errorWord>
      <group>L1_Format</group>
      <groupName>格式问题</groupName>
      <ability>L2_HalfPunc_CN</ability>
      <abilityName>全半角问题</abilityName>
      <candidateList>
        <item>）</item>
      </candidateList>
      <explain>文本全半角错误。</explain>
      <paraID>43D1999D</paraID>
      <start>43</start>
      <end>44</end>
      <status>modified</status>
      <modifiedWord>）</modifiedWord>
      <trackRevisions>false</trackRevisions>
    </reviewItem>
    <reviewItem>
      <errorID>7bc826d7-a996-4648-a10c-981c680192f1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5AFEEB02</paraID>
      <start>0</start>
      <end>2</end>
      <status>modified</status>
      <modifiedWord>2.</modifiedWord>
      <trackRevisions>false</trackRevisions>
    </reviewItem>
    <reviewItem>
      <errorID>0ac1f18f-d2d8-4abc-bbf4-2c0e94dfbc0f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8A96CE</paraID>
      <start>0</start>
      <end>2</end>
      <status>modified</status>
      <modifiedWord>3.</modifiedWord>
      <trackRevisions>false</trackRevisions>
    </reviewItem>
    <reviewItem>
      <errorID>c400c99e-d2ad-4313-bb5c-4305dbeed207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5FC7FF9A</paraID>
      <start>0</start>
      <end>2</end>
      <status>modified</status>
      <modifiedWord>4.</modifiedWord>
      <trackRevisions>false</trackRevisions>
    </reviewItem>
    <reviewItem>
      <errorID>2062bb0e-2899-42cb-8cb7-4527dc11563e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16A59B94</paraID>
      <start>0</start>
      <end>2</end>
      <status>modified</status>
      <modifiedWord>5.</modifiedWord>
      <trackRevisions>false</trackRevisions>
    </reviewItem>
    <reviewItem>
      <errorID>a10061c9-d011-4f7d-bec9-cb536c486731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6A4E3988</paraID>
      <start>0</start>
      <end>2</end>
      <status>modified</status>
      <modifiedWord>6.</modifiedWord>
      <trackRevisions>false</trackRevisions>
    </reviewItem>
    <reviewItem>
      <errorID>62cdca33-55fe-4aa6-a646-77c8f7f47a16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5601FC28</paraID>
      <start>0</start>
      <end>2</end>
      <status>modified</status>
      <modifiedWord>7.</modifiedWord>
      <trackRevisions>false</trackRevisions>
    </reviewItem>
    <reviewItem>
      <errorID>c1f3fefd-0d69-48ae-9761-326abdc9f502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25337DFF</paraID>
      <start>0</start>
      <end>2</end>
      <status>modified</status>
      <modifiedWord>8.</modifiedWord>
      <trackRevisions>false</trackRevisions>
    </reviewItem>
    <reviewItem>
      <errorID>b2566892-6e7d-4585-876d-795af56b231d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437575F4</paraID>
      <start>0</start>
      <end>2</end>
      <status>modified</status>
      <modifiedWord>9.</modifiedWord>
      <trackRevisions>false</trackRevisions>
    </reviewItem>
    <reviewItem>
      <errorID>6c151625-100b-4bbf-87e3-5c94e4af8e79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222F0B08</paraID>
      <start>0</start>
      <end>3</end>
      <status>modified</status>
      <modifiedWord>10.</modifiedWord>
      <trackRevisions>false</trackRevisions>
    </reviewItem>
    <reviewItem>
      <errorID>ea5b27c5-8289-45d9-a129-dc28eaddbd4f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47016AC6</paraID>
      <start>0</start>
      <end>3</end>
      <status>modified</status>
      <modifiedWord>11.</modifiedWord>
      <trackRevisions>false</trackRevisions>
    </reviewItem>
    <reviewItem>
      <errorID>e26d274b-3843-4e20-aaa6-228d9d4fd289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1C69FE7C</paraID>
      <start>0</start>
      <end>3</end>
      <status>modified</status>
      <modifiedWord>12.</modifiedWord>
      <trackRevisions>false</trackRevisions>
    </reviewItem>
    <reviewItem>
      <errorID>fb73d41b-fedb-4f7b-be50-922f494bff66</errorID>
      <errorWord>(</errorWord>
      <group>L1_Format</group>
      <groupName>格式问题</groupName>
      <ability>L2_HalfPunc_CN</ability>
      <abilityName>全半角问题</abilityName>
      <candidateList>
        <item>（</item>
      </candidateList>
      <explain>文本全半角错误。</explain>
      <paraID>562CCF19</paraID>
      <start>5</start>
      <end>6</end>
      <status>modified</status>
      <modifiedWord>（</modifiedWord>
      <trackRevisions>false</trackRevisions>
    </reviewItem>
    <reviewItem>
      <errorID>f827f850-789c-4de3-acab-1236c0dfe3be</errorID>
      <errorWord>)</errorWord>
      <group>L1_Format</group>
      <groupName>格式问题</groupName>
      <ability>L2_HalfPunc_CN</ability>
      <abilityName>全半角问题</abilityName>
      <candidateList>
        <item>）</item>
      </candidateList>
      <explain>文本全半角错误。</explain>
      <paraID>562CCF19</paraID>
      <start>10</start>
      <end>11</end>
      <status>modified</status>
      <modifiedWord>）</modifiedWord>
      <trackRevisions>false</trackRevisions>
    </reviewItem>
    <reviewItem>
      <errorID>95af63c3-370c-4af3-92b6-d8fab14720ac</errorID>
      <errorWord>(</errorWord>
      <group>L1_Format</group>
      <groupName>格式问题</groupName>
      <ability>L2_HalfPunc_CN</ability>
      <abilityName>全半角问题</abilityName>
      <candidateList>
        <item>（</item>
      </candidateList>
      <explain>文本全半角错误。</explain>
      <paraID>28D7B1EE</paraID>
      <start>7</start>
      <end>8</end>
      <status>modified</status>
      <modifiedWord>（</modifiedWord>
      <trackRevisions>false</trackRevisions>
    </reviewItem>
    <reviewItem>
      <errorID>990b34c8-9443-46f5-bf9f-522d031cfee8</errorID>
      <errorWord>)</errorWord>
      <group>L1_Format</group>
      <groupName>格式问题</groupName>
      <ability>L2_HalfPunc_CN</ability>
      <abilityName>全半角问题</abilityName>
      <candidateList>
        <item>）</item>
      </candidateList>
      <explain>文本全半角错误。</explain>
      <paraID>28D7B1EE</paraID>
      <start>16</start>
      <end>17</end>
      <status>modified</status>
      <modifiedWord>）</modifiedWord>
      <trackRevisions>false</trackRevisions>
    </reviewItem>
    <reviewItem>
      <errorID>17cbc929-0792-4bd4-b2d9-f573d9221554</errorID>
      <errorWord>（</errorWord>
      <group>L1_Punc</group>
      <groupName>标点问题</groupName>
      <ability>L2_Punc_CN</ability>
      <abilityName>标点符号问题</abilityName>
      <candidateList/>
      <explain>同一形式括号套用。</explain>
      <paraID>4209510D</paraID>
      <start>42</start>
      <end>43</end>
      <status>ignored</status>
      <modifiedWord/>
      <trackRevisions>false</trackRevisions>
    </reviewItem>
    <reviewItem>
      <errorID>a51024b4-b47d-4b24-bb20-e38a0d1428b4</errorID>
      <errorWord>）</errorWord>
      <group>L1_Punc</group>
      <groupName>标点问题</groupName>
      <ability>L2_Punc_CN</ability>
      <abilityName>标点符号问题</abilityName>
      <candidateList/>
      <explain>同一形式括号套用。</explain>
      <paraID>4209510D</paraID>
      <start>45</start>
      <end>46</end>
      <status>ignored</status>
      <modifiedWord/>
      <trackRevisions>false</trackRevisions>
    </reviewItem>
    <reviewItem>
      <errorID>b0027f97-e066-48be-98a1-e4e6469a0758</errorID>
      <errorWord>，</errorWord>
      <group>L1_Word</group>
      <groupName>字词问题</groupName>
      <ability>L2_Typo</ability>
      <abilityName>字词错误</abilityName>
      <candidateList>
        <item>，以</item>
      </candidateList>
      <explain/>
      <paraID>4209510D</paraID>
      <start>66</start>
      <end>68</end>
      <status>modified</status>
      <modifiedWord>，以</modifiedWord>
      <trackRevisions>false</trackRevisions>
    </reviewItem>
    <reviewItem>
      <errorID>8f472a52-c8a4-412b-ab34-d0e172b0145b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3DDD4E47</paraID>
      <start>0</start>
      <end>2</end>
      <status>modified</status>
      <modifiedWord>1.</modifiedWord>
      <trackRevisions>false</trackRevisions>
    </reviewItem>
    <reviewItem>
      <errorID>f56b7e47-60a5-472d-8549-1824135b4878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6E10D25B</paraID>
      <start>0</start>
      <end>2</end>
      <status>modified</status>
      <modifiedWord>2.</modifiedWord>
      <trackRevisions>false</trackRevisions>
    </reviewItem>
    <reviewItem>
      <errorID>48825541-4a58-4cb1-b38b-e0df82fa2885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1662E1BA</paraID>
      <start>0</start>
      <end>2</end>
      <status>modified</status>
      <modifiedWord>3.</modifiedWord>
      <trackRevisions>false</trackRevisions>
    </reviewItem>
    <reviewItem>
      <errorID>b3f4eb5f-f809-4dad-84e1-80b2fef3e02e</errorID>
      <errorWord>，</errorWord>
      <group>L1_Word</group>
      <groupName>字词问题</groupName>
      <ability>L2_Typo</ability>
      <abilityName>字词错误</abilityName>
      <candidateList>
        <item>，将</item>
      </candidateList>
      <explain/>
      <paraID>1662E1BA</paraID>
      <start>75</start>
      <end>76</end>
      <status>ignored</status>
      <modifiedWord/>
      <trackRevisions>false</trackRevisions>
    </reviewItem>
    <reviewItem>
      <errorID>3f85c65b-3879-4f98-9717-285f5a8dbec1</errorID>
      <errorWord>(</errorWord>
      <group>L1_Format</group>
      <groupName>格式问题</groupName>
      <ability>L2_HalfPunc_CN</ability>
      <abilityName>全半角问题</abilityName>
      <candidateList>
        <item>（</item>
      </candidateList>
      <explain>文本全半角错误。</explain>
      <paraID>704F7A2F</paraID>
      <start>5</start>
      <end>6</end>
      <status>modified</status>
      <modifiedWord>（</modifiedWord>
      <trackRevisions>false</trackRevisions>
    </reviewItem>
    <reviewItem>
      <errorID>c9c66cc4-dd54-4689-b06c-8bd18b00a71e</errorID>
      <errorWord>)</errorWord>
      <group>L1_Format</group>
      <groupName>格式问题</groupName>
      <ability>L2_HalfPunc_CN</ability>
      <abilityName>全半角问题</abilityName>
      <candidateList>
        <item>）</item>
      </candidateList>
      <explain>文本全半角错误。</explain>
      <paraID>704F7A2F</paraID>
      <start>10</start>
      <end>11</end>
      <status>modified</status>
      <modifiedWord>）</modifiedWord>
      <trackRevisions>false</trackRevisions>
    </reviewItem>
    <reviewItem>
      <errorID>dea53ef9-1885-4eec-bbe9-d3ac48115480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75635045</paraID>
      <start>0</start>
      <end>2</end>
      <status>modified</status>
      <modifiedWord>1.</modifiedWord>
      <trackRevisions>false</trackRevisions>
    </reviewItem>
    <reviewItem>
      <errorID>e01ca605-70a0-498b-a3ea-6ad10b4522d9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7E0B5EE0</paraID>
      <start>0</start>
      <end>2</end>
      <status>modified</status>
      <modifiedWord>2.</modifiedWord>
      <trackRevisions>false</trackRevisions>
    </reviewItem>
    <reviewItem>
      <errorID>e45797c0-1af6-4c39-b2b9-c90a98f1a190</errorID>
      <errorWord>(</errorWord>
      <group>L1_Format</group>
      <groupName>格式问题</groupName>
      <ability>L2_HalfPunc_CN</ability>
      <abilityName>全半角问题</abilityName>
      <candidateList>
        <item>（</item>
      </candidateList>
      <explain>文本全半角错误。</explain>
      <paraID> 4263000</paraID>
      <start>5</start>
      <end>6</end>
      <status>modified</status>
      <modifiedWord>（</modifiedWord>
      <trackRevisions>false</trackRevisions>
    </reviewItem>
    <reviewItem>
      <errorID>7884feb5-ced6-4de7-a09e-f88be88fd8da</errorID>
      <errorWord>)</errorWord>
      <group>L1_Format</group>
      <groupName>格式问题</groupName>
      <ability>L2_HalfPunc_CN</ability>
      <abilityName>全半角问题</abilityName>
      <candidateList>
        <item>）</item>
      </candidateList>
      <explain>文本全半角错误。</explain>
      <paraID> 4263000</paraID>
      <start>10</start>
      <end>11</end>
      <status>modified</status>
      <modifiedWord>）</modifiedWord>
      <trackRevisions>false</trackRevisions>
    </reviewItem>
    <reviewItem>
      <errorID>c25519d7-3a58-41f2-a8d3-1cee9682a93f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4FEBFCD6</paraID>
      <start>0</start>
      <end>2</end>
      <status>modified</status>
      <modifiedWord>2.</modifiedWord>
      <trackRevisions>false</trackRevisions>
    </reviewItem>
    <reviewItem>
      <errorID>f28524d2-0fae-4c2d-beae-43d43f3d4c87</errorID>
      <errorWord>(</errorWord>
      <group>L1_Format</group>
      <groupName>格式问题</groupName>
      <ability>L2_HalfPunc_CN</ability>
      <abilityName>全半角问题</abilityName>
      <candidateList>
        <item>（</item>
      </candidateList>
      <explain>文本全半角错误。</explain>
      <paraID>76E910C3</paraID>
      <start>73</start>
      <end>74</end>
      <status>modified</status>
      <modifiedWord>（</modifiedWord>
      <trackRevisions>false</trackRevisions>
    </reviewItem>
    <reviewItem>
      <errorID>d708b238-002d-4ac8-be34-d20f6dba17ed</errorID>
      <errorWord>)</errorWord>
      <group>L1_Format</group>
      <groupName>格式问题</groupName>
      <ability>L2_HalfPunc_CN</ability>
      <abilityName>全半角问题</abilityName>
      <candidateList>
        <item>）</item>
      </candidateList>
      <explain>文本全半角错误。</explain>
      <paraID>76E910C3</paraID>
      <start>78</start>
      <end>79</end>
      <status>modified</status>
      <modifiedWord>）</modifiedWord>
      <trackRevisions>false</trackRevisions>
    </reviewItem>
    <reviewItem>
      <errorID>2cde6798-b482-4338-80d6-6a89772ee6ea</errorID>
      <errorWord>[2014]68号</errorWord>
      <group>L1_Knowledge</group>
      <groupName>知识性问题</groupName>
      <ability>L2_Knowledge</ability>
      <abilityName>其他知识</abilityName>
      <candidateList>
        <item>〔2014〕68号</item>
      </candidateList>
      <explain>发文字号格式错误。</explain>
      <paraID>10D05C0B</paraID>
      <start>116</start>
      <end>125</end>
      <status>modified</status>
      <modifiedWord>〔2014〕68号</modifiedWord>
      <trackRevisions>false</trackRevisions>
    </reviewItem>
    <reviewItem>
      <errorID>2cef52a4-4eed-46df-9add-ed16fe881eb0</errorID>
      <errorWord>项目项目</errorWord>
      <group>L1_Word</group>
      <groupName>字词问题</groupName>
      <ability>L2_Typo</ability>
      <abilityName>字词错误</abilityName>
      <candidateList>
        <item>项目</item>
      </candidateList>
      <explain/>
      <paraID>2BCB0002</paraID>
      <start>35</start>
      <end>37</end>
      <status>modified</status>
      <modifiedWord>项目</modifiedWord>
      <trackRevisions>false</trackRevisions>
    </reviewItem>
    <reviewItem>
      <errorID>7339c40b-9e8f-4699-b404-8e2f5ccf4d3e</errorID>
      <errorWord>法律、法规</errorWord>
      <group>L1_Word</group>
      <groupName>字词问题</groupName>
      <ability>L2_Typo</ability>
      <abilityName>字词错误</abilityName>
      <candidateList>
        <item>法律法规</item>
      </candidateList>
      <explain/>
      <paraID>2BCB0002</paraID>
      <start>53</start>
      <end>58</end>
      <status>ignored</status>
      <modifiedWord/>
      <trackRevisions>false</trackRevisions>
    </reviewItem>
    <reviewItem>
      <errorID>56ed120d-00f7-4b48-b265-80d8b07ed739</errorID>
      <errorWord>法律、法规</errorWord>
      <group>L1_Word</group>
      <groupName>字词问题</groupName>
      <ability>L2_Typo</ability>
      <abilityName>字词错误</abilityName>
      <candidateList>
        <item>法律法规</item>
      </candidateList>
      <explain/>
      <paraID>2BCB0002</paraID>
      <start>130</start>
      <end>135</end>
      <status>ignored</status>
      <modifiedWord/>
      <trackRevisions>false</trackRevisions>
    </reviewItem>
    <reviewItem>
      <errorID>4fea331a-082a-4a3f-8f6e-921778eb78e9</errorID>
      <errorWord>(</errorWord>
      <group>L1_Format</group>
      <groupName>格式问题</groupName>
      <ability>L2_HalfPunc_CN</ability>
      <abilityName>全半角问题</abilityName>
      <candidateList>
        <item>（</item>
      </candidateList>
      <explain>文本全半角错误。</explain>
      <paraID>4BD02117</paraID>
      <start>11</start>
      <end>12</end>
      <status>modified</status>
      <modifiedWord>（</modifiedWord>
      <trackRevisions>false</trackRevisions>
    </reviewItem>
    <reviewItem>
      <errorID>323cfeea-8ece-48f0-acf6-2f2676d7f263</errorID>
      <errorWord>)</errorWord>
      <group>L1_Format</group>
      <groupName>格式问题</groupName>
      <ability>L2_HalfPunc_CN</ability>
      <abilityName>全半角问题</abilityName>
      <candidateList>
        <item>）</item>
      </candidateList>
      <explain>文本全半角错误。</explain>
      <paraID>4BD02117</paraID>
      <start>16</start>
      <end>17</end>
      <status>modified</status>
      <modifiedWord>）</modifiedWord>
      <trackRevisions>false</trackRevisions>
    </reviewItem>
    <reviewItem>
      <errorID>6124f843-9008-41d0-82c8-583b3bf751e6</errorID>
      <errorWord>(</errorWord>
      <group>L1_Format</group>
      <groupName>格式问题</groupName>
      <ability>L2_HalfPunc_CN</ability>
      <abilityName>全半角问题</abilityName>
      <candidateList>
        <item>（</item>
      </candidateList>
      <explain>文本全半角错误。</explain>
      <paraID>5EFA73FD</paraID>
      <start>2</start>
      <end>3</end>
      <status>modified</status>
      <modifiedWord>（</modifiedWord>
      <trackRevisions>false</trackRevisions>
    </reviewItem>
    <reviewItem>
      <errorID>fe39da50-e1b7-4428-a2f5-53a778dbd591</errorID>
      <errorWord>)</errorWord>
      <group>L1_Format</group>
      <groupName>格式问题</groupName>
      <ability>L2_HalfPunc_CN</ability>
      <abilityName>全半角问题</abilityName>
      <candidateList>
        <item>）</item>
      </candidateList>
      <explain>文本全半角错误。</explain>
      <paraID>5EFA73FD</paraID>
      <start>5</start>
      <end>6</end>
      <status>modified</status>
      <modifiedWord>）</modifiedWord>
      <trackRevisions>false</trackRevisions>
    </reviewItem>
    <reviewItem>
      <errorID>692e842d-7425-44f8-87e1-1d56577c6bc3</errorID>
      <errorWord>:</errorWord>
      <group>L1_Format</group>
      <groupName>格式问题</groupName>
      <ability>L2_HalfPunc_CN</ability>
      <abilityName>全半角问题</abilityName>
      <candidateList>
        <item>：</item>
      </candidateList>
      <explain>文本全半角错误。</explain>
      <paraID>15B675FE</paraID>
      <start>6</start>
      <end>7</end>
      <status>modified</status>
      <modifiedWord>：</modifiedWord>
      <trackRevisions>false</trackRevisions>
    </reviewItem>
    <reviewItem>
      <errorID>ec0491b9-ed2c-4ca4-80ad-4c71b2b6aae4</errorID>
      <errorWord>:</errorWord>
      <group>L1_Format</group>
      <groupName>格式问题</groupName>
      <ability>L2_HalfPunc_CN</ability>
      <abilityName>全半角问题</abilityName>
      <candidateList>
        <item>：</item>
      </candidateList>
      <explain>文本全半角错误。</explain>
      <paraID>13D954B6</paraID>
      <start>6</start>
      <end>7</end>
      <status>modified</status>
      <modifiedWord>：</modifiedWord>
      <trackRevisions>false</trackRevisions>
    </reviewItem>
    <reviewItem>
      <errorID>d7a0aebc-228b-4a6a-972e-e01b8ef87806</errorID>
      <errorWord>,</errorWord>
      <group>L1_Format</group>
      <groupName>格式问题</groupName>
      <ability>L2_HalfPunc_CN</ability>
      <abilityName>全半角问题</abilityName>
      <candidateList>
        <item>，</item>
      </candidateList>
      <explain>文本全半角错误。</explain>
      <paraID>1F036256</paraID>
      <start>15</start>
      <end>16</end>
      <status>modified</status>
      <modifiedWord>，</modifiedWord>
      <trackRevisions>false</trackRevisions>
    </reviewItem>
    <reviewItem>
      <errorID>13035800-d18b-4031-90da-31b7abbd7a24</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1F036256</paraID>
      <start>36</start>
      <end>40</end>
      <status>ignored</status>
      <modifiedWord/>
      <trackRevisions>false</trackRevisions>
    </reviewItem>
    <reviewItem>
      <errorID>b8a92e13-9d50-4fef-b34b-afb37fb99308</errorID>
      <errorWord>,</errorWord>
      <group>L1_Format</group>
      <groupName>格式问题</groupName>
      <ability>L2_HalfPunc_CN</ability>
      <abilityName>全半角问题</abilityName>
      <candidateList>
        <item>，</item>
      </candidateList>
      <explain>文本全半角错误。</explain>
      <paraID>3B31E10B</paraID>
      <start>21</start>
      <end>22</end>
      <status>modified</status>
      <modifiedWord>，</modifiedWord>
      <trackRevisions>false</trackRevisions>
    </reviewItem>
    <reviewItem>
      <errorID>3dfb4af8-44b9-4893-a7c7-86d0b80b9022</errorID>
      <errorWord>(</errorWord>
      <group>L1_Format</group>
      <groupName>格式问题</groupName>
      <ability>L2_HalfPunc_CN</ability>
      <abilityName>全半角问题</abilityName>
      <candidateList>
        <item>（</item>
      </candidateList>
      <explain>文本全半角错误。</explain>
      <paraID>5F2155A1</paraID>
      <start>2</start>
      <end>3</end>
      <status>modified</status>
      <modifiedWord>（</modifiedWord>
      <trackRevisions>false</trackRevisions>
    </reviewItem>
    <reviewItem>
      <errorID>4a904a69-4b92-46e1-a0a0-1e5c8b594710</errorID>
      <errorWord>)</errorWord>
      <group>L1_Format</group>
      <groupName>格式问题</groupName>
      <ability>L2_HalfPunc_CN</ability>
      <abilityName>全半角问题</abilityName>
      <candidateList>
        <item>）</item>
      </candidateList>
      <explain>文本全半角错误。</explain>
      <paraID>5F2155A1</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893485-c374-446e-bcfe-698be8822bb1}">
  <ds:schemaRefs/>
</ds:datastoreItem>
</file>

<file path=docProps/app.xml><?xml version="1.0" encoding="utf-8"?>
<Properties xmlns="http://schemas.openxmlformats.org/officeDocument/2006/extended-properties" xmlns:vt="http://schemas.openxmlformats.org/officeDocument/2006/docPropsVTypes">
  <Template>Normal.dotm</Template>
  <Pages>148</Pages>
  <Words>11466</Words>
  <Characters>12354</Characters>
  <Lines>792</Lines>
  <Paragraphs>223</Paragraphs>
  <TotalTime>44</TotalTime>
  <ScaleCrop>false</ScaleCrop>
  <LinksUpToDate>false</LinksUpToDate>
  <CharactersWithSpaces>12488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2026-07-30T02:50:00Z</dcterms:created>
  <dc:creator>Administrator</dc:creator>
  <cp:lastModifiedBy>admin</cp:lastModifiedBy>
  <cp:lastPrinted>2025-10-31T07:30:00Z</cp:lastPrinted>
  <dcterms:modified xsi:type="dcterms:W3CDTF">2026-08-07T08:56:11Z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C8012B75213F4B62B2C3478713549498_13</vt:lpwstr>
  </property>
  <property fmtid="{D5CDD505-2E9C-101B-9397-08002B2CF9AE}" pid="4" name="KSOTemplateDocerSaveRecord">
    <vt:lpwstr>eyJoZGlkIjoiNDc3N2M2ZTkxZmVlNDQ3ODQ0Njk0MzBjYTQwNTkzZDciLCJ1c2VySWQiOiIxMTcxMDg2NTQzIn0=</vt:lpwstr>
  </property>
</Properties>
</file>