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B5A1963">
      <w:pPr>
        <w:jc w:val="center"/>
        <w:rPr>
          <w:rFonts w:hint="eastAsia" w:ascii="宋体" w:hAnsi="宋体" w:cs="宋体"/>
          <w:b/>
          <w:bCs/>
          <w:color w:val="auto"/>
          <w:sz w:val="48"/>
          <w:szCs w:val="48"/>
          <w:highlight w:val="none"/>
        </w:rPr>
      </w:pPr>
      <w:bookmarkStart w:id="0" w:name="OLE_LINK15"/>
      <w:bookmarkStart w:id="1" w:name="OLE_LINK7"/>
      <w:bookmarkStart w:id="2" w:name="OLE_LINK11"/>
      <w:bookmarkStart w:id="3" w:name="OLE_LINK10"/>
      <w:bookmarkStart w:id="4" w:name="OLE_LINK8"/>
    </w:p>
    <w:p w14:paraId="7B001412">
      <w:pPr>
        <w:jc w:val="center"/>
        <w:rPr>
          <w:rFonts w:hint="eastAsia" w:ascii="宋体" w:hAnsi="宋体" w:cs="宋体"/>
          <w:b/>
          <w:bCs/>
          <w:color w:val="auto"/>
          <w:sz w:val="48"/>
          <w:szCs w:val="48"/>
          <w:highlight w:val="none"/>
        </w:rPr>
      </w:pPr>
    </w:p>
    <w:p w14:paraId="503E7640">
      <w:pPr>
        <w:jc w:val="center"/>
        <w:rPr>
          <w:rFonts w:hint="eastAsia" w:ascii="宋体" w:hAnsi="宋体" w:cs="宋体"/>
          <w:b/>
          <w:bCs/>
          <w:color w:val="auto"/>
          <w:sz w:val="48"/>
          <w:szCs w:val="48"/>
          <w:highlight w:val="none"/>
        </w:rPr>
      </w:pPr>
      <w:r>
        <w:rPr>
          <w:rFonts w:hAnsi="宋体"/>
          <w:color w:val="auto"/>
          <w:kern w:val="0"/>
          <w:szCs w:val="21"/>
          <w:highlight w:val="none"/>
        </w:rPr>
        <w:drawing>
          <wp:anchor distT="0" distB="0" distL="114300" distR="114300" simplePos="0" relativeHeight="251662336" behindDoc="0" locked="0" layoutInCell="1" allowOverlap="1">
            <wp:simplePos x="0" y="0"/>
            <wp:positionH relativeFrom="column">
              <wp:posOffset>-342900</wp:posOffset>
            </wp:positionH>
            <wp:positionV relativeFrom="paragraph">
              <wp:posOffset>-373380</wp:posOffset>
            </wp:positionV>
            <wp:extent cx="6395085" cy="1416685"/>
            <wp:effectExtent l="0" t="0" r="0" b="0"/>
            <wp:wrapNone/>
            <wp:docPr id="2" name="图片 2" descr="I:\03★工作★（硬盘）\2018年项目-2022年项目-招标\5、2022年项目\（2.28投标入库）南宁轨道地产集团有限责任公司2022-2025年招标代理服务\招标公司-名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03★工作★（硬盘）\2018年项目-2022年项目-招标\5、2022年项目\（2.28投标入库）南宁轨道地产集团有限责任公司2022-2025年招标代理服务\招标公司-名称.png"/>
                    <pic:cNvPicPr>
                      <a:picLocks noChangeAspect="1"/>
                    </pic:cNvPicPr>
                  </pic:nvPicPr>
                  <pic:blipFill>
                    <a:blip r:embed="rId18"/>
                    <a:srcRect r="6451"/>
                    <a:stretch>
                      <a:fillRect/>
                    </a:stretch>
                  </pic:blipFill>
                  <pic:spPr>
                    <a:xfrm>
                      <a:off x="654685" y="1099820"/>
                      <a:ext cx="6395085" cy="1416685"/>
                    </a:xfrm>
                    <a:prstGeom prst="rect">
                      <a:avLst/>
                    </a:prstGeom>
                    <a:noFill/>
                    <a:ln>
                      <a:noFill/>
                    </a:ln>
                  </pic:spPr>
                </pic:pic>
              </a:graphicData>
            </a:graphic>
          </wp:anchor>
        </w:drawing>
      </w:r>
    </w:p>
    <w:p w14:paraId="759B9D84">
      <w:pPr>
        <w:jc w:val="center"/>
        <w:rPr>
          <w:rFonts w:hint="eastAsia" w:ascii="宋体" w:hAnsi="宋体" w:cs="宋体"/>
          <w:b/>
          <w:bCs/>
          <w:color w:val="auto"/>
          <w:sz w:val="48"/>
          <w:szCs w:val="48"/>
          <w:highlight w:val="none"/>
        </w:rPr>
      </w:pPr>
    </w:p>
    <w:bookmarkEnd w:id="0"/>
    <w:p w14:paraId="678686A7">
      <w:pPr>
        <w:spacing w:line="360" w:lineRule="auto"/>
        <w:jc w:val="center"/>
        <w:rPr>
          <w:rFonts w:hint="eastAsia" w:ascii="宋体" w:hAnsi="宋体" w:cs="宋体"/>
          <w:b/>
          <w:color w:val="auto"/>
          <w:sz w:val="36"/>
          <w:szCs w:val="36"/>
          <w:highlight w:val="none"/>
        </w:rPr>
      </w:pPr>
      <w:r>
        <w:rPr>
          <w:rFonts w:hint="eastAsia" w:ascii="宋体" w:hAnsi="宋体" w:cs="宋体"/>
          <w:color w:val="auto"/>
          <w:sz w:val="20"/>
          <w:highlight w:val="none"/>
        </w:rPr>
        <mc:AlternateContent>
          <mc:Choice Requires="wps">
            <w:drawing>
              <wp:anchor distT="0" distB="0" distL="114300" distR="114300" simplePos="0" relativeHeight="251659264" behindDoc="0" locked="0" layoutInCell="1" allowOverlap="1">
                <wp:simplePos x="0" y="0"/>
                <wp:positionH relativeFrom="column">
                  <wp:posOffset>-8255</wp:posOffset>
                </wp:positionH>
                <wp:positionV relativeFrom="paragraph">
                  <wp:posOffset>169545</wp:posOffset>
                </wp:positionV>
                <wp:extent cx="5944235" cy="8255"/>
                <wp:effectExtent l="0" t="0" r="0" b="0"/>
                <wp:wrapNone/>
                <wp:docPr id="1" name="直线 2"/>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flip:y;margin-left:-0.65pt;margin-top:13.35pt;height:0.65pt;width:468.05pt;z-index:251659264;mso-width-relative:page;mso-height-relative:page;" filled="f" stroked="t" coordsize="21600,21600" o:gfxdata="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UZ+Ad1wAAAAgBAAAPAAAAAAAAAAEAIAAAACIAAABkcnMvZG93bnJldi54bWxQSwEC&#10;FAAUAAAACACHTuJACkhh9fUBAAD3AwAADgAAAAAAAAABACAAAAAmAQAAZHJzL2Uyb0RvYy54bWxQ&#10;SwUGAAAAAAYABgBZAQAAjQUAAAAA&#10;">
                <v:fill on="f" focussize="0,0"/>
                <v:stroke weight="2.25pt" color="#000000" joinstyle="round"/>
                <v:imagedata o:title=""/>
                <o:lock v:ext="edit" aspectratio="f"/>
              </v:line>
            </w:pict>
          </mc:Fallback>
        </mc:AlternateContent>
      </w:r>
      <w:r>
        <w:rPr>
          <w:rFonts w:hint="eastAsia" w:ascii="宋体" w:hAnsi="宋体" w:cs="宋体"/>
          <w:b/>
          <w:bCs/>
          <w:color w:val="auto"/>
          <w:sz w:val="10"/>
          <w:highlight w:val="none"/>
        </w:rPr>
        <w:t xml:space="preserve">                                                                         </w:t>
      </w:r>
    </w:p>
    <w:p w14:paraId="13F26E1A">
      <w:pPr>
        <w:pStyle w:val="20"/>
        <w:jc w:val="center"/>
        <w:rPr>
          <w:rFonts w:hint="eastAsia" w:hAnsi="宋体" w:cs="宋体"/>
          <w:color w:val="auto"/>
          <w:sz w:val="72"/>
          <w:szCs w:val="72"/>
          <w:highlight w:val="none"/>
        </w:rPr>
      </w:pPr>
    </w:p>
    <w:p w14:paraId="3073A2CB">
      <w:pPr>
        <w:pStyle w:val="20"/>
        <w:jc w:val="center"/>
        <w:rPr>
          <w:rFonts w:hint="eastAsia" w:hAnsi="宋体" w:cs="宋体"/>
          <w:b/>
          <w:bCs/>
          <w:color w:val="auto"/>
          <w:sz w:val="110"/>
          <w:szCs w:val="110"/>
          <w:highlight w:val="none"/>
        </w:rPr>
      </w:pPr>
      <w:r>
        <w:rPr>
          <w:rFonts w:hint="eastAsia" w:hAnsi="宋体" w:cs="宋体"/>
          <w:color w:val="auto"/>
          <w:sz w:val="110"/>
          <w:szCs w:val="110"/>
          <w:highlight w:val="none"/>
        </w:rPr>
        <w:t>招 标 文 件</w:t>
      </w:r>
    </w:p>
    <w:p w14:paraId="3B35A8DE">
      <w:pPr>
        <w:jc w:val="center"/>
        <w:rPr>
          <w:rFonts w:hint="eastAsia" w:ascii="宋体" w:hAnsi="宋体" w:cs="宋体"/>
          <w:b/>
          <w:color w:val="auto"/>
          <w:sz w:val="36"/>
          <w:szCs w:val="36"/>
          <w:highlight w:val="none"/>
        </w:rPr>
      </w:pPr>
    </w:p>
    <w:p w14:paraId="6F1B0179">
      <w:pPr>
        <w:pStyle w:val="20"/>
        <w:spacing w:line="360" w:lineRule="auto"/>
        <w:ind w:firstLine="753" w:firstLineChars="250"/>
        <w:jc w:val="left"/>
        <w:rPr>
          <w:rFonts w:hint="eastAsia" w:hAnsi="宋体" w:cs="宋体"/>
          <w:b/>
          <w:color w:val="auto"/>
          <w:sz w:val="30"/>
          <w:szCs w:val="30"/>
          <w:highlight w:val="none"/>
        </w:rPr>
      </w:pPr>
    </w:p>
    <w:p w14:paraId="164BE4E0">
      <w:pPr>
        <w:snapToGrid w:val="0"/>
        <w:spacing w:before="120" w:beforeLines="50" w:line="360" w:lineRule="auto"/>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（全流程电子化采购）</w:t>
      </w:r>
    </w:p>
    <w:p w14:paraId="5E9F2F0A">
      <w:pPr>
        <w:pStyle w:val="20"/>
        <w:spacing w:line="360" w:lineRule="auto"/>
        <w:ind w:firstLine="753" w:firstLineChars="250"/>
        <w:jc w:val="left"/>
        <w:rPr>
          <w:rFonts w:hint="eastAsia" w:hAnsi="宋体" w:cs="宋体"/>
          <w:b/>
          <w:color w:val="auto"/>
          <w:sz w:val="30"/>
          <w:szCs w:val="30"/>
          <w:highlight w:val="none"/>
        </w:rPr>
      </w:pPr>
    </w:p>
    <w:p w14:paraId="73CEFBB0">
      <w:pPr>
        <w:pStyle w:val="20"/>
        <w:spacing w:line="360" w:lineRule="auto"/>
        <w:ind w:firstLine="753" w:firstLineChars="250"/>
        <w:jc w:val="left"/>
        <w:rPr>
          <w:rFonts w:hint="eastAsia" w:hAnsi="宋体" w:cs="宋体"/>
          <w:b/>
          <w:color w:val="auto"/>
          <w:sz w:val="30"/>
          <w:szCs w:val="30"/>
          <w:highlight w:val="none"/>
        </w:rPr>
      </w:pPr>
    </w:p>
    <w:p w14:paraId="24FAEDC0">
      <w:pPr>
        <w:pStyle w:val="20"/>
        <w:spacing w:line="360" w:lineRule="auto"/>
        <w:ind w:firstLine="753" w:firstLineChars="250"/>
        <w:jc w:val="left"/>
        <w:rPr>
          <w:rFonts w:hint="eastAsia" w:hAnsi="宋体" w:cs="宋体"/>
          <w:b/>
          <w:color w:val="auto"/>
          <w:sz w:val="30"/>
          <w:szCs w:val="30"/>
          <w:highlight w:val="none"/>
        </w:rPr>
      </w:pPr>
    </w:p>
    <w:p w14:paraId="09AC39C6">
      <w:pPr>
        <w:pStyle w:val="20"/>
        <w:spacing w:line="360" w:lineRule="auto"/>
        <w:ind w:left="2258" w:leftChars="358" w:hanging="1506" w:hangingChars="500"/>
        <w:jc w:val="left"/>
        <w:rPr>
          <w:rFonts w:hint="eastAsia" w:hAnsi="宋体" w:eastAsia="宋体" w:cs="宋体"/>
          <w:b/>
          <w:color w:val="auto"/>
          <w:sz w:val="30"/>
          <w:szCs w:val="30"/>
          <w:highlight w:val="none"/>
          <w:lang w:eastAsia="zh-CN"/>
        </w:rPr>
      </w:pPr>
      <w:r>
        <w:rPr>
          <w:rFonts w:hint="eastAsia" w:hAnsi="宋体" w:cs="宋体"/>
          <w:b/>
          <w:color w:val="auto"/>
          <w:sz w:val="30"/>
          <w:szCs w:val="30"/>
          <w:highlight w:val="none"/>
        </w:rPr>
        <w:t>项目名称：</w:t>
      </w:r>
      <w:r>
        <w:rPr>
          <w:rFonts w:hint="eastAsia" w:hAnsi="宋体" w:cs="宋体"/>
          <w:b/>
          <w:color w:val="auto"/>
          <w:sz w:val="30"/>
          <w:szCs w:val="30"/>
          <w:highlight w:val="none"/>
          <w:lang w:eastAsia="zh-CN"/>
        </w:rPr>
        <w:t>医用液氧供应商服务采购项目（重2）</w:t>
      </w:r>
    </w:p>
    <w:p w14:paraId="49849B9A">
      <w:pPr>
        <w:pStyle w:val="20"/>
        <w:spacing w:line="360" w:lineRule="auto"/>
        <w:ind w:firstLine="753" w:firstLineChars="250"/>
        <w:jc w:val="left"/>
        <w:rPr>
          <w:rFonts w:hint="default" w:hAnsi="宋体" w:eastAsia="宋体" w:cs="宋体"/>
          <w:b/>
          <w:color w:val="auto"/>
          <w:sz w:val="30"/>
          <w:szCs w:val="30"/>
          <w:highlight w:val="none"/>
          <w:lang w:val="en-US" w:eastAsia="zh-CN"/>
        </w:rPr>
      </w:pPr>
      <w:r>
        <w:rPr>
          <w:rFonts w:hint="eastAsia" w:hAnsi="宋体" w:cs="宋体"/>
          <w:b/>
          <w:color w:val="auto"/>
          <w:sz w:val="30"/>
          <w:szCs w:val="30"/>
          <w:highlight w:val="none"/>
        </w:rPr>
        <w:t>项目编号：</w:t>
      </w:r>
      <w:r>
        <w:rPr>
          <w:rFonts w:hint="eastAsia" w:hAnsi="宋体" w:cs="宋体"/>
          <w:b/>
          <w:color w:val="auto"/>
          <w:sz w:val="30"/>
          <w:szCs w:val="30"/>
          <w:highlight w:val="none"/>
          <w:lang w:val="en-US" w:eastAsia="zh-CN"/>
        </w:rPr>
        <w:t>GXZC2026-G3-001950-JGJD</w:t>
      </w:r>
    </w:p>
    <w:p w14:paraId="01CC5286">
      <w:pPr>
        <w:spacing w:line="600" w:lineRule="exact"/>
        <w:ind w:left="2"/>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mc:AlternateContent>
          <mc:Choice Requires="wps">
            <w:drawing>
              <wp:anchor distT="0" distB="0" distL="114300" distR="114300" simplePos="0" relativeHeight="251660288" behindDoc="0" locked="0" layoutInCell="1" allowOverlap="1">
                <wp:simplePos x="0" y="0"/>
                <wp:positionH relativeFrom="column">
                  <wp:posOffset>-89535</wp:posOffset>
                </wp:positionH>
                <wp:positionV relativeFrom="paragraph">
                  <wp:posOffset>144145</wp:posOffset>
                </wp:positionV>
                <wp:extent cx="5944235" cy="8255"/>
                <wp:effectExtent l="0" t="0" r="0" b="0"/>
                <wp:wrapNone/>
                <wp:docPr id="3" name="直线 2"/>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flip:y;margin-left:-7.05pt;margin-top:11.35pt;height:0.65pt;width:468.05pt;z-index:251660288;mso-width-relative:page;mso-height-relative:page;" filled="f" stroked="t" coordsize="21600,21600" o:gfxdata="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vzFLNcAAAAJAQAADwAAAAAAAAABACAAAAAiAAAAZHJzL2Rvd25yZXYueG1sUEsB&#10;AhQAFAAAAAgAh07iQNV1L+72AQAA9wMAAA4AAAAAAAAAAQAgAAAAJgEAAGRycy9lMm9Eb2MueG1s&#10;UEsFBgAAAAAGAAYAWQEAAI4FAAAAAA==&#10;">
                <v:fill on="f" focussize="0,0"/>
                <v:stroke weight="2.25pt" color="#000000" joinstyle="round"/>
                <v:imagedata o:title=""/>
                <o:lock v:ext="edit" aspectratio="f"/>
              </v:line>
            </w:pict>
          </mc:Fallback>
        </mc:AlternateContent>
      </w:r>
    </w:p>
    <w:p w14:paraId="245FDEB4">
      <w:pPr>
        <w:pStyle w:val="20"/>
        <w:spacing w:line="360" w:lineRule="auto"/>
        <w:ind w:firstLine="753" w:firstLineChars="250"/>
        <w:jc w:val="left"/>
        <w:rPr>
          <w:rFonts w:hint="eastAsia" w:hAnsi="宋体" w:eastAsia="宋体" w:cs="宋体"/>
          <w:b/>
          <w:color w:val="auto"/>
          <w:sz w:val="30"/>
          <w:szCs w:val="30"/>
          <w:highlight w:val="none"/>
          <w:lang w:eastAsia="zh-CN"/>
        </w:rPr>
      </w:pPr>
      <w:r>
        <w:rPr>
          <w:rFonts w:hint="eastAsia" w:hAnsi="宋体" w:cs="宋体"/>
          <w:b/>
          <w:color w:val="auto"/>
          <w:sz w:val="30"/>
          <w:szCs w:val="30"/>
          <w:highlight w:val="none"/>
        </w:rPr>
        <w:t>采购人：</w:t>
      </w:r>
      <w:r>
        <w:rPr>
          <w:rFonts w:hint="eastAsia" w:hAnsi="宋体" w:cs="宋体"/>
          <w:b/>
          <w:color w:val="auto"/>
          <w:sz w:val="30"/>
          <w:szCs w:val="30"/>
          <w:highlight w:val="none"/>
          <w:lang w:eastAsia="zh-CN"/>
        </w:rPr>
        <w:t>广西壮族自治区职业病防治研究院</w:t>
      </w:r>
    </w:p>
    <w:p w14:paraId="4167A242">
      <w:pPr>
        <w:pStyle w:val="20"/>
        <w:spacing w:line="360" w:lineRule="auto"/>
        <w:ind w:firstLine="753" w:firstLineChars="250"/>
        <w:jc w:val="left"/>
        <w:rPr>
          <w:rFonts w:hint="eastAsia" w:hAnsi="宋体" w:eastAsia="宋体" w:cs="宋体"/>
          <w:b/>
          <w:color w:val="auto"/>
          <w:sz w:val="30"/>
          <w:szCs w:val="30"/>
          <w:highlight w:val="none"/>
          <w:lang w:eastAsia="zh-CN"/>
        </w:rPr>
      </w:pPr>
      <w:r>
        <w:rPr>
          <w:rFonts w:hint="eastAsia" w:hAnsi="宋体" w:cs="宋体"/>
          <w:b/>
          <w:color w:val="auto"/>
          <w:sz w:val="30"/>
          <w:szCs w:val="30"/>
          <w:highlight w:val="none"/>
        </w:rPr>
        <w:t>采购代理机构：</w:t>
      </w:r>
      <w:r>
        <w:rPr>
          <w:rFonts w:hint="eastAsia" w:hAnsi="宋体" w:cs="宋体"/>
          <w:b/>
          <w:color w:val="auto"/>
          <w:sz w:val="30"/>
          <w:szCs w:val="30"/>
          <w:highlight w:val="none"/>
          <w:lang w:eastAsia="zh-CN"/>
        </w:rPr>
        <w:t>广西建设工程机电设备招标中心有限公司</w:t>
      </w:r>
    </w:p>
    <w:p w14:paraId="583FD340">
      <w:pPr>
        <w:pStyle w:val="20"/>
        <w:spacing w:line="360" w:lineRule="auto"/>
        <w:jc w:val="center"/>
        <w:rPr>
          <w:rFonts w:hint="eastAsia" w:hAnsi="宋体" w:cs="宋体"/>
          <w:b/>
          <w:color w:val="auto"/>
          <w:sz w:val="30"/>
          <w:szCs w:val="30"/>
          <w:highlight w:val="none"/>
        </w:rPr>
      </w:pPr>
    </w:p>
    <w:p w14:paraId="6EC07E30">
      <w:pPr>
        <w:pStyle w:val="20"/>
        <w:spacing w:line="360" w:lineRule="auto"/>
        <w:jc w:val="center"/>
        <w:rPr>
          <w:rFonts w:hint="default" w:hAnsi="宋体" w:eastAsia="宋体" w:cs="宋体"/>
          <w:b/>
          <w:bCs/>
          <w:color w:val="auto"/>
          <w:spacing w:val="-27"/>
          <w:sz w:val="60"/>
          <w:szCs w:val="60"/>
          <w:highlight w:val="none"/>
          <w:lang w:val="en-US" w:eastAsia="zh-CN"/>
        </w:rPr>
      </w:pPr>
      <w:r>
        <w:rPr>
          <w:rFonts w:hint="eastAsia" w:hAnsi="宋体" w:cs="宋体"/>
          <w:b/>
          <w:color w:val="auto"/>
          <w:sz w:val="30"/>
          <w:szCs w:val="30"/>
          <w:highlight w:val="none"/>
        </w:rPr>
        <w:t>202</w:t>
      </w:r>
      <w:r>
        <w:rPr>
          <w:rFonts w:hint="eastAsia" w:hAnsi="宋体" w:cs="宋体"/>
          <w:b/>
          <w:color w:val="auto"/>
          <w:sz w:val="30"/>
          <w:szCs w:val="30"/>
          <w:highlight w:val="none"/>
          <w:lang w:val="en-US" w:eastAsia="zh-CN"/>
        </w:rPr>
        <w:t>6</w:t>
      </w:r>
      <w:r>
        <w:rPr>
          <w:rFonts w:hint="eastAsia" w:hAnsi="宋体" w:cs="宋体"/>
          <w:b/>
          <w:color w:val="auto"/>
          <w:sz w:val="30"/>
          <w:szCs w:val="30"/>
          <w:highlight w:val="none"/>
        </w:rPr>
        <w:t>年</w:t>
      </w:r>
      <w:r>
        <w:rPr>
          <w:rFonts w:hint="eastAsia" w:hAnsi="宋体" w:cs="宋体"/>
          <w:b/>
          <w:color w:val="auto"/>
          <w:sz w:val="30"/>
          <w:szCs w:val="30"/>
          <w:highlight w:val="none"/>
          <w:lang w:val="en-US" w:eastAsia="zh-CN"/>
        </w:rPr>
        <w:t>6</w:t>
      </w:r>
      <w:r>
        <w:rPr>
          <w:rFonts w:hint="eastAsia" w:hAnsi="宋体" w:cs="宋体"/>
          <w:b/>
          <w:color w:val="auto"/>
          <w:sz w:val="30"/>
          <w:szCs w:val="30"/>
          <w:highlight w:val="none"/>
        </w:rPr>
        <w:t>月</w:t>
      </w:r>
    </w:p>
    <w:p w14:paraId="7DEB1FA0">
      <w:pPr>
        <w:pStyle w:val="20"/>
        <w:spacing w:before="120" w:after="120" w:line="360" w:lineRule="auto"/>
        <w:jc w:val="center"/>
        <w:rPr>
          <w:rFonts w:hint="eastAsia" w:hAnsi="宋体" w:cs="宋体"/>
          <w:b/>
          <w:color w:val="auto"/>
          <w:sz w:val="44"/>
          <w:szCs w:val="44"/>
          <w:highlight w:val="none"/>
        </w:rPr>
        <w:sectPr>
          <w:footerReference r:id="rId6" w:type="first"/>
          <w:headerReference r:id="rId3" w:type="default"/>
          <w:footerReference r:id="rId4" w:type="default"/>
          <w:footerReference r:id="rId5" w:type="even"/>
          <w:pgSz w:w="11906" w:h="16838"/>
          <w:pgMar w:top="1440" w:right="1757" w:bottom="1440" w:left="1803" w:header="850" w:footer="850" w:gutter="0"/>
          <w:pgNumType w:start="0"/>
          <w:cols w:space="720" w:num="1"/>
          <w:titlePg/>
          <w:docGrid w:linePitch="312" w:charSpace="0"/>
        </w:sectPr>
      </w:pPr>
    </w:p>
    <w:p w14:paraId="52A8DFF0">
      <w:pPr>
        <w:pStyle w:val="20"/>
        <w:keepNext w:val="0"/>
        <w:keepLines w:val="0"/>
        <w:pageBreakBefore w:val="0"/>
        <w:widowControl w:val="0"/>
        <w:kinsoku/>
        <w:wordWrap/>
        <w:overflowPunct/>
        <w:topLinePunct w:val="0"/>
        <w:autoSpaceDE/>
        <w:autoSpaceDN/>
        <w:bidi w:val="0"/>
        <w:adjustRightInd/>
        <w:spacing w:before="120" w:after="120" w:line="360" w:lineRule="auto"/>
        <w:jc w:val="center"/>
        <w:textAlignment w:val="auto"/>
        <w:rPr>
          <w:rFonts w:hint="eastAsia" w:hAnsi="宋体" w:cs="宋体"/>
          <w:b/>
          <w:color w:val="auto"/>
          <w:sz w:val="44"/>
          <w:szCs w:val="44"/>
          <w:highlight w:val="none"/>
        </w:rPr>
      </w:pPr>
      <w:r>
        <w:rPr>
          <w:rFonts w:hint="eastAsia" w:hAnsi="宋体" w:cs="宋体"/>
          <w:b/>
          <w:color w:val="auto"/>
          <w:sz w:val="44"/>
          <w:szCs w:val="44"/>
          <w:highlight w:val="none"/>
        </w:rPr>
        <w:t>目  录</w:t>
      </w:r>
    </w:p>
    <w:p w14:paraId="3EC87E02">
      <w:pPr>
        <w:pStyle w:val="2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bookmarkStart w:id="5" w:name="OLE_LINK6"/>
      <w:bookmarkStart w:id="6" w:name="OLE_LINK9"/>
      <w:r>
        <w:rPr>
          <w:rFonts w:hint="eastAsia" w:cs="宋体"/>
          <w:b w:val="0"/>
          <w:bCs w:val="0"/>
          <w:color w:val="auto"/>
          <w:highlight w:val="none"/>
        </w:rPr>
        <w:fldChar w:fldCharType="begin"/>
      </w:r>
      <w:r>
        <w:rPr>
          <w:rFonts w:hint="eastAsia" w:cs="宋体"/>
          <w:b w:val="0"/>
          <w:bCs w:val="0"/>
          <w:color w:val="auto"/>
          <w:highlight w:val="none"/>
        </w:rPr>
        <w:instrText xml:space="preserve">TOC \o "1-3" \h \u </w:instrText>
      </w:r>
      <w:r>
        <w:rPr>
          <w:rFonts w:hint="eastAsia" w:cs="宋体"/>
          <w:b w:val="0"/>
          <w:bCs w:val="0"/>
          <w:color w:val="auto"/>
          <w:highlight w:val="none"/>
        </w:rPr>
        <w:fldChar w:fldCharType="separate"/>
      </w:r>
      <w:r>
        <w:rPr>
          <w:rFonts w:hint="eastAsia" w:cs="宋体"/>
          <w:bCs w:val="0"/>
          <w:color w:val="auto"/>
          <w:highlight w:val="none"/>
        </w:rPr>
        <w:fldChar w:fldCharType="begin"/>
      </w:r>
      <w:r>
        <w:rPr>
          <w:rFonts w:hint="eastAsia" w:cs="宋体"/>
          <w:bCs w:val="0"/>
          <w:color w:val="auto"/>
          <w:highlight w:val="none"/>
        </w:rPr>
        <w:instrText xml:space="preserve"> HYPERLINK \l _Toc21030 </w:instrText>
      </w:r>
      <w:r>
        <w:rPr>
          <w:rFonts w:hint="eastAsia" w:cs="宋体"/>
          <w:bCs w:val="0"/>
          <w:color w:val="auto"/>
          <w:highlight w:val="none"/>
        </w:rPr>
        <w:fldChar w:fldCharType="separate"/>
      </w:r>
      <w:r>
        <w:rPr>
          <w:rFonts w:hint="eastAsia" w:ascii="宋体" w:hAnsi="宋体" w:cs="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_Toc21030 \h </w:instrText>
      </w:r>
      <w:r>
        <w:rPr>
          <w:color w:val="auto"/>
          <w:highlight w:val="none"/>
        </w:rPr>
        <w:fldChar w:fldCharType="separate"/>
      </w:r>
      <w:r>
        <w:rPr>
          <w:color w:val="auto"/>
          <w:highlight w:val="none"/>
        </w:rPr>
        <w:t>2</w:t>
      </w:r>
      <w:r>
        <w:rPr>
          <w:color w:val="auto"/>
          <w:highlight w:val="none"/>
        </w:rPr>
        <w:fldChar w:fldCharType="end"/>
      </w:r>
      <w:r>
        <w:rPr>
          <w:rFonts w:hint="eastAsia" w:cs="宋体"/>
          <w:bCs w:val="0"/>
          <w:color w:val="auto"/>
          <w:highlight w:val="none"/>
        </w:rPr>
        <w:fldChar w:fldCharType="end"/>
      </w:r>
    </w:p>
    <w:p w14:paraId="4864C8A1">
      <w:pPr>
        <w:pStyle w:val="2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_Toc12941 </w:instrText>
      </w:r>
      <w:r>
        <w:rPr>
          <w:rFonts w:hint="eastAsia" w:ascii="宋体" w:hAnsi="宋体" w:cs="宋体"/>
          <w:color w:val="auto"/>
          <w:highlight w:val="none"/>
        </w:rPr>
        <w:fldChar w:fldCharType="separate"/>
      </w:r>
      <w:r>
        <w:rPr>
          <w:rFonts w:hint="eastAsia" w:ascii="宋体" w:hAnsi="宋体" w:cs="宋体"/>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_Toc12941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cs="宋体"/>
          <w:color w:val="auto"/>
          <w:highlight w:val="none"/>
        </w:rPr>
        <w:fldChar w:fldCharType="end"/>
      </w:r>
    </w:p>
    <w:p w14:paraId="3C08EBDC">
      <w:pPr>
        <w:pStyle w:val="2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_Toc24453 </w:instrText>
      </w:r>
      <w:r>
        <w:rPr>
          <w:rFonts w:hint="eastAsia" w:ascii="宋体" w:hAnsi="宋体" w:cs="宋体"/>
          <w:color w:val="auto"/>
          <w:highlight w:val="none"/>
        </w:rPr>
        <w:fldChar w:fldCharType="separate"/>
      </w:r>
      <w:r>
        <w:rPr>
          <w:rFonts w:hint="eastAsia" w:ascii="宋体" w:hAnsi="宋体" w:cs="宋体"/>
          <w:color w:val="auto"/>
          <w:highlight w:val="none"/>
        </w:rPr>
        <w:t>第三章  投标人须知</w:t>
      </w:r>
      <w:r>
        <w:rPr>
          <w:color w:val="auto"/>
          <w:highlight w:val="none"/>
        </w:rPr>
        <w:tab/>
      </w:r>
      <w:r>
        <w:rPr>
          <w:color w:val="auto"/>
          <w:highlight w:val="none"/>
        </w:rPr>
        <w:fldChar w:fldCharType="begin"/>
      </w:r>
      <w:r>
        <w:rPr>
          <w:color w:val="auto"/>
          <w:highlight w:val="none"/>
        </w:rPr>
        <w:instrText xml:space="preserve"> PAGEREF _Toc24453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cs="宋体"/>
          <w:color w:val="auto"/>
          <w:highlight w:val="none"/>
        </w:rPr>
        <w:fldChar w:fldCharType="end"/>
      </w:r>
    </w:p>
    <w:p w14:paraId="4C331814">
      <w:pPr>
        <w:pStyle w:val="3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_Toc3016 </w:instrText>
      </w:r>
      <w:r>
        <w:rPr>
          <w:rFonts w:hint="eastAsia" w:ascii="宋体" w:hAnsi="宋体" w:cs="宋体"/>
          <w:color w:val="auto"/>
          <w:highlight w:val="none"/>
        </w:rPr>
        <w:fldChar w:fldCharType="separate"/>
      </w:r>
      <w:r>
        <w:rPr>
          <w:rFonts w:hint="eastAsia" w:ascii="宋体" w:hAnsi="宋体" w:cs="宋体"/>
          <w:color w:val="auto"/>
          <w:szCs w:val="36"/>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_Toc3016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cs="宋体"/>
          <w:color w:val="auto"/>
          <w:highlight w:val="none"/>
        </w:rPr>
        <w:fldChar w:fldCharType="end"/>
      </w:r>
    </w:p>
    <w:p w14:paraId="7FFFC9FF">
      <w:pPr>
        <w:pStyle w:val="3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_Toc21607 </w:instrText>
      </w:r>
      <w:r>
        <w:rPr>
          <w:rFonts w:hint="eastAsia" w:ascii="宋体" w:hAnsi="宋体" w:cs="宋体"/>
          <w:color w:val="auto"/>
          <w:highlight w:val="none"/>
        </w:rPr>
        <w:fldChar w:fldCharType="separate"/>
      </w:r>
      <w:r>
        <w:rPr>
          <w:rFonts w:hint="eastAsia" w:ascii="宋体" w:hAnsi="宋体" w:cs="宋体"/>
          <w:color w:val="auto"/>
          <w:highlight w:val="none"/>
        </w:rPr>
        <w:t>投标人须知正文</w:t>
      </w:r>
      <w:r>
        <w:rPr>
          <w:color w:val="auto"/>
          <w:highlight w:val="none"/>
        </w:rPr>
        <w:tab/>
      </w:r>
      <w:r>
        <w:rPr>
          <w:color w:val="auto"/>
          <w:highlight w:val="none"/>
        </w:rPr>
        <w:fldChar w:fldCharType="begin"/>
      </w:r>
      <w:r>
        <w:rPr>
          <w:color w:val="auto"/>
          <w:highlight w:val="none"/>
        </w:rPr>
        <w:instrText xml:space="preserve"> PAGEREF _Toc21607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cs="宋体"/>
          <w:color w:val="auto"/>
          <w:highlight w:val="none"/>
        </w:rPr>
        <w:fldChar w:fldCharType="end"/>
      </w:r>
    </w:p>
    <w:p w14:paraId="111EB331">
      <w:pPr>
        <w:pStyle w:val="19"/>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_Toc7551 </w:instrText>
      </w:r>
      <w:r>
        <w:rPr>
          <w:rFonts w:hint="eastAsia" w:ascii="宋体" w:hAnsi="宋体" w:cs="宋体"/>
          <w:color w:val="auto"/>
          <w:highlight w:val="none"/>
        </w:rPr>
        <w:fldChar w:fldCharType="separate"/>
      </w:r>
      <w:r>
        <w:rPr>
          <w:rFonts w:hint="eastAsia" w:ascii="宋体" w:hAnsi="宋体" w:cs="宋体"/>
          <w:color w:val="auto"/>
          <w:highlight w:val="none"/>
        </w:rPr>
        <w:t>一、总  则</w:t>
      </w:r>
      <w:r>
        <w:rPr>
          <w:color w:val="auto"/>
          <w:highlight w:val="none"/>
        </w:rPr>
        <w:tab/>
      </w:r>
      <w:r>
        <w:rPr>
          <w:color w:val="auto"/>
          <w:highlight w:val="none"/>
        </w:rPr>
        <w:fldChar w:fldCharType="begin"/>
      </w:r>
      <w:r>
        <w:rPr>
          <w:color w:val="auto"/>
          <w:highlight w:val="none"/>
        </w:rPr>
        <w:instrText xml:space="preserve"> PAGEREF _Toc7551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cs="宋体"/>
          <w:color w:val="auto"/>
          <w:highlight w:val="none"/>
        </w:rPr>
        <w:fldChar w:fldCharType="end"/>
      </w:r>
    </w:p>
    <w:p w14:paraId="3B988E39">
      <w:pPr>
        <w:pStyle w:val="19"/>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_Toc30666 </w:instrText>
      </w:r>
      <w:r>
        <w:rPr>
          <w:rFonts w:hint="eastAsia" w:ascii="宋体" w:hAnsi="宋体" w:cs="宋体"/>
          <w:color w:val="auto"/>
          <w:highlight w:val="none"/>
        </w:rPr>
        <w:fldChar w:fldCharType="separate"/>
      </w:r>
      <w:r>
        <w:rPr>
          <w:rFonts w:hint="eastAsia" w:ascii="宋体" w:hAnsi="宋体" w:cs="宋体"/>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_Toc30666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cs="宋体"/>
          <w:color w:val="auto"/>
          <w:highlight w:val="none"/>
        </w:rPr>
        <w:fldChar w:fldCharType="end"/>
      </w:r>
    </w:p>
    <w:p w14:paraId="4F3EC791">
      <w:pPr>
        <w:pStyle w:val="19"/>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_Toc11493 </w:instrText>
      </w:r>
      <w:r>
        <w:rPr>
          <w:rFonts w:hint="eastAsia" w:ascii="宋体" w:hAnsi="宋体" w:cs="宋体"/>
          <w:color w:val="auto"/>
          <w:highlight w:val="none"/>
        </w:rPr>
        <w:fldChar w:fldCharType="separate"/>
      </w:r>
      <w:r>
        <w:rPr>
          <w:rFonts w:hint="eastAsia" w:ascii="宋体" w:hAnsi="宋体" w:cs="宋体"/>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_Toc11493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cs="宋体"/>
          <w:color w:val="auto"/>
          <w:highlight w:val="none"/>
        </w:rPr>
        <w:fldChar w:fldCharType="end"/>
      </w:r>
    </w:p>
    <w:p w14:paraId="5EB57C0A">
      <w:pPr>
        <w:pStyle w:val="19"/>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_Toc21393 </w:instrText>
      </w:r>
      <w:r>
        <w:rPr>
          <w:rFonts w:hint="eastAsia" w:ascii="宋体" w:hAnsi="宋体" w:cs="宋体"/>
          <w:color w:val="auto"/>
          <w:highlight w:val="none"/>
        </w:rPr>
        <w:fldChar w:fldCharType="separate"/>
      </w:r>
      <w:r>
        <w:rPr>
          <w:rFonts w:hint="eastAsia" w:ascii="宋体" w:hAnsi="宋体" w:cs="宋体"/>
          <w:color w:val="auto"/>
          <w:highlight w:val="none"/>
        </w:rPr>
        <w:t>四、开  标</w:t>
      </w:r>
      <w:r>
        <w:rPr>
          <w:color w:val="auto"/>
          <w:highlight w:val="none"/>
        </w:rPr>
        <w:tab/>
      </w:r>
      <w:r>
        <w:rPr>
          <w:color w:val="auto"/>
          <w:highlight w:val="none"/>
        </w:rPr>
        <w:fldChar w:fldCharType="begin"/>
      </w:r>
      <w:r>
        <w:rPr>
          <w:color w:val="auto"/>
          <w:highlight w:val="none"/>
        </w:rPr>
        <w:instrText xml:space="preserve"> PAGEREF _Toc21393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cs="宋体"/>
          <w:color w:val="auto"/>
          <w:highlight w:val="none"/>
        </w:rPr>
        <w:fldChar w:fldCharType="end"/>
      </w:r>
    </w:p>
    <w:p w14:paraId="0E7FFCA1">
      <w:pPr>
        <w:pStyle w:val="19"/>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_Toc6086 </w:instrText>
      </w:r>
      <w:r>
        <w:rPr>
          <w:rFonts w:hint="eastAsia" w:ascii="宋体" w:hAnsi="宋体" w:cs="宋体"/>
          <w:color w:val="auto"/>
          <w:highlight w:val="none"/>
        </w:rPr>
        <w:fldChar w:fldCharType="separate"/>
      </w:r>
      <w:r>
        <w:rPr>
          <w:rFonts w:hint="eastAsia" w:ascii="宋体" w:hAnsi="宋体" w:cs="宋体"/>
          <w:color w:val="auto"/>
          <w:highlight w:val="none"/>
        </w:rPr>
        <w:t>五、资格审查</w:t>
      </w:r>
      <w:r>
        <w:rPr>
          <w:color w:val="auto"/>
          <w:highlight w:val="none"/>
        </w:rPr>
        <w:tab/>
      </w:r>
      <w:r>
        <w:rPr>
          <w:color w:val="auto"/>
          <w:highlight w:val="none"/>
        </w:rPr>
        <w:fldChar w:fldCharType="begin"/>
      </w:r>
      <w:r>
        <w:rPr>
          <w:color w:val="auto"/>
          <w:highlight w:val="none"/>
        </w:rPr>
        <w:instrText xml:space="preserve"> PAGEREF _Toc6086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cs="宋体"/>
          <w:color w:val="auto"/>
          <w:highlight w:val="none"/>
        </w:rPr>
        <w:fldChar w:fldCharType="end"/>
      </w:r>
    </w:p>
    <w:p w14:paraId="4846D581">
      <w:pPr>
        <w:pStyle w:val="19"/>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_Toc17386 </w:instrText>
      </w:r>
      <w:r>
        <w:rPr>
          <w:rFonts w:hint="eastAsia" w:ascii="宋体" w:hAnsi="宋体" w:cs="宋体"/>
          <w:color w:val="auto"/>
          <w:highlight w:val="none"/>
        </w:rPr>
        <w:fldChar w:fldCharType="separate"/>
      </w:r>
      <w:r>
        <w:rPr>
          <w:rFonts w:hint="eastAsia" w:ascii="宋体" w:hAnsi="宋体" w:cs="宋体"/>
          <w:color w:val="auto"/>
          <w:highlight w:val="none"/>
        </w:rPr>
        <w:t>六、评  标</w:t>
      </w:r>
      <w:r>
        <w:rPr>
          <w:color w:val="auto"/>
          <w:highlight w:val="none"/>
        </w:rPr>
        <w:tab/>
      </w:r>
      <w:r>
        <w:rPr>
          <w:color w:val="auto"/>
          <w:highlight w:val="none"/>
        </w:rPr>
        <w:fldChar w:fldCharType="begin"/>
      </w:r>
      <w:r>
        <w:rPr>
          <w:color w:val="auto"/>
          <w:highlight w:val="none"/>
        </w:rPr>
        <w:instrText xml:space="preserve"> PAGEREF _Toc17386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cs="宋体"/>
          <w:color w:val="auto"/>
          <w:highlight w:val="none"/>
        </w:rPr>
        <w:fldChar w:fldCharType="end"/>
      </w:r>
    </w:p>
    <w:p w14:paraId="14449739">
      <w:pPr>
        <w:pStyle w:val="19"/>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_Toc12517 </w:instrText>
      </w:r>
      <w:r>
        <w:rPr>
          <w:rFonts w:hint="eastAsia" w:ascii="宋体" w:hAnsi="宋体" w:cs="宋体"/>
          <w:color w:val="auto"/>
          <w:highlight w:val="none"/>
        </w:rPr>
        <w:fldChar w:fldCharType="separate"/>
      </w:r>
      <w:r>
        <w:rPr>
          <w:rFonts w:hint="eastAsia" w:ascii="宋体" w:hAnsi="宋体" w:cs="宋体"/>
          <w:color w:val="auto"/>
          <w:highlight w:val="none"/>
        </w:rPr>
        <w:t>七、中标和合同</w:t>
      </w:r>
      <w:r>
        <w:rPr>
          <w:color w:val="auto"/>
          <w:highlight w:val="none"/>
        </w:rPr>
        <w:tab/>
      </w:r>
      <w:r>
        <w:rPr>
          <w:color w:val="auto"/>
          <w:highlight w:val="none"/>
        </w:rPr>
        <w:fldChar w:fldCharType="begin"/>
      </w:r>
      <w:r>
        <w:rPr>
          <w:color w:val="auto"/>
          <w:highlight w:val="none"/>
        </w:rPr>
        <w:instrText xml:space="preserve"> PAGEREF _Toc12517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cs="宋体"/>
          <w:color w:val="auto"/>
          <w:highlight w:val="none"/>
        </w:rPr>
        <w:fldChar w:fldCharType="end"/>
      </w:r>
    </w:p>
    <w:p w14:paraId="2FC21DA4">
      <w:pPr>
        <w:pStyle w:val="19"/>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_Toc17072 </w:instrText>
      </w:r>
      <w:r>
        <w:rPr>
          <w:rFonts w:hint="eastAsia" w:ascii="宋体" w:hAnsi="宋体" w:cs="宋体"/>
          <w:color w:val="auto"/>
          <w:highlight w:val="none"/>
        </w:rPr>
        <w:fldChar w:fldCharType="separate"/>
      </w:r>
      <w:r>
        <w:rPr>
          <w:rFonts w:hint="eastAsia" w:ascii="宋体" w:hAnsi="宋体" w:cs="宋体"/>
          <w:color w:val="auto"/>
          <w:highlight w:val="none"/>
        </w:rPr>
        <w:t>八、其他事项</w:t>
      </w:r>
      <w:r>
        <w:rPr>
          <w:color w:val="auto"/>
          <w:highlight w:val="none"/>
        </w:rPr>
        <w:tab/>
      </w:r>
      <w:r>
        <w:rPr>
          <w:color w:val="auto"/>
          <w:highlight w:val="none"/>
        </w:rPr>
        <w:fldChar w:fldCharType="begin"/>
      </w:r>
      <w:r>
        <w:rPr>
          <w:color w:val="auto"/>
          <w:highlight w:val="none"/>
        </w:rPr>
        <w:instrText xml:space="preserve"> PAGEREF _Toc17072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cs="宋体"/>
          <w:color w:val="auto"/>
          <w:highlight w:val="none"/>
        </w:rPr>
        <w:fldChar w:fldCharType="end"/>
      </w:r>
    </w:p>
    <w:p w14:paraId="047D251A">
      <w:pPr>
        <w:pStyle w:val="2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_Toc15433 </w:instrText>
      </w:r>
      <w:r>
        <w:rPr>
          <w:rFonts w:hint="eastAsia" w:ascii="宋体" w:hAnsi="宋体" w:cs="宋体"/>
          <w:color w:val="auto"/>
          <w:highlight w:val="none"/>
        </w:rPr>
        <w:fldChar w:fldCharType="separate"/>
      </w:r>
      <w:r>
        <w:rPr>
          <w:rFonts w:hint="eastAsia" w:ascii="宋体" w:hAnsi="宋体" w:cs="宋体"/>
          <w:color w:val="auto"/>
          <w:highlight w:val="none"/>
        </w:rPr>
        <w:t>第四章  评标方法及评标标准</w:t>
      </w:r>
      <w:r>
        <w:rPr>
          <w:color w:val="auto"/>
          <w:highlight w:val="none"/>
        </w:rPr>
        <w:tab/>
      </w:r>
      <w:r>
        <w:rPr>
          <w:color w:val="auto"/>
          <w:highlight w:val="none"/>
        </w:rPr>
        <w:fldChar w:fldCharType="begin"/>
      </w:r>
      <w:r>
        <w:rPr>
          <w:color w:val="auto"/>
          <w:highlight w:val="none"/>
        </w:rPr>
        <w:instrText xml:space="preserve"> PAGEREF _Toc15433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cs="宋体"/>
          <w:color w:val="auto"/>
          <w:highlight w:val="none"/>
        </w:rPr>
        <w:fldChar w:fldCharType="end"/>
      </w:r>
    </w:p>
    <w:p w14:paraId="58DCE690">
      <w:pPr>
        <w:pStyle w:val="3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_Toc22273 </w:instrText>
      </w:r>
      <w:r>
        <w:rPr>
          <w:rFonts w:hint="eastAsia" w:ascii="宋体" w:hAnsi="宋体" w:cs="宋体"/>
          <w:color w:val="auto"/>
          <w:highlight w:val="none"/>
        </w:rPr>
        <w:fldChar w:fldCharType="separate"/>
      </w:r>
      <w:r>
        <w:rPr>
          <w:rFonts w:hint="eastAsia" w:ascii="宋体" w:hAnsi="宋体" w:cs="宋体"/>
          <w:color w:val="auto"/>
          <w:highlight w:val="none"/>
        </w:rPr>
        <w:t>一、评标方法</w:t>
      </w:r>
      <w:r>
        <w:rPr>
          <w:color w:val="auto"/>
          <w:highlight w:val="none"/>
        </w:rPr>
        <w:tab/>
      </w:r>
      <w:r>
        <w:rPr>
          <w:color w:val="auto"/>
          <w:highlight w:val="none"/>
        </w:rPr>
        <w:fldChar w:fldCharType="begin"/>
      </w:r>
      <w:r>
        <w:rPr>
          <w:color w:val="auto"/>
          <w:highlight w:val="none"/>
        </w:rPr>
        <w:instrText xml:space="preserve"> PAGEREF _Toc22273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cs="宋体"/>
          <w:color w:val="auto"/>
          <w:highlight w:val="none"/>
        </w:rPr>
        <w:fldChar w:fldCharType="end"/>
      </w:r>
    </w:p>
    <w:p w14:paraId="10FB28B6">
      <w:pPr>
        <w:pStyle w:val="3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_Toc29445 </w:instrText>
      </w:r>
      <w:r>
        <w:rPr>
          <w:rFonts w:hint="eastAsia" w:ascii="宋体" w:hAnsi="宋体" w:cs="宋体"/>
          <w:color w:val="auto"/>
          <w:highlight w:val="none"/>
        </w:rPr>
        <w:fldChar w:fldCharType="separate"/>
      </w:r>
      <w:r>
        <w:rPr>
          <w:rFonts w:hint="eastAsia" w:ascii="宋体" w:hAnsi="宋体" w:cs="宋体"/>
          <w:color w:val="auto"/>
          <w:highlight w:val="none"/>
        </w:rPr>
        <w:t>二、评标程序</w:t>
      </w:r>
      <w:r>
        <w:rPr>
          <w:color w:val="auto"/>
          <w:highlight w:val="none"/>
        </w:rPr>
        <w:tab/>
      </w:r>
      <w:r>
        <w:rPr>
          <w:color w:val="auto"/>
          <w:highlight w:val="none"/>
        </w:rPr>
        <w:fldChar w:fldCharType="begin"/>
      </w:r>
      <w:r>
        <w:rPr>
          <w:color w:val="auto"/>
          <w:highlight w:val="none"/>
        </w:rPr>
        <w:instrText xml:space="preserve"> PAGEREF _Toc29445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cs="宋体"/>
          <w:color w:val="auto"/>
          <w:highlight w:val="none"/>
        </w:rPr>
        <w:fldChar w:fldCharType="end"/>
      </w:r>
    </w:p>
    <w:p w14:paraId="78BC7F19">
      <w:pPr>
        <w:pStyle w:val="3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_Toc4705 </w:instrText>
      </w:r>
      <w:r>
        <w:rPr>
          <w:rFonts w:hint="eastAsia" w:ascii="宋体" w:hAnsi="宋体" w:cs="宋体"/>
          <w:color w:val="auto"/>
          <w:highlight w:val="none"/>
        </w:rPr>
        <w:fldChar w:fldCharType="separate"/>
      </w:r>
      <w:r>
        <w:rPr>
          <w:rFonts w:hint="eastAsia" w:ascii="宋体" w:hAnsi="宋体" w:cs="宋体"/>
          <w:color w:val="auto"/>
          <w:highlight w:val="none"/>
        </w:rPr>
        <w:t>三、评标标准</w:t>
      </w:r>
      <w:r>
        <w:rPr>
          <w:color w:val="auto"/>
          <w:highlight w:val="none"/>
        </w:rPr>
        <w:tab/>
      </w:r>
      <w:r>
        <w:rPr>
          <w:color w:val="auto"/>
          <w:highlight w:val="none"/>
        </w:rPr>
        <w:fldChar w:fldCharType="begin"/>
      </w:r>
      <w:r>
        <w:rPr>
          <w:color w:val="auto"/>
          <w:highlight w:val="none"/>
        </w:rPr>
        <w:instrText xml:space="preserve"> PAGEREF _Toc4705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cs="宋体"/>
          <w:color w:val="auto"/>
          <w:highlight w:val="none"/>
        </w:rPr>
        <w:fldChar w:fldCharType="end"/>
      </w:r>
    </w:p>
    <w:p w14:paraId="5B3D23AE">
      <w:pPr>
        <w:pStyle w:val="3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_Toc29253 </w:instrText>
      </w:r>
      <w:r>
        <w:rPr>
          <w:rFonts w:hint="eastAsia" w:ascii="宋体" w:hAnsi="宋体" w:cs="宋体"/>
          <w:color w:val="auto"/>
          <w:highlight w:val="none"/>
        </w:rPr>
        <w:fldChar w:fldCharType="separate"/>
      </w:r>
      <w:r>
        <w:rPr>
          <w:rFonts w:hint="eastAsia" w:ascii="宋体" w:hAnsi="宋体" w:cs="宋体"/>
          <w:color w:val="auto"/>
          <w:highlight w:val="none"/>
        </w:rPr>
        <w:t>评分标准（综合评分法）</w:t>
      </w:r>
      <w:r>
        <w:rPr>
          <w:color w:val="auto"/>
          <w:highlight w:val="none"/>
        </w:rPr>
        <w:tab/>
      </w:r>
      <w:r>
        <w:rPr>
          <w:color w:val="auto"/>
          <w:highlight w:val="none"/>
        </w:rPr>
        <w:fldChar w:fldCharType="begin"/>
      </w:r>
      <w:r>
        <w:rPr>
          <w:color w:val="auto"/>
          <w:highlight w:val="none"/>
        </w:rPr>
        <w:instrText xml:space="preserve"> PAGEREF _Toc29253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cs="宋体"/>
          <w:color w:val="auto"/>
          <w:highlight w:val="none"/>
        </w:rPr>
        <w:fldChar w:fldCharType="end"/>
      </w:r>
    </w:p>
    <w:p w14:paraId="023CDE82">
      <w:pPr>
        <w:pStyle w:val="3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_Toc4130 </w:instrText>
      </w:r>
      <w:r>
        <w:rPr>
          <w:rFonts w:hint="eastAsia" w:ascii="宋体" w:hAnsi="宋体" w:cs="宋体"/>
          <w:color w:val="auto"/>
          <w:highlight w:val="none"/>
        </w:rPr>
        <w:fldChar w:fldCharType="separate"/>
      </w:r>
      <w:r>
        <w:rPr>
          <w:rFonts w:hint="eastAsia" w:ascii="宋体" w:hAnsi="宋体" w:cs="宋体"/>
          <w:color w:val="auto"/>
          <w:highlight w:val="none"/>
        </w:rPr>
        <w:t>四、中标候选人推荐原则</w:t>
      </w:r>
      <w:r>
        <w:rPr>
          <w:color w:val="auto"/>
          <w:highlight w:val="none"/>
        </w:rPr>
        <w:tab/>
      </w:r>
      <w:r>
        <w:rPr>
          <w:color w:val="auto"/>
          <w:highlight w:val="none"/>
        </w:rPr>
        <w:fldChar w:fldCharType="begin"/>
      </w:r>
      <w:r>
        <w:rPr>
          <w:color w:val="auto"/>
          <w:highlight w:val="none"/>
        </w:rPr>
        <w:instrText xml:space="preserve"> PAGEREF _Toc4130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cs="宋体"/>
          <w:color w:val="auto"/>
          <w:highlight w:val="none"/>
        </w:rPr>
        <w:fldChar w:fldCharType="end"/>
      </w:r>
    </w:p>
    <w:p w14:paraId="5969F282">
      <w:pPr>
        <w:pStyle w:val="2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_Toc22428 </w:instrText>
      </w:r>
      <w:r>
        <w:rPr>
          <w:rFonts w:hint="eastAsia" w:ascii="宋体" w:hAnsi="宋体" w:cs="宋体"/>
          <w:color w:val="auto"/>
          <w:highlight w:val="none"/>
        </w:rPr>
        <w:fldChar w:fldCharType="separate"/>
      </w:r>
      <w:r>
        <w:rPr>
          <w:rFonts w:hint="eastAsia" w:ascii="宋体" w:hAnsi="宋体" w:cs="宋体"/>
          <w:color w:val="auto"/>
          <w:highlight w:val="none"/>
        </w:rPr>
        <w:t>第五章  拟签订的合同文本</w:t>
      </w:r>
      <w:r>
        <w:rPr>
          <w:color w:val="auto"/>
          <w:highlight w:val="none"/>
        </w:rPr>
        <w:tab/>
      </w:r>
      <w:r>
        <w:rPr>
          <w:color w:val="auto"/>
          <w:highlight w:val="none"/>
        </w:rPr>
        <w:fldChar w:fldCharType="begin"/>
      </w:r>
      <w:r>
        <w:rPr>
          <w:color w:val="auto"/>
          <w:highlight w:val="none"/>
        </w:rPr>
        <w:instrText xml:space="preserve"> PAGEREF _Toc22428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cs="宋体"/>
          <w:color w:val="auto"/>
          <w:highlight w:val="none"/>
        </w:rPr>
        <w:fldChar w:fldCharType="end"/>
      </w:r>
    </w:p>
    <w:p w14:paraId="50A8BB72">
      <w:pPr>
        <w:pStyle w:val="2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_Toc20718 </w:instrText>
      </w:r>
      <w:r>
        <w:rPr>
          <w:rFonts w:hint="eastAsia" w:ascii="宋体" w:hAnsi="宋体" w:cs="宋体"/>
          <w:color w:val="auto"/>
          <w:highlight w:val="none"/>
        </w:rPr>
        <w:fldChar w:fldCharType="separate"/>
      </w:r>
      <w:r>
        <w:rPr>
          <w:rFonts w:hint="eastAsia" w:ascii="宋体" w:hAnsi="宋体" w:cs="宋体"/>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_Toc20718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cs="宋体"/>
          <w:color w:val="auto"/>
          <w:highlight w:val="none"/>
        </w:rPr>
        <w:fldChar w:fldCharType="end"/>
      </w:r>
    </w:p>
    <w:p w14:paraId="2C298C77">
      <w:pPr>
        <w:pStyle w:val="3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_Toc7400 </w:instrText>
      </w:r>
      <w:r>
        <w:rPr>
          <w:rFonts w:hint="eastAsia" w:ascii="宋体" w:hAnsi="宋体" w:cs="宋体"/>
          <w:color w:val="auto"/>
          <w:highlight w:val="none"/>
        </w:rPr>
        <w:fldChar w:fldCharType="separate"/>
      </w:r>
      <w:r>
        <w:rPr>
          <w:rFonts w:hint="eastAsia" w:ascii="宋体" w:hAnsi="宋体" w:cs="宋体"/>
          <w:color w:val="auto"/>
          <w:szCs w:val="28"/>
          <w:highlight w:val="none"/>
        </w:rPr>
        <w:t>一、报价文件格式</w:t>
      </w:r>
      <w:r>
        <w:rPr>
          <w:color w:val="auto"/>
          <w:highlight w:val="none"/>
        </w:rPr>
        <w:tab/>
      </w:r>
      <w:r>
        <w:rPr>
          <w:color w:val="auto"/>
          <w:highlight w:val="none"/>
        </w:rPr>
        <w:fldChar w:fldCharType="begin"/>
      </w:r>
      <w:r>
        <w:rPr>
          <w:color w:val="auto"/>
          <w:highlight w:val="none"/>
        </w:rPr>
        <w:instrText xml:space="preserve"> PAGEREF _Toc7400 \h </w:instrText>
      </w:r>
      <w:r>
        <w:rPr>
          <w:color w:val="auto"/>
          <w:highlight w:val="none"/>
        </w:rPr>
        <w:fldChar w:fldCharType="separate"/>
      </w:r>
      <w:r>
        <w:rPr>
          <w:color w:val="auto"/>
          <w:highlight w:val="none"/>
        </w:rPr>
        <w:t>55</w:t>
      </w:r>
      <w:r>
        <w:rPr>
          <w:color w:val="auto"/>
          <w:highlight w:val="none"/>
        </w:rPr>
        <w:fldChar w:fldCharType="end"/>
      </w:r>
      <w:r>
        <w:rPr>
          <w:rFonts w:hint="eastAsia" w:ascii="宋体" w:hAnsi="宋体" w:cs="宋体"/>
          <w:color w:val="auto"/>
          <w:highlight w:val="none"/>
        </w:rPr>
        <w:fldChar w:fldCharType="end"/>
      </w:r>
    </w:p>
    <w:p w14:paraId="26CA290C">
      <w:pPr>
        <w:pStyle w:val="3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_Toc23452 </w:instrText>
      </w:r>
      <w:r>
        <w:rPr>
          <w:rFonts w:hint="eastAsia" w:ascii="宋体" w:hAnsi="宋体" w:cs="宋体"/>
          <w:color w:val="auto"/>
          <w:highlight w:val="none"/>
        </w:rPr>
        <w:fldChar w:fldCharType="separate"/>
      </w:r>
      <w:r>
        <w:rPr>
          <w:rFonts w:hint="eastAsia"/>
          <w:color w:val="auto"/>
          <w:highlight w:val="none"/>
        </w:rPr>
        <w:t>二、资格证明文件格式</w:t>
      </w:r>
      <w:r>
        <w:rPr>
          <w:color w:val="auto"/>
          <w:highlight w:val="none"/>
        </w:rPr>
        <w:tab/>
      </w:r>
      <w:r>
        <w:rPr>
          <w:color w:val="auto"/>
          <w:highlight w:val="none"/>
        </w:rPr>
        <w:fldChar w:fldCharType="begin"/>
      </w:r>
      <w:r>
        <w:rPr>
          <w:color w:val="auto"/>
          <w:highlight w:val="none"/>
        </w:rPr>
        <w:instrText xml:space="preserve"> PAGEREF _Toc23452 \h </w:instrText>
      </w:r>
      <w:r>
        <w:rPr>
          <w:color w:val="auto"/>
          <w:highlight w:val="none"/>
        </w:rPr>
        <w:fldChar w:fldCharType="separate"/>
      </w:r>
      <w:r>
        <w:rPr>
          <w:color w:val="auto"/>
          <w:highlight w:val="none"/>
        </w:rPr>
        <w:t>61</w:t>
      </w:r>
      <w:r>
        <w:rPr>
          <w:color w:val="auto"/>
          <w:highlight w:val="none"/>
        </w:rPr>
        <w:fldChar w:fldCharType="end"/>
      </w:r>
      <w:r>
        <w:rPr>
          <w:rFonts w:hint="eastAsia" w:ascii="宋体" w:hAnsi="宋体" w:cs="宋体"/>
          <w:color w:val="auto"/>
          <w:highlight w:val="none"/>
        </w:rPr>
        <w:fldChar w:fldCharType="end"/>
      </w:r>
    </w:p>
    <w:p w14:paraId="01763FEA">
      <w:pPr>
        <w:pStyle w:val="3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_Toc6222 </w:instrText>
      </w:r>
      <w:r>
        <w:rPr>
          <w:rFonts w:hint="eastAsia" w:ascii="宋体" w:hAnsi="宋体" w:cs="宋体"/>
          <w:color w:val="auto"/>
          <w:highlight w:val="none"/>
        </w:rPr>
        <w:fldChar w:fldCharType="separate"/>
      </w:r>
      <w:r>
        <w:rPr>
          <w:rFonts w:hint="eastAsia" w:ascii="宋体" w:hAnsi="宋体" w:cs="宋体"/>
          <w:color w:val="auto"/>
          <w:szCs w:val="28"/>
          <w:highlight w:val="none"/>
        </w:rPr>
        <w:t>三、商务及技术文件格式</w:t>
      </w:r>
      <w:r>
        <w:rPr>
          <w:color w:val="auto"/>
          <w:highlight w:val="none"/>
        </w:rPr>
        <w:tab/>
      </w:r>
      <w:r>
        <w:rPr>
          <w:color w:val="auto"/>
          <w:highlight w:val="none"/>
        </w:rPr>
        <w:fldChar w:fldCharType="begin"/>
      </w:r>
      <w:r>
        <w:rPr>
          <w:color w:val="auto"/>
          <w:highlight w:val="none"/>
        </w:rPr>
        <w:instrText xml:space="preserve"> PAGEREF _Toc6222 \h </w:instrText>
      </w:r>
      <w:r>
        <w:rPr>
          <w:color w:val="auto"/>
          <w:highlight w:val="none"/>
        </w:rPr>
        <w:fldChar w:fldCharType="separate"/>
      </w:r>
      <w:r>
        <w:rPr>
          <w:color w:val="auto"/>
          <w:highlight w:val="none"/>
        </w:rPr>
        <w:t>66</w:t>
      </w:r>
      <w:r>
        <w:rPr>
          <w:color w:val="auto"/>
          <w:highlight w:val="none"/>
        </w:rPr>
        <w:fldChar w:fldCharType="end"/>
      </w:r>
      <w:r>
        <w:rPr>
          <w:rFonts w:hint="eastAsia" w:ascii="宋体" w:hAnsi="宋体" w:cs="宋体"/>
          <w:color w:val="auto"/>
          <w:highlight w:val="none"/>
        </w:rPr>
        <w:fldChar w:fldCharType="end"/>
      </w:r>
    </w:p>
    <w:p w14:paraId="2A8D59A7">
      <w:pPr>
        <w:pStyle w:val="2"/>
        <w:keepNext w:val="0"/>
        <w:keepLines w:val="0"/>
        <w:pageBreakBefore w:val="0"/>
        <w:tabs>
          <w:tab w:val="left" w:pos="0"/>
          <w:tab w:val="left" w:pos="3165"/>
          <w:tab w:val="center" w:pos="4153"/>
        </w:tabs>
        <w:kinsoku/>
        <w:overflowPunct/>
        <w:topLinePunct w:val="0"/>
        <w:autoSpaceDE w:val="0"/>
        <w:autoSpaceDN w:val="0"/>
        <w:bidi w:val="0"/>
        <w:adjustRightInd w:val="0"/>
        <w:spacing w:before="0" w:after="0" w:line="240" w:lineRule="auto"/>
        <w:jc w:val="center"/>
        <w:textAlignment w:val="auto"/>
        <w:rPr>
          <w:rFonts w:hint="eastAsia" w:ascii="宋体" w:hAnsi="宋体" w:cs="宋体"/>
          <w:color w:val="auto"/>
          <w:highlight w:val="none"/>
        </w:rPr>
        <w:sectPr>
          <w:footerReference r:id="rId7" w:type="default"/>
          <w:pgSz w:w="11906" w:h="16838"/>
          <w:pgMar w:top="1440" w:right="1800" w:bottom="1440" w:left="1800" w:header="851" w:footer="992" w:gutter="0"/>
          <w:pgNumType w:fmt="decimal" w:start="1"/>
          <w:cols w:space="720" w:num="1"/>
          <w:docGrid w:type="lines" w:linePitch="312" w:charSpace="0"/>
        </w:sectPr>
      </w:pPr>
    </w:p>
    <w:p w14:paraId="167E7602">
      <w:pPr>
        <w:pStyle w:val="2"/>
        <w:keepNext w:val="0"/>
        <w:keepLines w:val="0"/>
        <w:pageBreakBefore w:val="0"/>
        <w:tabs>
          <w:tab w:val="left" w:pos="0"/>
          <w:tab w:val="left" w:pos="3165"/>
          <w:tab w:val="center" w:pos="4153"/>
        </w:tabs>
        <w:kinsoku/>
        <w:overflowPunct/>
        <w:topLinePunct w:val="0"/>
        <w:autoSpaceDE w:val="0"/>
        <w:autoSpaceDN w:val="0"/>
        <w:bidi w:val="0"/>
        <w:adjustRightInd w:val="0"/>
        <w:spacing w:before="0" w:after="0" w:line="240" w:lineRule="auto"/>
        <w:jc w:val="center"/>
        <w:textAlignment w:val="auto"/>
        <w:rPr>
          <w:rFonts w:hint="eastAsia" w:ascii="宋体" w:hAnsi="宋体" w:cs="宋体"/>
          <w:color w:val="auto"/>
          <w:highlight w:val="none"/>
        </w:rPr>
      </w:pPr>
      <w:r>
        <w:rPr>
          <w:rFonts w:hint="eastAsia" w:ascii="宋体" w:hAnsi="宋体" w:cs="宋体"/>
          <w:color w:val="auto"/>
          <w:highlight w:val="none"/>
        </w:rPr>
        <w:fldChar w:fldCharType="end"/>
      </w:r>
      <w:bookmarkEnd w:id="5"/>
      <w:bookmarkEnd w:id="6"/>
      <w:bookmarkStart w:id="7" w:name="_Toc254970489"/>
      <w:bookmarkStart w:id="8" w:name="_Toc254970630"/>
      <w:bookmarkStart w:id="9" w:name="_Toc5452"/>
      <w:bookmarkStart w:id="10" w:name="_Toc16993"/>
      <w:bookmarkStart w:id="11" w:name="_Toc21030"/>
      <w:r>
        <w:rPr>
          <w:rFonts w:hint="eastAsia" w:ascii="宋体" w:hAnsi="宋体" w:cs="宋体"/>
          <w:color w:val="auto"/>
          <w:highlight w:val="none"/>
        </w:rPr>
        <w:t>第一章</w:t>
      </w:r>
      <w:bookmarkEnd w:id="7"/>
      <w:bookmarkEnd w:id="8"/>
      <w:bookmarkStart w:id="12" w:name="_Toc35393789"/>
      <w:bookmarkStart w:id="13" w:name="_Toc28359001"/>
      <w:r>
        <w:rPr>
          <w:rFonts w:hint="eastAsia" w:ascii="宋体" w:hAnsi="宋体" w:cs="宋体"/>
          <w:color w:val="auto"/>
          <w:highlight w:val="none"/>
        </w:rPr>
        <w:t xml:space="preserve">  招标公告</w:t>
      </w:r>
      <w:bookmarkEnd w:id="9"/>
      <w:bookmarkEnd w:id="10"/>
      <w:bookmarkEnd w:id="11"/>
      <w:bookmarkEnd w:id="12"/>
      <w:bookmarkEnd w:id="13"/>
    </w:p>
    <w:p w14:paraId="26A8DBC7">
      <w:pPr>
        <w:keepNext w:val="0"/>
        <w:keepLines w:val="0"/>
        <w:pageBreakBefore w:val="0"/>
        <w:kinsoku/>
        <w:overflowPunct/>
        <w:topLinePunct w:val="0"/>
        <w:bidi w:val="0"/>
        <w:spacing w:line="400" w:lineRule="exact"/>
        <w:jc w:val="center"/>
        <w:textAlignment w:val="auto"/>
        <w:rPr>
          <w:rFonts w:hint="eastAsia" w:ascii="宋体" w:hAnsi="宋体" w:cs="宋体"/>
          <w:color w:val="auto"/>
          <w:sz w:val="24"/>
          <w:highlight w:val="none"/>
        </w:rPr>
      </w:pPr>
      <w:r>
        <w:rPr>
          <w:rFonts w:hint="eastAsia" w:ascii="宋体" w:hAnsi="宋体" w:cs="宋体"/>
          <w:b/>
          <w:bCs/>
          <w:color w:val="auto"/>
          <w:sz w:val="24"/>
          <w:highlight w:val="none"/>
          <w:lang w:eastAsia="zh-CN"/>
        </w:rPr>
        <w:t>广西建设工程机电设备招标中心有限公司</w:t>
      </w:r>
      <w:r>
        <w:rPr>
          <w:rFonts w:hint="eastAsia" w:ascii="宋体" w:hAnsi="宋体" w:cs="宋体"/>
          <w:b/>
          <w:bCs/>
          <w:color w:val="auto"/>
          <w:sz w:val="24"/>
          <w:highlight w:val="none"/>
        </w:rPr>
        <w:t>关于</w:t>
      </w:r>
      <w:r>
        <w:rPr>
          <w:rFonts w:hint="eastAsia" w:ascii="宋体" w:hAnsi="宋体" w:cs="宋体"/>
          <w:b/>
          <w:color w:val="auto"/>
          <w:sz w:val="24"/>
          <w:highlight w:val="none"/>
          <w:lang w:eastAsia="zh-CN"/>
        </w:rPr>
        <w:t>医用液氧供应商服务采购项目（重2）（</w:t>
      </w:r>
      <w:r>
        <w:rPr>
          <w:rFonts w:hint="eastAsia" w:ascii="宋体" w:hAnsi="宋体" w:cs="宋体"/>
          <w:b/>
          <w:bCs/>
          <w:color w:val="auto"/>
          <w:sz w:val="24"/>
          <w:highlight w:val="none"/>
        </w:rPr>
        <w:t>项目编号：</w:t>
      </w:r>
      <w:r>
        <w:rPr>
          <w:rFonts w:hint="eastAsia" w:ascii="宋体" w:hAnsi="宋体" w:cs="宋体"/>
          <w:b/>
          <w:bCs/>
          <w:color w:val="auto"/>
          <w:sz w:val="24"/>
          <w:highlight w:val="none"/>
          <w:lang w:eastAsia="zh-CN"/>
        </w:rPr>
        <w:t>GXZC2026-G3-001950-JGJD）</w:t>
      </w:r>
      <w:r>
        <w:rPr>
          <w:rFonts w:hint="eastAsia" w:ascii="宋体" w:hAnsi="宋体" w:cs="宋体"/>
          <w:b/>
          <w:bCs/>
          <w:color w:val="auto"/>
          <w:sz w:val="24"/>
          <w:highlight w:val="none"/>
        </w:rPr>
        <w:t>公开招标公告</w:t>
      </w:r>
    </w:p>
    <w:p w14:paraId="6205A746">
      <w:pPr>
        <w:keepNext w:val="0"/>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项目概况</w:t>
      </w:r>
    </w:p>
    <w:p w14:paraId="1CD40BF4">
      <w:pPr>
        <w:keepNext w:val="0"/>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u w:val="single"/>
          <w:lang w:eastAsia="zh-CN"/>
        </w:rPr>
        <w:t>医用液氧供应商服务采购项目（重2）</w:t>
      </w:r>
      <w:r>
        <w:rPr>
          <w:rFonts w:hint="eastAsia" w:ascii="宋体" w:hAnsi="宋体" w:cs="宋体"/>
          <w:color w:val="auto"/>
          <w:szCs w:val="21"/>
          <w:highlight w:val="none"/>
        </w:rPr>
        <w:t>招标项目的潜在投标人应在广西政府采购云平台（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）获取招标文件，并于</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7</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14</w:t>
      </w:r>
      <w:r>
        <w:rPr>
          <w:rFonts w:hint="eastAsia" w:ascii="宋体" w:hAnsi="宋体" w:cs="宋体"/>
          <w:bCs/>
          <w:color w:val="auto"/>
          <w:szCs w:val="21"/>
          <w:highlight w:val="none"/>
          <w:u w:val="single"/>
        </w:rPr>
        <w:t>日9时30分（</w:t>
      </w:r>
      <w:r>
        <w:rPr>
          <w:rFonts w:hint="eastAsia" w:ascii="宋体" w:hAnsi="宋体" w:cs="宋体"/>
          <w:bCs/>
          <w:color w:val="auto"/>
          <w:szCs w:val="21"/>
          <w:highlight w:val="none"/>
        </w:rPr>
        <w:t>北京时间）前递交投标文件</w:t>
      </w:r>
      <w:r>
        <w:rPr>
          <w:rFonts w:hint="eastAsia" w:ascii="宋体" w:hAnsi="宋体" w:cs="宋体"/>
          <w:color w:val="auto"/>
          <w:szCs w:val="21"/>
          <w:highlight w:val="none"/>
        </w:rPr>
        <w:t>。</w:t>
      </w:r>
    </w:p>
    <w:p w14:paraId="7A7F9499">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bookmarkStart w:id="14" w:name="_Toc35393621"/>
      <w:bookmarkStart w:id="15" w:name="_Toc35393790"/>
      <w:bookmarkStart w:id="16" w:name="_Toc28359002"/>
      <w:bookmarkStart w:id="17" w:name="_Toc28359079"/>
      <w:bookmarkStart w:id="18" w:name="_Hlk24379207"/>
      <w:r>
        <w:rPr>
          <w:rFonts w:hint="eastAsia" w:ascii="宋体" w:hAnsi="宋体" w:cs="宋体"/>
          <w:b/>
          <w:bCs/>
          <w:color w:val="auto"/>
          <w:sz w:val="24"/>
          <w:highlight w:val="none"/>
        </w:rPr>
        <w:t>一、项目基本情况</w:t>
      </w:r>
      <w:bookmarkEnd w:id="14"/>
      <w:bookmarkEnd w:id="15"/>
      <w:bookmarkEnd w:id="16"/>
      <w:bookmarkEnd w:id="17"/>
    </w:p>
    <w:bookmarkEnd w:id="18"/>
    <w:p w14:paraId="01A9FC79">
      <w:pPr>
        <w:keepNext w:val="0"/>
        <w:keepLines w:val="0"/>
        <w:pageBreakBefore w:val="0"/>
        <w:kinsoku/>
        <w:overflowPunct/>
        <w:topLinePunct w:val="0"/>
        <w:bidi w:val="0"/>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val="en-US" w:eastAsia="zh-CN"/>
        </w:rPr>
        <w:t>GXZC2026-G3-001950-JGJD</w:t>
      </w:r>
    </w:p>
    <w:p w14:paraId="3F748BAF">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szCs w:val="21"/>
          <w:highlight w:val="none"/>
        </w:rPr>
        <w:t>项目名称：</w:t>
      </w:r>
      <w:r>
        <w:rPr>
          <w:rFonts w:hint="eastAsia" w:ascii="宋体" w:hAnsi="宋体" w:cs="宋体"/>
          <w:color w:val="auto"/>
          <w:highlight w:val="none"/>
          <w:lang w:eastAsia="zh-CN"/>
        </w:rPr>
        <w:t>医用液氧供应商服务采购项目（重2）</w:t>
      </w:r>
    </w:p>
    <w:p w14:paraId="6388B35F">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szCs w:val="21"/>
          <w:highlight w:val="none"/>
          <w:u w:val="single"/>
          <w:lang w:eastAsia="zh-CN"/>
        </w:rPr>
      </w:pPr>
      <w:r>
        <w:rPr>
          <w:rFonts w:hint="eastAsia" w:ascii="宋体" w:hAnsi="宋体" w:cs="宋体"/>
          <w:color w:val="auto"/>
          <w:highlight w:val="none"/>
        </w:rPr>
        <w:t>预算总金额（元）</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712</w:t>
      </w:r>
      <w:r>
        <w:rPr>
          <w:rFonts w:hint="eastAsia" w:ascii="宋体" w:hAnsi="宋体" w:cs="宋体"/>
          <w:color w:val="auto"/>
          <w:szCs w:val="21"/>
          <w:highlight w:val="none"/>
          <w:lang w:eastAsia="zh-CN"/>
        </w:rPr>
        <w:t>0000.00</w:t>
      </w:r>
    </w:p>
    <w:p w14:paraId="1901B210">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采购需求：</w:t>
      </w:r>
    </w:p>
    <w:p w14:paraId="7F9CAFD6">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标项名称：</w:t>
      </w:r>
      <w:r>
        <w:rPr>
          <w:rFonts w:hint="eastAsia" w:ascii="宋体" w:hAnsi="宋体" w:cs="宋体"/>
          <w:color w:val="auto"/>
          <w:szCs w:val="21"/>
          <w:highlight w:val="none"/>
          <w:lang w:eastAsia="zh-CN"/>
        </w:rPr>
        <w:t>医用液氧供应商服务采购项目（重2）</w:t>
      </w:r>
    </w:p>
    <w:p w14:paraId="629C2DC5">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数量：1</w:t>
      </w:r>
    </w:p>
    <w:p w14:paraId="5F313838">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预算金额（元）：</w:t>
      </w:r>
      <w:r>
        <w:rPr>
          <w:rFonts w:hint="eastAsia" w:ascii="宋体" w:hAnsi="宋体" w:cs="宋体"/>
          <w:color w:val="auto"/>
          <w:szCs w:val="21"/>
          <w:highlight w:val="none"/>
          <w:lang w:val="en-US" w:eastAsia="zh-CN"/>
        </w:rPr>
        <w:t>712</w:t>
      </w:r>
      <w:r>
        <w:rPr>
          <w:rFonts w:hint="eastAsia" w:ascii="宋体" w:hAnsi="宋体" w:cs="宋体"/>
          <w:color w:val="auto"/>
          <w:szCs w:val="21"/>
          <w:highlight w:val="none"/>
          <w:lang w:eastAsia="zh-CN"/>
        </w:rPr>
        <w:t>0000.00</w:t>
      </w:r>
    </w:p>
    <w:p w14:paraId="51F3EFB5">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简要规格描述或项目基本概况介绍、用途：</w:t>
      </w:r>
      <w:bookmarkStart w:id="19" w:name="_Hlk199265269"/>
      <w:r>
        <w:rPr>
          <w:rFonts w:hint="eastAsia" w:ascii="宋体" w:hAnsi="宋体" w:cs="宋体"/>
          <w:color w:val="auto"/>
          <w:szCs w:val="21"/>
          <w:highlight w:val="none"/>
          <w:lang w:eastAsia="zh-CN"/>
        </w:rPr>
        <w:t>医用液氧供应商服务采购项目（重2）</w:t>
      </w:r>
      <w:r>
        <w:rPr>
          <w:rFonts w:hint="eastAsia" w:ascii="宋体" w:hAnsi="宋体" w:cs="宋体"/>
          <w:color w:val="auto"/>
          <w:szCs w:val="21"/>
          <w:highlight w:val="none"/>
          <w:lang w:val="en-US" w:eastAsia="zh-CN"/>
        </w:rPr>
        <w:t>一项</w:t>
      </w:r>
      <w:bookmarkEnd w:id="19"/>
      <w:r>
        <w:rPr>
          <w:rFonts w:hint="eastAsia" w:ascii="宋体" w:hAnsi="宋体" w:cs="宋体"/>
          <w:color w:val="auto"/>
          <w:szCs w:val="21"/>
          <w:highlight w:val="none"/>
          <w:lang w:val="en-US" w:eastAsia="zh-CN"/>
        </w:rPr>
        <w:t>，具体</w:t>
      </w:r>
      <w:r>
        <w:rPr>
          <w:rFonts w:hint="eastAsia" w:ascii="宋体" w:hAnsi="宋体" w:cs="宋体"/>
          <w:color w:val="auto"/>
          <w:szCs w:val="21"/>
          <w:highlight w:val="none"/>
        </w:rPr>
        <w:t>详见招标文件第二章采购需求。</w:t>
      </w:r>
    </w:p>
    <w:p w14:paraId="703FB220">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最高限价（如有）：</w:t>
      </w:r>
      <w:r>
        <w:rPr>
          <w:rFonts w:hint="eastAsia" w:ascii="宋体" w:hAnsi="宋体" w:cs="宋体"/>
          <w:color w:val="auto"/>
          <w:szCs w:val="21"/>
          <w:highlight w:val="none"/>
          <w:lang w:val="en-US" w:eastAsia="zh-CN"/>
        </w:rPr>
        <w:t>712</w:t>
      </w:r>
      <w:r>
        <w:rPr>
          <w:rFonts w:hint="eastAsia" w:ascii="宋体" w:hAnsi="宋体" w:cs="宋体"/>
          <w:color w:val="auto"/>
          <w:szCs w:val="21"/>
          <w:highlight w:val="none"/>
          <w:lang w:eastAsia="zh-CN"/>
        </w:rPr>
        <w:t>0000.00</w:t>
      </w:r>
    </w:p>
    <w:p w14:paraId="55AB6F42">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合同履约期限：自签订合同之日起3年。</w:t>
      </w:r>
    </w:p>
    <w:p w14:paraId="6C738189">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本标项</w:t>
      </w:r>
      <w:r>
        <w:rPr>
          <w:rFonts w:hint="eastAsia" w:ascii="宋体" w:hAnsi="宋体" w:cs="宋体"/>
          <w:color w:val="auto"/>
          <w:szCs w:val="21"/>
          <w:highlight w:val="none"/>
          <w:lang w:eastAsia="zh-CN"/>
        </w:rPr>
        <w:t>不</w:t>
      </w:r>
      <w:r>
        <w:rPr>
          <w:rFonts w:hint="eastAsia" w:ascii="宋体" w:hAnsi="宋体" w:cs="宋体"/>
          <w:color w:val="auto"/>
          <w:szCs w:val="21"/>
          <w:highlight w:val="none"/>
        </w:rPr>
        <w:t>接受联合体投标。</w:t>
      </w:r>
    </w:p>
    <w:p w14:paraId="5BCD858D">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备注：无</w:t>
      </w:r>
    </w:p>
    <w:p w14:paraId="5AAAD72B">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bookmarkStart w:id="20" w:name="_Toc28359080"/>
      <w:bookmarkStart w:id="21" w:name="_Toc35393791"/>
      <w:bookmarkStart w:id="22" w:name="_Toc35393622"/>
      <w:bookmarkStart w:id="23" w:name="_Toc28359003"/>
      <w:r>
        <w:rPr>
          <w:rFonts w:hint="eastAsia" w:ascii="宋体" w:hAnsi="宋体" w:cs="宋体"/>
          <w:b/>
          <w:bCs/>
          <w:color w:val="auto"/>
          <w:sz w:val="24"/>
          <w:highlight w:val="none"/>
        </w:rPr>
        <w:t>二、申请人的资格要求：</w:t>
      </w:r>
      <w:bookmarkEnd w:id="20"/>
      <w:bookmarkEnd w:id="21"/>
      <w:bookmarkEnd w:id="22"/>
      <w:bookmarkEnd w:id="23"/>
    </w:p>
    <w:p w14:paraId="595EC684">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bookmarkStart w:id="24" w:name="_Hlk51746371"/>
      <w:bookmarkStart w:id="25" w:name="_Toc35393792"/>
      <w:bookmarkStart w:id="26" w:name="_Toc28359004"/>
      <w:bookmarkStart w:id="27" w:name="_Toc28359081"/>
      <w:bookmarkStart w:id="28" w:name="_Toc35393623"/>
      <w:r>
        <w:rPr>
          <w:rFonts w:hint="eastAsia" w:ascii="宋体" w:hAnsi="宋体" w:cs="宋体"/>
          <w:color w:val="auto"/>
          <w:szCs w:val="21"/>
          <w:highlight w:val="none"/>
        </w:rPr>
        <w:t>1.满足《中华人民共和国政府采购法》第二十二条规定；</w:t>
      </w:r>
    </w:p>
    <w:p w14:paraId="7B4015C4">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2.落实政府采购政策需满足的资格要求：本项目非专门面向中小企业采购的项目；</w:t>
      </w:r>
    </w:p>
    <w:p w14:paraId="4AC85790">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3.本项目的特定资格要求：</w:t>
      </w:r>
    </w:p>
    <w:p w14:paraId="3D9B2A44">
      <w:pPr>
        <w:keepNext w:val="0"/>
        <w:keepLines w:val="0"/>
        <w:pageBreakBefore w:val="0"/>
        <w:kinsoku/>
        <w:overflowPunct/>
        <w:topLinePunct w:val="0"/>
        <w:bidi w:val="0"/>
        <w:spacing w:line="400" w:lineRule="exact"/>
        <w:ind w:firstLine="420" w:firstLineChars="200"/>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资质要求：</w:t>
      </w:r>
    </w:p>
    <w:p w14:paraId="3BA8A3A1">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①</w:t>
      </w:r>
      <w:r>
        <w:rPr>
          <w:rFonts w:hint="eastAsia" w:ascii="宋体" w:hAnsi="宋体" w:cs="宋体"/>
          <w:color w:val="auto"/>
          <w:szCs w:val="21"/>
          <w:highlight w:val="none"/>
        </w:rPr>
        <w:t>投标人具有有效的《药品生产许可证》</w:t>
      </w:r>
      <w:r>
        <w:rPr>
          <w:rFonts w:hint="eastAsia" w:ascii="宋体" w:hAnsi="宋体" w:cs="宋体"/>
          <w:color w:val="auto"/>
          <w:szCs w:val="21"/>
          <w:highlight w:val="none"/>
          <w:lang w:eastAsia="zh-CN"/>
        </w:rPr>
        <w:t>（</w:t>
      </w:r>
      <w:r>
        <w:rPr>
          <w:rFonts w:hint="eastAsia" w:ascii="宋体" w:hAnsi="宋体" w:cs="宋体"/>
          <w:color w:val="auto"/>
          <w:szCs w:val="21"/>
          <w:highlight w:val="none"/>
        </w:rPr>
        <w:t>且许可范围明确包含“液态医用氧”生产类目</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w:t>
      </w:r>
      <w:r>
        <w:rPr>
          <w:rFonts w:hint="eastAsia" w:ascii="宋体" w:hAnsi="宋体"/>
          <w:color w:val="auto"/>
          <w:szCs w:val="21"/>
          <w:highlight w:val="none"/>
        </w:rPr>
        <w:t>《药品经营许可证》</w:t>
      </w:r>
      <w:r>
        <w:rPr>
          <w:rFonts w:hint="eastAsia" w:ascii="宋体" w:hAnsi="宋体" w:cs="宋体"/>
          <w:color w:val="auto"/>
          <w:szCs w:val="21"/>
          <w:highlight w:val="none"/>
        </w:rPr>
        <w:t>；同时持有有效的《药品注册批件》或《药品再注册批准通知书》</w:t>
      </w:r>
    </w:p>
    <w:p w14:paraId="00244698">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②</w:t>
      </w:r>
      <w:r>
        <w:rPr>
          <w:rFonts w:hint="eastAsia" w:ascii="宋体" w:hAnsi="宋体" w:cs="宋体"/>
          <w:color w:val="auto"/>
          <w:szCs w:val="21"/>
          <w:highlight w:val="none"/>
        </w:rPr>
        <w:t>投标人具有有效的《安全生产许可证》或《危险化学品经营许可证》，且许可范围覆盖液态医用氧相关生产或经营活动；</w:t>
      </w:r>
    </w:p>
    <w:p w14:paraId="4F2CE841">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③</w:t>
      </w:r>
      <w:r>
        <w:rPr>
          <w:rFonts w:hint="eastAsia" w:ascii="宋体" w:hAnsi="宋体" w:cs="宋体"/>
          <w:color w:val="auto"/>
          <w:szCs w:val="21"/>
          <w:highlight w:val="none"/>
        </w:rPr>
        <w:t>投标人或委托的运输单位具有有效的《道路运输经营许可证》（经营范围需明确包含“危险货物运输2类”）或《道路危险货物运输许可证》</w:t>
      </w:r>
    </w:p>
    <w:p w14:paraId="40449E61">
      <w:pPr>
        <w:adjustRightInd w:val="0"/>
        <w:snapToGrid w:val="0"/>
        <w:spacing w:line="360"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w:t>
      </w:r>
      <w:r>
        <w:rPr>
          <w:rFonts w:hint="eastAsia" w:ascii="Arial" w:hAnsi="Arial" w:cs="Arial"/>
          <w:color w:val="auto"/>
          <w:kern w:val="0"/>
          <w:szCs w:val="21"/>
          <w:highlight w:val="none"/>
          <w:lang w:val="en-US" w:eastAsia="zh-CN"/>
        </w:rPr>
        <w:t>2</w:t>
      </w:r>
      <w:r>
        <w:rPr>
          <w:rFonts w:ascii="Arial" w:hAnsi="Arial" w:cs="Arial"/>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31750B49">
      <w:pPr>
        <w:adjustRightInd w:val="0"/>
        <w:snapToGrid w:val="0"/>
        <w:spacing w:line="360"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w:t>
      </w:r>
      <w:r>
        <w:rPr>
          <w:rFonts w:hint="eastAsia" w:ascii="Arial" w:hAnsi="Arial" w:cs="Arial"/>
          <w:color w:val="auto"/>
          <w:kern w:val="0"/>
          <w:szCs w:val="21"/>
          <w:highlight w:val="none"/>
          <w:lang w:val="en-US" w:eastAsia="zh-CN"/>
        </w:rPr>
        <w:t>3</w:t>
      </w:r>
      <w:r>
        <w:rPr>
          <w:rFonts w:ascii="Arial" w:hAnsi="Arial" w:cs="Arial"/>
          <w:color w:val="auto"/>
          <w:kern w:val="0"/>
          <w:szCs w:val="21"/>
          <w:highlight w:val="none"/>
        </w:rPr>
        <w:t>）未被列入失信被执行人、重大税收违法失信主体、政府采购严重违法失信行为记录名单。</w:t>
      </w:r>
    </w:p>
    <w:p w14:paraId="54E31E8C">
      <w:pPr>
        <w:adjustRightInd w:val="0"/>
        <w:snapToGrid w:val="0"/>
        <w:spacing w:line="360" w:lineRule="auto"/>
        <w:ind w:firstLine="420" w:firstLineChars="200"/>
        <w:jc w:val="left"/>
        <w:rPr>
          <w:rFonts w:hint="eastAsia"/>
          <w:color w:val="auto"/>
          <w:highlight w:val="none"/>
        </w:rPr>
      </w:pPr>
      <w:r>
        <w:rPr>
          <w:rFonts w:ascii="Arial" w:hAnsi="Arial" w:cs="Arial"/>
          <w:color w:val="auto"/>
          <w:kern w:val="0"/>
          <w:szCs w:val="21"/>
          <w:highlight w:val="none"/>
        </w:rPr>
        <w:t>（</w:t>
      </w:r>
      <w:r>
        <w:rPr>
          <w:rFonts w:hint="eastAsia" w:ascii="Arial" w:hAnsi="Arial" w:cs="Arial"/>
          <w:color w:val="auto"/>
          <w:kern w:val="0"/>
          <w:szCs w:val="21"/>
          <w:highlight w:val="none"/>
          <w:lang w:val="en-US" w:eastAsia="zh-CN"/>
        </w:rPr>
        <w:t>4</w:t>
      </w:r>
      <w:r>
        <w:rPr>
          <w:rFonts w:ascii="Arial" w:hAnsi="Arial" w:cs="Arial"/>
          <w:color w:val="auto"/>
          <w:kern w:val="0"/>
          <w:szCs w:val="21"/>
          <w:highlight w:val="none"/>
        </w:rPr>
        <w:t>）按照招标公告规定获得招标文件。</w:t>
      </w:r>
    </w:p>
    <w:bookmarkEnd w:id="24"/>
    <w:p w14:paraId="5EC32119">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三、获取招标文件</w:t>
      </w:r>
      <w:bookmarkEnd w:id="25"/>
      <w:bookmarkEnd w:id="26"/>
      <w:bookmarkEnd w:id="27"/>
      <w:bookmarkEnd w:id="28"/>
    </w:p>
    <w:p w14:paraId="39E62744">
      <w:pPr>
        <w:keepNext w:val="0"/>
        <w:keepLines w:val="0"/>
        <w:pageBreakBefore w:val="0"/>
        <w:kinsoku/>
        <w:overflowPunct/>
        <w:topLinePunct w:val="0"/>
        <w:bidi w:val="0"/>
        <w:spacing w:line="400" w:lineRule="exact"/>
        <w:ind w:firstLine="54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1.时间：202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23</w:t>
      </w:r>
      <w:r>
        <w:rPr>
          <w:rFonts w:hint="eastAsia" w:ascii="宋体" w:hAnsi="宋体" w:cs="宋体"/>
          <w:bCs/>
          <w:color w:val="auto"/>
          <w:kern w:val="0"/>
          <w:szCs w:val="21"/>
          <w:highlight w:val="none"/>
        </w:rPr>
        <w:t>日至202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30</w:t>
      </w:r>
      <w:r>
        <w:rPr>
          <w:rFonts w:hint="eastAsia" w:ascii="宋体" w:hAnsi="宋体" w:cs="宋体"/>
          <w:bCs/>
          <w:color w:val="auto"/>
          <w:kern w:val="0"/>
          <w:szCs w:val="21"/>
          <w:highlight w:val="none"/>
        </w:rPr>
        <w:t>日，每天上午00:00至12:00，下午12:00至23:59（北京时间，法定节假日除外）</w:t>
      </w:r>
    </w:p>
    <w:p w14:paraId="3BE2BE09">
      <w:pPr>
        <w:keepNext w:val="0"/>
        <w:keepLines w:val="0"/>
        <w:pageBreakBefore w:val="0"/>
        <w:kinsoku/>
        <w:overflowPunct/>
        <w:topLinePunct w:val="0"/>
        <w:bidi w:val="0"/>
        <w:spacing w:line="400" w:lineRule="exact"/>
        <w:ind w:firstLine="540"/>
        <w:textAlignment w:val="auto"/>
        <w:rPr>
          <w:rFonts w:hint="eastAsia" w:ascii="宋体" w:hAnsi="宋体" w:cs="宋体"/>
          <w:color w:val="auto"/>
          <w:szCs w:val="21"/>
          <w:highlight w:val="none"/>
        </w:rPr>
      </w:pPr>
      <w:r>
        <w:rPr>
          <w:rFonts w:hint="eastAsia" w:ascii="宋体" w:hAnsi="宋体" w:cs="宋体"/>
          <w:bCs/>
          <w:color w:val="auto"/>
          <w:kern w:val="0"/>
          <w:szCs w:val="21"/>
          <w:highlight w:val="none"/>
        </w:rPr>
        <w:t>2.地点：</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w:t>
      </w:r>
    </w:p>
    <w:p w14:paraId="17AC2045">
      <w:pPr>
        <w:keepNext w:val="0"/>
        <w:keepLines w:val="0"/>
        <w:pageBreakBefore w:val="0"/>
        <w:kinsoku/>
        <w:wordWrap w:val="0"/>
        <w:overflowPunct/>
        <w:topLinePunct w:val="0"/>
        <w:bidi w:val="0"/>
        <w:spacing w:line="400" w:lineRule="exact"/>
        <w:ind w:firstLine="539"/>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3.方式：网上下载。本项目不提供纸质文件，潜在供应商需在</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w:t>
      </w:r>
      <w:r>
        <w:rPr>
          <w:rFonts w:hint="eastAsia" w:ascii="宋体" w:hAnsi="宋体" w:cs="宋体"/>
          <w:bCs/>
          <w:color w:val="auto"/>
          <w:kern w:val="0"/>
          <w:szCs w:val="21"/>
          <w:highlight w:val="none"/>
        </w:rPr>
        <w:t>-进入“项目采购”应用，在获取采购文件菜单中选择项目，获取招标文件。</w:t>
      </w:r>
      <w:r>
        <w:rPr>
          <w:rFonts w:hint="eastAsia" w:ascii="宋体" w:hAnsi="宋体" w:cs="宋体"/>
          <w:color w:val="auto"/>
          <w:szCs w:val="21"/>
          <w:highlight w:val="none"/>
        </w:rPr>
        <w:t>电子投标文件制作需要基于广西政府采购云平台获取的招标文件编制，</w:t>
      </w:r>
      <w:r>
        <w:rPr>
          <w:rFonts w:hint="eastAsia" w:ascii="宋体" w:hAnsi="宋体" w:cs="宋体"/>
          <w:bCs/>
          <w:color w:val="auto"/>
          <w:kern w:val="0"/>
          <w:szCs w:val="21"/>
          <w:highlight w:val="none"/>
        </w:rPr>
        <w:t>通过其他方式获取招标文件的，将有可能导致供应商无法在</w:t>
      </w:r>
      <w:r>
        <w:rPr>
          <w:rFonts w:hint="eastAsia" w:ascii="宋体" w:hAnsi="宋体" w:cs="宋体"/>
          <w:color w:val="auto"/>
          <w:szCs w:val="21"/>
          <w:highlight w:val="none"/>
        </w:rPr>
        <w:t>广西政府采购云平台</w:t>
      </w:r>
      <w:r>
        <w:rPr>
          <w:rFonts w:hint="eastAsia" w:ascii="宋体" w:hAnsi="宋体" w:cs="宋体"/>
          <w:bCs/>
          <w:color w:val="auto"/>
          <w:kern w:val="0"/>
          <w:szCs w:val="21"/>
          <w:highlight w:val="none"/>
        </w:rPr>
        <w:t>编制及上传投标文件。</w:t>
      </w:r>
    </w:p>
    <w:p w14:paraId="3BAB7263">
      <w:pPr>
        <w:keepNext w:val="0"/>
        <w:keepLines w:val="0"/>
        <w:pageBreakBefore w:val="0"/>
        <w:kinsoku/>
        <w:overflowPunct/>
        <w:topLinePunct w:val="0"/>
        <w:bidi w:val="0"/>
        <w:spacing w:line="400" w:lineRule="exact"/>
        <w:ind w:firstLine="540"/>
        <w:textAlignment w:val="auto"/>
        <w:rPr>
          <w:rFonts w:hint="eastAsia" w:ascii="宋体" w:hAnsi="宋体" w:cs="宋体"/>
          <w:color w:val="auto"/>
          <w:szCs w:val="21"/>
          <w:highlight w:val="none"/>
        </w:rPr>
      </w:pPr>
      <w:r>
        <w:rPr>
          <w:rFonts w:hint="eastAsia" w:ascii="宋体" w:hAnsi="宋体" w:cs="宋体"/>
          <w:bCs/>
          <w:color w:val="auto"/>
          <w:kern w:val="0"/>
          <w:szCs w:val="21"/>
          <w:highlight w:val="none"/>
        </w:rPr>
        <w:t>4.售价（元）：</w:t>
      </w:r>
      <w:r>
        <w:rPr>
          <w:rFonts w:hint="eastAsia" w:ascii="宋体" w:hAnsi="宋体" w:cs="宋体"/>
          <w:color w:val="auto"/>
          <w:szCs w:val="21"/>
          <w:highlight w:val="none"/>
        </w:rPr>
        <w:t>0</w:t>
      </w:r>
    </w:p>
    <w:p w14:paraId="79D24C61">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bookmarkStart w:id="29" w:name="_Toc28359082"/>
      <w:bookmarkStart w:id="30" w:name="_Toc28359005"/>
      <w:bookmarkStart w:id="31" w:name="_Toc35393624"/>
      <w:bookmarkStart w:id="32" w:name="_Toc35393793"/>
      <w:r>
        <w:rPr>
          <w:rFonts w:hint="eastAsia" w:ascii="宋体" w:hAnsi="宋体" w:cs="宋体"/>
          <w:b/>
          <w:bCs/>
          <w:color w:val="auto"/>
          <w:sz w:val="24"/>
          <w:highlight w:val="none"/>
        </w:rPr>
        <w:t>四、提交投标文件</w:t>
      </w:r>
      <w:bookmarkEnd w:id="29"/>
      <w:bookmarkEnd w:id="30"/>
      <w:r>
        <w:rPr>
          <w:rFonts w:hint="eastAsia" w:ascii="宋体" w:hAnsi="宋体" w:cs="宋体"/>
          <w:b/>
          <w:bCs/>
          <w:color w:val="auto"/>
          <w:sz w:val="24"/>
          <w:highlight w:val="none"/>
        </w:rPr>
        <w:t>截止时间、开标时间和地点</w:t>
      </w:r>
      <w:bookmarkEnd w:id="31"/>
      <w:bookmarkEnd w:id="32"/>
    </w:p>
    <w:p w14:paraId="6CECA957">
      <w:pPr>
        <w:keepNext w:val="0"/>
        <w:keepLines w:val="0"/>
        <w:pageBreakBefore w:val="0"/>
        <w:kinsoku/>
        <w:overflowPunct/>
        <w:topLinePunct w:val="0"/>
        <w:bidi w:val="0"/>
        <w:spacing w:line="400" w:lineRule="exact"/>
        <w:ind w:firstLine="420" w:firstLineChars="200"/>
        <w:textAlignment w:val="auto"/>
        <w:rPr>
          <w:rFonts w:hint="eastAsia" w:ascii="宋体" w:hAnsi="宋体" w:cs="宋体"/>
          <w:bCs/>
          <w:color w:val="auto"/>
          <w:kern w:val="0"/>
          <w:szCs w:val="21"/>
          <w:highlight w:val="none"/>
        </w:rPr>
      </w:pPr>
      <w:bookmarkStart w:id="33" w:name="_Toc28359084"/>
      <w:bookmarkStart w:id="34" w:name="_Toc35393625"/>
      <w:bookmarkStart w:id="35" w:name="_Toc28359007"/>
      <w:bookmarkStart w:id="36" w:name="_Toc35393794"/>
      <w:r>
        <w:rPr>
          <w:rFonts w:hint="eastAsia" w:ascii="宋体" w:hAnsi="宋体" w:cs="宋体"/>
          <w:bCs/>
          <w:color w:val="auto"/>
          <w:kern w:val="0"/>
          <w:szCs w:val="21"/>
          <w:highlight w:val="none"/>
        </w:rPr>
        <w:t>1.提交投标文件截止时间：202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7</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14</w:t>
      </w:r>
      <w:r>
        <w:rPr>
          <w:rFonts w:hint="eastAsia" w:ascii="宋体" w:hAnsi="宋体" w:cs="宋体"/>
          <w:bCs/>
          <w:color w:val="auto"/>
          <w:kern w:val="0"/>
          <w:szCs w:val="21"/>
          <w:highlight w:val="none"/>
        </w:rPr>
        <w:t>日9时30分（北京时间）</w:t>
      </w:r>
    </w:p>
    <w:p w14:paraId="61935A90">
      <w:pPr>
        <w:keepNext w:val="0"/>
        <w:keepLines w:val="0"/>
        <w:pageBreakBefore w:val="0"/>
        <w:kinsoku/>
        <w:overflowPunct/>
        <w:topLinePunct w:val="0"/>
        <w:bidi w:val="0"/>
        <w:spacing w:line="40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2.投标地点（网址）：广西政府采购云平台（https://www.gcy.zfcg.gxzf.gov.cn/）</w:t>
      </w:r>
    </w:p>
    <w:p w14:paraId="3A72A3ED">
      <w:pPr>
        <w:keepNext w:val="0"/>
        <w:keepLines w:val="0"/>
        <w:pageBreakBefore w:val="0"/>
        <w:kinsoku/>
        <w:overflowPunct/>
        <w:topLinePunct w:val="0"/>
        <w:bidi w:val="0"/>
        <w:spacing w:line="40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3.开标时间：</w:t>
      </w:r>
      <w:r>
        <w:rPr>
          <w:rFonts w:hint="eastAsia" w:ascii="宋体" w:hAnsi="宋体" w:cs="宋体"/>
          <w:bCs/>
          <w:color w:val="auto"/>
          <w:kern w:val="0"/>
          <w:szCs w:val="21"/>
          <w:highlight w:val="none"/>
        </w:rPr>
        <w:t>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7</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14</w:t>
      </w:r>
      <w:r>
        <w:rPr>
          <w:rFonts w:hint="eastAsia" w:ascii="宋体" w:hAnsi="宋体" w:cs="宋体"/>
          <w:bCs/>
          <w:color w:val="auto"/>
          <w:kern w:val="0"/>
          <w:szCs w:val="21"/>
          <w:highlight w:val="none"/>
        </w:rPr>
        <w:t>日</w:t>
      </w:r>
      <w:r>
        <w:rPr>
          <w:rFonts w:hint="eastAsia" w:ascii="宋体" w:hAnsi="宋体" w:cs="宋体"/>
          <w:bCs/>
          <w:color w:val="auto"/>
          <w:szCs w:val="21"/>
          <w:highlight w:val="none"/>
        </w:rPr>
        <w:t>9时30分</w:t>
      </w:r>
    </w:p>
    <w:p w14:paraId="1E035D62">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bCs/>
          <w:color w:val="auto"/>
          <w:szCs w:val="21"/>
          <w:highlight w:val="none"/>
        </w:rPr>
        <w:t>4.开标地点：广西政府采购云平台电子开标大厅开标。</w:t>
      </w:r>
    </w:p>
    <w:p w14:paraId="4CF12A88">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五、公告期限</w:t>
      </w:r>
      <w:bookmarkEnd w:id="33"/>
      <w:bookmarkEnd w:id="34"/>
      <w:bookmarkEnd w:id="35"/>
      <w:bookmarkEnd w:id="36"/>
    </w:p>
    <w:p w14:paraId="0BEE10BC">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4A8DEE3F">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bookmarkStart w:id="37" w:name="_Toc35393795"/>
      <w:bookmarkStart w:id="38" w:name="_Toc35393626"/>
      <w:r>
        <w:rPr>
          <w:rFonts w:hint="eastAsia" w:ascii="宋体" w:hAnsi="宋体" w:cs="宋体"/>
          <w:b/>
          <w:bCs/>
          <w:color w:val="auto"/>
          <w:sz w:val="24"/>
          <w:highlight w:val="none"/>
        </w:rPr>
        <w:t>六、其他补充事宜</w:t>
      </w:r>
      <w:bookmarkEnd w:id="37"/>
      <w:bookmarkEnd w:id="38"/>
    </w:p>
    <w:p w14:paraId="66FF03E8">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kern w:val="0"/>
          <w:szCs w:val="21"/>
          <w:highlight w:val="none"/>
        </w:rPr>
      </w:pPr>
      <w:bookmarkStart w:id="39" w:name="_Hlk37429585"/>
      <w:bookmarkStart w:id="40" w:name="_Hlk37429595"/>
      <w:bookmarkStart w:id="41" w:name="_Toc28359085"/>
      <w:bookmarkStart w:id="42" w:name="_Toc35393796"/>
      <w:bookmarkStart w:id="43" w:name="_Toc28359008"/>
      <w:bookmarkStart w:id="44" w:name="_Toc35393627"/>
      <w:r>
        <w:rPr>
          <w:rFonts w:hint="eastAsia" w:ascii="宋体" w:hAnsi="宋体" w:cs="宋体"/>
          <w:color w:val="auto"/>
          <w:kern w:val="0"/>
          <w:szCs w:val="21"/>
          <w:highlight w:val="none"/>
        </w:rPr>
        <w:t>1.投标保证金（人民币）：</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0000.00元。</w:t>
      </w:r>
    </w:p>
    <w:p w14:paraId="2DABCF5B">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投标保证金的缴纳方式：以银行转账、支票、汇票、本票或者金融机构、担保机构出具的保函等非现金形式提交。采用银行转账方式的，在投标截止时间前交至采购代理机构指定账户并且到账。汇款时投标人的汇款单据应注明“</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项目编号）</w:t>
      </w:r>
      <w:r>
        <w:rPr>
          <w:rFonts w:hint="eastAsia" w:ascii="宋体" w:hAnsi="宋体" w:cs="宋体"/>
          <w:color w:val="auto"/>
          <w:kern w:val="0"/>
          <w:szCs w:val="21"/>
          <w:highlight w:val="none"/>
        </w:rPr>
        <w:t>投标保证金”。</w:t>
      </w:r>
    </w:p>
    <w:p w14:paraId="5123D2C4">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2.网上查询地址</w:t>
      </w:r>
    </w:p>
    <w:bookmarkEnd w:id="39"/>
    <w:p w14:paraId="45B51DF6">
      <w:pPr>
        <w:keepNext w:val="0"/>
        <w:keepLines w:val="0"/>
        <w:pageBreakBefore w:val="0"/>
        <w:kinsoku/>
        <w:wordWrap w:val="0"/>
        <w:overflowPunct/>
        <w:topLinePunct w:val="0"/>
        <w:bidi w:val="0"/>
        <w:spacing w:line="400" w:lineRule="exact"/>
        <w:ind w:firstLine="424" w:firstLineChars="202"/>
        <w:textAlignment w:val="auto"/>
        <w:rPr>
          <w:rFonts w:hint="eastAsia" w:ascii="宋体" w:hAnsi="宋体" w:cs="宋体"/>
          <w:i/>
          <w:color w:val="auto"/>
          <w:kern w:val="0"/>
          <w:szCs w:val="21"/>
          <w:highlight w:val="none"/>
        </w:rPr>
      </w:pPr>
      <w:r>
        <w:rPr>
          <w:rFonts w:hint="eastAsia" w:ascii="宋体" w:hAnsi="宋体" w:cs="宋体"/>
          <w:color w:val="auto"/>
          <w:kern w:val="0"/>
          <w:szCs w:val="21"/>
          <w:highlight w:val="none"/>
        </w:rPr>
        <w:t>http://www.ccgp.gov.cn（中国政府采购网）、http://zfcg.gxzf.gov.cn（广西壮族自治区政府采购网）、http://gxggzy.gxzf.gov.cn/（广西壮族自治区公共资源交易中心）</w:t>
      </w:r>
      <w:r>
        <w:rPr>
          <w:rFonts w:hint="eastAsia" w:ascii="宋体" w:hAnsi="宋体" w:cs="宋体"/>
          <w:color w:val="auto"/>
          <w:kern w:val="0"/>
          <w:szCs w:val="21"/>
          <w:highlight w:val="none"/>
          <w:lang w:eastAsia="zh-CN"/>
        </w:rPr>
        <w:t>、http://www.guangxibid.com.cn/</w:t>
      </w:r>
      <w:r>
        <w:rPr>
          <w:rFonts w:hint="eastAsia" w:ascii="宋体" w:hAnsi="宋体" w:cs="宋体"/>
          <w:color w:val="auto"/>
          <w:kern w:val="0"/>
          <w:szCs w:val="21"/>
          <w:highlight w:val="none"/>
          <w:lang w:val="en-US" w:eastAsia="zh-CN"/>
        </w:rPr>
        <w:t>（广西招标网）</w:t>
      </w:r>
      <w:r>
        <w:rPr>
          <w:rFonts w:hint="eastAsia" w:ascii="宋体" w:hAnsi="宋体" w:cs="宋体"/>
          <w:color w:val="auto"/>
          <w:kern w:val="0"/>
          <w:szCs w:val="21"/>
          <w:highlight w:val="none"/>
        </w:rPr>
        <w:t>。</w:t>
      </w:r>
    </w:p>
    <w:bookmarkEnd w:id="40"/>
    <w:p w14:paraId="5836A07B">
      <w:pPr>
        <w:keepNext w:val="0"/>
        <w:keepLines w:val="0"/>
        <w:pageBreakBefore w:val="0"/>
        <w:kinsoku/>
        <w:overflowPunct/>
        <w:topLinePunct w:val="0"/>
        <w:bidi w:val="0"/>
        <w:spacing w:line="400" w:lineRule="exact"/>
        <w:ind w:firstLine="424" w:firstLineChars="202"/>
        <w:textAlignment w:val="auto"/>
        <w:rPr>
          <w:rFonts w:hint="eastAsia" w:ascii="宋体" w:hAnsi="宋体" w:cs="宋体"/>
          <w:color w:val="auto"/>
          <w:kern w:val="0"/>
          <w:szCs w:val="21"/>
          <w:highlight w:val="none"/>
        </w:rPr>
      </w:pPr>
      <w:bookmarkStart w:id="45" w:name="_Hlk37429674"/>
      <w:r>
        <w:rPr>
          <w:rFonts w:hint="eastAsia" w:ascii="宋体" w:hAnsi="宋体" w:cs="宋体"/>
          <w:color w:val="auto"/>
          <w:szCs w:val="21"/>
          <w:highlight w:val="none"/>
        </w:rPr>
        <w:t>3.</w:t>
      </w:r>
      <w:r>
        <w:rPr>
          <w:rFonts w:hint="eastAsia" w:ascii="宋体" w:hAnsi="宋体" w:cs="宋体"/>
          <w:color w:val="auto"/>
          <w:kern w:val="0"/>
          <w:szCs w:val="21"/>
          <w:highlight w:val="none"/>
        </w:rPr>
        <w:t>本项目需要落实的政府采购政策</w:t>
      </w:r>
    </w:p>
    <w:bookmarkEnd w:id="45"/>
    <w:p w14:paraId="0FDD8F34">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788C11F6">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（2）政府采购促进残疾人就业政策。</w:t>
      </w:r>
    </w:p>
    <w:p w14:paraId="04A07772">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（3）政府采购支持监狱企业发展。</w:t>
      </w:r>
    </w:p>
    <w:p w14:paraId="302497D1">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（4）强制采购节能产品；优先采购节能产品、环境标志产品。</w:t>
      </w:r>
    </w:p>
    <w:p w14:paraId="290511EA">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（5）扶持不发达地区和少数民族地区政策。</w:t>
      </w:r>
    </w:p>
    <w:p w14:paraId="47F69845">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6AA105E">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0B021262">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6.投标人</w:t>
      </w:r>
      <w:r>
        <w:rPr>
          <w:rFonts w:hint="eastAsia" w:ascii="宋体" w:hAnsi="宋体" w:cs="宋体"/>
          <w:color w:val="auto"/>
          <w:szCs w:val="21"/>
          <w:highlight w:val="none"/>
        </w:rPr>
        <w:t>投标注意事项</w:t>
      </w:r>
    </w:p>
    <w:p w14:paraId="3206CB54">
      <w:pPr>
        <w:keepNext w:val="0"/>
        <w:keepLines w:val="0"/>
        <w:pageBreakBefore w:val="0"/>
        <w:widowControl/>
        <w:kinsoku/>
        <w:wordWrap w:val="0"/>
        <w:overflowPunct/>
        <w:topLinePunct w:val="0"/>
        <w:bidi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（1）本项目为全流程电子化采购项目，通过广西政府采购云平台（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）实行在线电子投标，投标人应按照本项目招标文件和广西政府采购云平台的要求编制、加密后在投标截止时间前通过网络上传至广西政府采购云平台（加密的电子投标文件是指</w:t>
      </w:r>
      <w:r>
        <w:rPr>
          <w:rFonts w:hint="eastAsia" w:ascii="宋体" w:hAnsi="宋体" w:cs="宋体"/>
          <w:color w:val="auto"/>
          <w:highlight w:val="none"/>
        </w:rPr>
        <w:t>后缀名为“jmbs”的文件</w:t>
      </w:r>
      <w:r>
        <w:rPr>
          <w:rFonts w:hint="eastAsia" w:ascii="宋体" w:hAnsi="宋体" w:cs="宋体"/>
          <w:color w:val="auto"/>
          <w:szCs w:val="21"/>
          <w:highlight w:val="none"/>
        </w:rPr>
        <w:t>），</w:t>
      </w:r>
      <w:r>
        <w:rPr>
          <w:rFonts w:hint="eastAsia" w:ascii="宋体" w:hAnsi="宋体" w:cs="宋体"/>
          <w:b/>
          <w:color w:val="auto"/>
          <w:szCs w:val="21"/>
          <w:highlight w:val="none"/>
        </w:rPr>
        <w:t>投标人在</w:t>
      </w:r>
      <w:r>
        <w:rPr>
          <w:rFonts w:hint="eastAsia" w:ascii="宋体" w:hAnsi="宋体" w:cs="宋体"/>
          <w:color w:val="auto"/>
          <w:szCs w:val="21"/>
          <w:highlight w:val="none"/>
        </w:rPr>
        <w:t>广西政府采购云平台</w:t>
      </w:r>
      <w:r>
        <w:rPr>
          <w:rFonts w:hint="eastAsia" w:ascii="宋体" w:hAnsi="宋体" w:cs="宋体"/>
          <w:b/>
          <w:color w:val="auto"/>
          <w:szCs w:val="21"/>
          <w:highlight w:val="none"/>
        </w:rPr>
        <w:t>提交电子投标文件时，请填写参加远程开标活动经办人联系方式。</w:t>
      </w:r>
      <w:r>
        <w:rPr>
          <w:rFonts w:hint="eastAsia" w:ascii="宋体" w:hAnsi="宋体" w:cs="宋体"/>
          <w:color w:val="auto"/>
          <w:szCs w:val="21"/>
          <w:highlight w:val="none"/>
        </w:rPr>
        <w:t>投标人登录广西政府采购云平台，依次进入“服务中心</w:t>
      </w:r>
      <w:r>
        <w:rPr>
          <w:rFonts w:hint="eastAsia" w:ascii="宋体" w:hAnsi="宋体" w:cs="宋体"/>
          <w:color w:val="auto"/>
          <w:szCs w:val="21"/>
          <w:highlight w:val="none"/>
          <w:lang w:eastAsia="zh-CN"/>
        </w:rPr>
        <w:t>－</w:t>
      </w:r>
      <w:r>
        <w:rPr>
          <w:rFonts w:hint="eastAsia" w:ascii="宋体" w:hAnsi="宋体" w:cs="宋体"/>
          <w:color w:val="auto"/>
          <w:szCs w:val="21"/>
          <w:highlight w:val="none"/>
        </w:rPr>
        <w:t>项目采购</w:t>
      </w:r>
      <w:r>
        <w:rPr>
          <w:rFonts w:hint="eastAsia" w:ascii="宋体" w:hAnsi="宋体" w:cs="宋体"/>
          <w:color w:val="auto"/>
          <w:szCs w:val="21"/>
          <w:highlight w:val="none"/>
          <w:lang w:eastAsia="zh-CN"/>
        </w:rPr>
        <w:t>－</w:t>
      </w:r>
      <w:r>
        <w:rPr>
          <w:rFonts w:hint="eastAsia" w:ascii="宋体" w:hAnsi="宋体" w:cs="宋体"/>
          <w:color w:val="auto"/>
          <w:szCs w:val="21"/>
          <w:highlight w:val="none"/>
        </w:rPr>
        <w:t>操作流程</w:t>
      </w:r>
      <w:r>
        <w:rPr>
          <w:rFonts w:hint="eastAsia" w:ascii="宋体" w:hAnsi="宋体" w:cs="宋体"/>
          <w:color w:val="auto"/>
          <w:szCs w:val="21"/>
          <w:highlight w:val="none"/>
          <w:lang w:eastAsia="zh-CN"/>
        </w:rPr>
        <w:t>－</w:t>
      </w:r>
      <w:r>
        <w:rPr>
          <w:rFonts w:hint="eastAsia" w:ascii="宋体" w:hAnsi="宋体" w:cs="宋体"/>
          <w:color w:val="auto"/>
          <w:szCs w:val="21"/>
          <w:highlight w:val="none"/>
        </w:rPr>
        <w:t>电子招投标</w:t>
      </w:r>
      <w:r>
        <w:rPr>
          <w:rFonts w:hint="eastAsia" w:ascii="宋体" w:hAnsi="宋体" w:cs="宋体"/>
          <w:color w:val="auto"/>
          <w:szCs w:val="21"/>
          <w:highlight w:val="none"/>
          <w:lang w:eastAsia="zh-CN"/>
        </w:rPr>
        <w:t>－</w:t>
      </w:r>
      <w:r>
        <w:rPr>
          <w:rFonts w:hint="eastAsia" w:ascii="宋体" w:hAnsi="宋体" w:cs="宋体"/>
          <w:color w:val="auto"/>
          <w:highlight w:val="none"/>
        </w:rPr>
        <w:t>政府采购项目电子交易管理操作指南</w:t>
      </w:r>
      <w:r>
        <w:rPr>
          <w:rFonts w:hint="eastAsia" w:ascii="宋体" w:hAnsi="宋体" w:cs="宋体"/>
          <w:color w:val="auto"/>
          <w:highlight w:val="none"/>
          <w:lang w:eastAsia="zh-CN"/>
        </w:rPr>
        <w:t>－</w:t>
      </w:r>
      <w:r>
        <w:rPr>
          <w:rFonts w:hint="eastAsia" w:ascii="宋体" w:hAnsi="宋体" w:cs="宋体"/>
          <w:color w:val="auto"/>
          <w:highlight w:val="none"/>
        </w:rPr>
        <w:t>供应商</w:t>
      </w:r>
      <w:r>
        <w:rPr>
          <w:rFonts w:hint="eastAsia" w:ascii="宋体" w:hAnsi="宋体" w:cs="宋体"/>
          <w:color w:val="auto"/>
          <w:szCs w:val="21"/>
          <w:highlight w:val="none"/>
        </w:rPr>
        <w:t>”查看电子投标具体操作流程。</w:t>
      </w:r>
    </w:p>
    <w:p w14:paraId="68F8A65B">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w:t>
      </w:r>
      <w:r>
        <w:rPr>
          <w:rFonts w:hint="eastAsia" w:ascii="宋体" w:hAnsi="宋体" w:cs="宋体"/>
          <w:color w:val="auto"/>
          <w:szCs w:val="21"/>
          <w:highlight w:val="none"/>
          <w:lang w:eastAsia="zh-CN"/>
        </w:rPr>
        <w:t>－</w:t>
      </w:r>
      <w:r>
        <w:rPr>
          <w:rFonts w:hint="eastAsia" w:ascii="宋体" w:hAnsi="宋体" w:cs="宋体"/>
          <w:color w:val="auto"/>
          <w:szCs w:val="21"/>
          <w:highlight w:val="none"/>
        </w:rPr>
        <w:t>下载专区”或者登录广西政府采购云平台</w:t>
      </w:r>
      <w:r>
        <w:rPr>
          <w:rFonts w:hint="eastAsia" w:ascii="宋体" w:hAnsi="宋体" w:cs="宋体"/>
          <w:color w:val="auto"/>
          <w:kern w:val="0"/>
          <w:szCs w:val="21"/>
          <w:highlight w:val="none"/>
        </w:rPr>
        <w:t>，</w:t>
      </w:r>
      <w:r>
        <w:rPr>
          <w:rFonts w:hint="eastAsia" w:ascii="宋体" w:hAnsi="宋体" w:cs="宋体"/>
          <w:color w:val="auto"/>
          <w:szCs w:val="21"/>
          <w:highlight w:val="none"/>
        </w:rPr>
        <w:t>依次进入“服务中心</w:t>
      </w:r>
      <w:r>
        <w:rPr>
          <w:rFonts w:hint="eastAsia" w:ascii="宋体" w:hAnsi="宋体" w:cs="宋体"/>
          <w:color w:val="auto"/>
          <w:szCs w:val="21"/>
          <w:highlight w:val="none"/>
          <w:lang w:eastAsia="zh-CN"/>
        </w:rPr>
        <w:t>－</w:t>
      </w:r>
      <w:r>
        <w:rPr>
          <w:rFonts w:hint="eastAsia" w:ascii="宋体" w:hAnsi="宋体" w:cs="宋体"/>
          <w:color w:val="auto"/>
          <w:szCs w:val="21"/>
          <w:highlight w:val="none"/>
        </w:rPr>
        <w:t>入驻与配置”中查看CA数字证书办理操作流程。</w:t>
      </w:r>
      <w:r>
        <w:rPr>
          <w:rFonts w:hint="eastAsia" w:ascii="宋体" w:hAnsi="宋体" w:cs="宋体"/>
          <w:bCs/>
          <w:color w:val="auto"/>
          <w:kern w:val="0"/>
          <w:szCs w:val="21"/>
          <w:highlight w:val="none"/>
        </w:rPr>
        <w:t>如在操作过程中遇到问题或者需要技术支持，请致电客服热线：95763</w:t>
      </w:r>
      <w:r>
        <w:rPr>
          <w:rFonts w:hint="eastAsia" w:ascii="宋体" w:hAnsi="宋体" w:cs="宋体"/>
          <w:color w:val="auto"/>
          <w:szCs w:val="21"/>
          <w:highlight w:val="none"/>
        </w:rPr>
        <w:t>）。</w:t>
      </w:r>
    </w:p>
    <w:p w14:paraId="234C5010">
      <w:pPr>
        <w:keepNext w:val="0"/>
        <w:keepLines w:val="0"/>
        <w:pageBreakBefore w:val="0"/>
        <w:kinsoku/>
        <w:overflowPunct/>
        <w:topLinePunct w:val="0"/>
        <w:bidi w:val="0"/>
        <w:snapToGrid w:val="0"/>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（3）CA证书在线解密：投标人投标时，需凭制作投标文件时用来加密的有效数字证书（CA认证）登录</w:t>
      </w:r>
      <w:r>
        <w:rPr>
          <w:rFonts w:hint="eastAsia" w:ascii="宋体" w:hAnsi="宋体" w:cs="宋体"/>
          <w:color w:val="auto"/>
          <w:szCs w:val="21"/>
          <w:highlight w:val="none"/>
        </w:rPr>
        <w:t>广西政府采购云平台</w:t>
      </w:r>
      <w:r>
        <w:rPr>
          <w:rFonts w:hint="eastAsia" w:ascii="宋体" w:hAnsi="宋体" w:cs="宋体"/>
          <w:color w:val="auto"/>
          <w:kern w:val="0"/>
          <w:szCs w:val="21"/>
          <w:highlight w:val="none"/>
        </w:rPr>
        <w:t>电子开标大厅现场按规定时间对加密的投标文件进行解密，否则后果自负。</w:t>
      </w:r>
    </w:p>
    <w:p w14:paraId="6AC16C73">
      <w:pPr>
        <w:keepNext w:val="0"/>
        <w:keepLines w:val="0"/>
        <w:pageBreakBefore w:val="0"/>
        <w:kinsoku/>
        <w:wordWrap w:val="0"/>
        <w:overflowPunct/>
        <w:topLinePunct w:val="0"/>
        <w:bidi w:val="0"/>
        <w:spacing w:line="400" w:lineRule="exact"/>
        <w:ind w:firstLine="424" w:firstLineChars="202"/>
        <w:textAlignment w:val="auto"/>
        <w:rPr>
          <w:rFonts w:hint="eastAsia" w:ascii="宋体" w:hAnsi="宋体" w:cs="宋体"/>
          <w:bCs/>
          <w:color w:val="auto"/>
          <w:szCs w:val="21"/>
          <w:highlight w:val="none"/>
        </w:rPr>
      </w:pPr>
      <w:r>
        <w:rPr>
          <w:rFonts w:hint="eastAsia" w:ascii="宋体" w:hAnsi="宋体" w:cs="宋体"/>
          <w:color w:val="auto"/>
          <w:szCs w:val="21"/>
          <w:highlight w:val="none"/>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将予以拒收。</w:t>
      </w:r>
    </w:p>
    <w:p w14:paraId="4C6D7228">
      <w:pPr>
        <w:keepNext w:val="0"/>
        <w:keepLines w:val="0"/>
        <w:pageBreakBefore w:val="0"/>
        <w:kinsoku/>
        <w:wordWrap w:val="0"/>
        <w:overflowPunct/>
        <w:topLinePunct w:val="0"/>
        <w:bidi w:val="0"/>
        <w:spacing w:line="400" w:lineRule="exact"/>
        <w:ind w:firstLine="424" w:firstLineChars="202"/>
        <w:textAlignment w:val="auto"/>
        <w:rPr>
          <w:rFonts w:ascii="宋体" w:hAnsi="宋体" w:cs="宋体"/>
          <w:bCs/>
          <w:color w:val="auto"/>
          <w:szCs w:val="21"/>
          <w:highlight w:val="none"/>
        </w:rPr>
      </w:pPr>
      <w:r>
        <w:rPr>
          <w:rFonts w:hint="eastAsia" w:ascii="宋体" w:hAnsi="宋体" w:cs="宋体"/>
          <w:bCs/>
          <w:color w:val="auto"/>
          <w:szCs w:val="21"/>
          <w:highlight w:val="none"/>
        </w:rPr>
        <w:t>7.采购意向公开链接：http://www.ccgp-guangxi.gov.cn/site/detail?parentId=66485&amp;articleId=OZ79pVb4pG/kqT1RAEdeVA==</w:t>
      </w:r>
    </w:p>
    <w:p w14:paraId="46BA7D8D">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七、对本次招标提出询问，请按以下方式联系。</w:t>
      </w:r>
      <w:bookmarkEnd w:id="41"/>
      <w:bookmarkEnd w:id="42"/>
      <w:bookmarkEnd w:id="43"/>
      <w:bookmarkEnd w:id="44"/>
    </w:p>
    <w:p w14:paraId="0F88346A">
      <w:pPr>
        <w:keepNext w:val="0"/>
        <w:keepLines w:val="0"/>
        <w:pageBreakBefore w:val="0"/>
        <w:kinsoku/>
        <w:overflowPunct/>
        <w:topLinePunct w:val="0"/>
        <w:bidi w:val="0"/>
        <w:spacing w:line="400" w:lineRule="exact"/>
        <w:ind w:firstLine="424" w:firstLineChars="202"/>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1.采购人信息</w:t>
      </w:r>
    </w:p>
    <w:p w14:paraId="297628F1">
      <w:pPr>
        <w:keepNext w:val="0"/>
        <w:keepLines w:val="0"/>
        <w:pageBreakBefore w:val="0"/>
        <w:kinsoku/>
        <w:overflowPunct/>
        <w:topLinePunct w:val="0"/>
        <w:bidi w:val="0"/>
        <w:spacing w:line="400" w:lineRule="exact"/>
        <w:ind w:firstLine="424" w:firstLineChars="202"/>
        <w:jc w:val="left"/>
        <w:textAlignment w:val="auto"/>
        <w:rPr>
          <w:rFonts w:hint="eastAsia" w:ascii="宋体" w:hAnsi="宋体" w:eastAsia="宋体" w:cs="宋体"/>
          <w:color w:val="auto"/>
          <w:szCs w:val="21"/>
          <w:highlight w:val="none"/>
          <w:lang w:eastAsia="zh-CN"/>
        </w:rPr>
      </w:pPr>
      <w:bookmarkStart w:id="46" w:name="_Toc28359086"/>
      <w:bookmarkStart w:id="47" w:name="_Toc28359009"/>
      <w:r>
        <w:rPr>
          <w:rFonts w:hint="eastAsia" w:ascii="宋体" w:hAnsi="宋体" w:cs="宋体"/>
          <w:color w:val="auto"/>
          <w:szCs w:val="21"/>
          <w:highlight w:val="none"/>
        </w:rPr>
        <w:t>名 称：</w:t>
      </w:r>
      <w:r>
        <w:rPr>
          <w:rFonts w:hint="eastAsia" w:ascii="宋体" w:hAnsi="宋体" w:cs="宋体"/>
          <w:color w:val="auto"/>
          <w:szCs w:val="21"/>
          <w:highlight w:val="none"/>
          <w:lang w:eastAsia="zh-CN"/>
        </w:rPr>
        <w:t>广西壮族自治区职业病防治研究院</w:t>
      </w:r>
    </w:p>
    <w:p w14:paraId="30A13600">
      <w:pPr>
        <w:keepNext w:val="0"/>
        <w:keepLines w:val="0"/>
        <w:pageBreakBefore w:val="0"/>
        <w:kinsoku/>
        <w:overflowPunct/>
        <w:topLinePunct w:val="0"/>
        <w:bidi w:val="0"/>
        <w:spacing w:line="400" w:lineRule="exact"/>
        <w:ind w:firstLine="424" w:firstLineChars="202"/>
        <w:jc w:val="lef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rPr>
        <w:t>地 址：</w:t>
      </w:r>
      <w:r>
        <w:rPr>
          <w:rFonts w:hint="eastAsia" w:ascii="宋体" w:hAnsi="宋体" w:cs="宋体"/>
          <w:color w:val="auto"/>
          <w:szCs w:val="21"/>
          <w:highlight w:val="none"/>
          <w:lang w:eastAsia="zh-CN"/>
        </w:rPr>
        <w:t>南宁市柳沙路2号</w:t>
      </w:r>
    </w:p>
    <w:p w14:paraId="74851B6D">
      <w:pPr>
        <w:keepNext w:val="0"/>
        <w:keepLines w:val="0"/>
        <w:pageBreakBefore w:val="0"/>
        <w:kinsoku/>
        <w:overflowPunct/>
        <w:topLinePunct w:val="0"/>
        <w:bidi w:val="0"/>
        <w:spacing w:line="400" w:lineRule="exact"/>
        <w:ind w:firstLine="424" w:firstLineChars="202"/>
        <w:jc w:val="lef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联系人：</w:t>
      </w:r>
      <w:r>
        <w:rPr>
          <w:rFonts w:hint="eastAsia" w:ascii="宋体" w:hAnsi="宋体" w:cs="宋体"/>
          <w:color w:val="auto"/>
          <w:szCs w:val="21"/>
          <w:highlight w:val="none"/>
          <w:lang w:val="en-US" w:eastAsia="zh-CN"/>
        </w:rPr>
        <w:t>蒋老师</w:t>
      </w:r>
    </w:p>
    <w:p w14:paraId="498F0C7E">
      <w:pPr>
        <w:keepNext w:val="0"/>
        <w:keepLines w:val="0"/>
        <w:pageBreakBefore w:val="0"/>
        <w:kinsoku/>
        <w:overflowPunct/>
        <w:topLinePunct w:val="0"/>
        <w:bidi w:val="0"/>
        <w:spacing w:line="400" w:lineRule="exact"/>
        <w:ind w:firstLine="424" w:firstLineChars="202"/>
        <w:jc w:val="lef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联系方式：</w:t>
      </w:r>
      <w:r>
        <w:rPr>
          <w:rFonts w:hint="eastAsia" w:ascii="宋体" w:hAnsi="宋体" w:cs="宋体"/>
          <w:color w:val="auto"/>
          <w:szCs w:val="21"/>
          <w:highlight w:val="none"/>
          <w:lang w:val="en-US" w:eastAsia="zh-CN"/>
        </w:rPr>
        <w:t>0771-5719960</w:t>
      </w:r>
    </w:p>
    <w:bookmarkEnd w:id="46"/>
    <w:bookmarkEnd w:id="47"/>
    <w:p w14:paraId="023FBBF0">
      <w:pPr>
        <w:keepNext w:val="0"/>
        <w:keepLines w:val="0"/>
        <w:pageBreakBefore w:val="0"/>
        <w:kinsoku/>
        <w:overflowPunct/>
        <w:topLinePunct w:val="0"/>
        <w:bidi w:val="0"/>
        <w:spacing w:line="4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2.采购代理机构信息</w:t>
      </w:r>
    </w:p>
    <w:p w14:paraId="233C8BB9">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广西建设工程机电设备招标中心有限公司</w:t>
      </w:r>
    </w:p>
    <w:p w14:paraId="71F7A489">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 址：</w:t>
      </w:r>
      <w:r>
        <w:rPr>
          <w:rFonts w:hint="eastAsia" w:ascii="宋体" w:hAnsi="宋体" w:cs="宋体"/>
          <w:color w:val="auto"/>
          <w:szCs w:val="21"/>
          <w:highlight w:val="none"/>
          <w:lang w:eastAsia="zh-CN"/>
        </w:rPr>
        <w:t>广西南宁市青秀区枫林路18号广西国控大厦（枫林路办公区）裙楼三楼</w:t>
      </w:r>
    </w:p>
    <w:p w14:paraId="04DBFC5C">
      <w:pPr>
        <w:keepNext w:val="0"/>
        <w:keepLines w:val="0"/>
        <w:pageBreakBefore w:val="0"/>
        <w:kinsoku/>
        <w:overflowPunct/>
        <w:topLinePunct w:val="0"/>
        <w:bidi w:val="0"/>
        <w:spacing w:line="400" w:lineRule="exact"/>
        <w:ind w:firstLine="424" w:firstLineChars="202"/>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联系方式：</w:t>
      </w:r>
      <w:r>
        <w:rPr>
          <w:rFonts w:hint="eastAsia" w:ascii="宋体" w:hAnsi="宋体" w:cs="宋体"/>
          <w:color w:val="auto"/>
          <w:szCs w:val="21"/>
          <w:highlight w:val="none"/>
          <w:lang w:eastAsia="zh-CN"/>
        </w:rPr>
        <w:t>0771-</w:t>
      </w:r>
      <w:r>
        <w:rPr>
          <w:rFonts w:hint="eastAsia" w:ascii="宋体" w:hAnsi="宋体" w:cs="宋体"/>
          <w:color w:val="auto"/>
          <w:szCs w:val="21"/>
          <w:highlight w:val="none"/>
          <w:lang w:val="en-US" w:eastAsia="zh-CN"/>
        </w:rPr>
        <w:t>2807659</w:t>
      </w:r>
    </w:p>
    <w:p w14:paraId="27A3962D">
      <w:pPr>
        <w:keepNext w:val="0"/>
        <w:keepLines w:val="0"/>
        <w:pageBreakBefore w:val="0"/>
        <w:kinsoku/>
        <w:overflowPunct/>
        <w:topLinePunct w:val="0"/>
        <w:bidi w:val="0"/>
        <w:spacing w:line="4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3.项目联系方式</w:t>
      </w:r>
    </w:p>
    <w:p w14:paraId="6C6AF942">
      <w:pPr>
        <w:keepNext w:val="0"/>
        <w:keepLines w:val="0"/>
        <w:pageBreakBefore w:val="0"/>
        <w:kinsoku/>
        <w:overflowPunct/>
        <w:topLinePunct w:val="0"/>
        <w:bidi w:val="0"/>
        <w:spacing w:line="400" w:lineRule="exact"/>
        <w:ind w:firstLine="424" w:firstLineChars="202"/>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val="en-US" w:eastAsia="zh-CN"/>
        </w:rPr>
        <w:t>黄天懿、吴兴红、刘风、黄振宁</w:t>
      </w:r>
    </w:p>
    <w:p w14:paraId="03F78329">
      <w:pPr>
        <w:keepNext w:val="0"/>
        <w:keepLines w:val="0"/>
        <w:pageBreakBefore w:val="0"/>
        <w:kinsoku/>
        <w:overflowPunct/>
        <w:topLinePunct w:val="0"/>
        <w:bidi w:val="0"/>
        <w:spacing w:line="400" w:lineRule="exact"/>
        <w:ind w:firstLine="424" w:firstLineChars="202"/>
        <w:textAlignment w:val="auto"/>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电　话：</w:t>
      </w:r>
      <w:r>
        <w:rPr>
          <w:rFonts w:hint="eastAsia" w:ascii="宋体" w:hAnsi="宋体" w:cs="宋体"/>
          <w:color w:val="auto"/>
          <w:szCs w:val="21"/>
          <w:highlight w:val="none"/>
          <w:lang w:eastAsia="zh-CN"/>
        </w:rPr>
        <w:t>0771-</w:t>
      </w:r>
      <w:r>
        <w:rPr>
          <w:rFonts w:hint="eastAsia" w:ascii="宋体" w:hAnsi="宋体" w:cs="宋体"/>
          <w:color w:val="auto"/>
          <w:szCs w:val="21"/>
          <w:highlight w:val="none"/>
          <w:lang w:val="en-US" w:eastAsia="zh-CN"/>
        </w:rPr>
        <w:t>2807659</w:t>
      </w:r>
    </w:p>
    <w:p w14:paraId="763E479C">
      <w:pPr>
        <w:keepNext w:val="0"/>
        <w:keepLines w:val="0"/>
        <w:pageBreakBefore w:val="0"/>
        <w:kinsoku/>
        <w:overflowPunct/>
        <w:topLinePunct w:val="0"/>
        <w:bidi w:val="0"/>
        <w:spacing w:line="400" w:lineRule="exact"/>
        <w:textAlignment w:val="auto"/>
        <w:rPr>
          <w:rFonts w:hint="eastAsia" w:ascii="宋体" w:hAnsi="宋体" w:cs="宋体"/>
          <w:color w:val="auto"/>
          <w:szCs w:val="21"/>
          <w:highlight w:val="none"/>
        </w:rPr>
      </w:pPr>
    </w:p>
    <w:p w14:paraId="034A0FF9">
      <w:pPr>
        <w:keepNext w:val="0"/>
        <w:keepLines w:val="0"/>
        <w:pageBreakBefore w:val="0"/>
        <w:kinsoku/>
        <w:overflowPunct/>
        <w:topLinePunct w:val="0"/>
        <w:bidi w:val="0"/>
        <w:spacing w:line="400" w:lineRule="exact"/>
        <w:jc w:val="right"/>
        <w:textAlignment w:val="auto"/>
        <w:rPr>
          <w:rFonts w:hint="eastAsia" w:ascii="宋体" w:hAnsi="宋体" w:cs="宋体"/>
          <w:b/>
          <w:bCs/>
          <w:color w:val="auto"/>
          <w:highlight w:val="none"/>
        </w:rPr>
      </w:pPr>
      <w:r>
        <w:rPr>
          <w:rFonts w:hint="eastAsia" w:ascii="宋体" w:hAnsi="宋体" w:cs="宋体"/>
          <w:color w:val="auto"/>
          <w:szCs w:val="21"/>
          <w:highlight w:val="none"/>
        </w:rPr>
        <w:t>采购代理机构：</w:t>
      </w:r>
      <w:r>
        <w:rPr>
          <w:rFonts w:hint="eastAsia" w:ascii="宋体" w:hAnsi="宋体" w:cs="宋体"/>
          <w:color w:val="auto"/>
          <w:szCs w:val="21"/>
          <w:highlight w:val="none"/>
          <w:lang w:eastAsia="zh-CN"/>
        </w:rPr>
        <w:t>广西建设工程机电设备招标中心有限公司</w:t>
      </w:r>
      <w:r>
        <w:rPr>
          <w:rFonts w:hint="eastAsia" w:ascii="宋体" w:hAnsi="宋体" w:cs="宋体"/>
          <w:b/>
          <w:bCs/>
          <w:color w:val="auto"/>
          <w:highlight w:val="none"/>
        </w:rPr>
        <w:t xml:space="preserve"> </w:t>
      </w:r>
    </w:p>
    <w:p w14:paraId="553734D2">
      <w:pPr>
        <w:keepNext w:val="0"/>
        <w:keepLines w:val="0"/>
        <w:pageBreakBefore w:val="0"/>
        <w:kinsoku/>
        <w:overflowPunct/>
        <w:topLinePunct w:val="0"/>
        <w:bidi w:val="0"/>
        <w:spacing w:line="400" w:lineRule="exact"/>
        <w:ind w:firstLine="4095" w:firstLineChars="1950"/>
        <w:jc w:val="right"/>
        <w:textAlignment w:val="auto"/>
        <w:rPr>
          <w:rFonts w:hint="eastAsia" w:ascii="宋体" w:hAnsi="宋体" w:cs="宋体"/>
          <w:b/>
          <w:bCs/>
          <w:color w:val="auto"/>
          <w:highlight w:val="none"/>
        </w:rPr>
      </w:pPr>
      <w:r>
        <w:rPr>
          <w:rFonts w:hint="eastAsia" w:ascii="宋体" w:hAnsi="宋体" w:cs="宋体"/>
          <w:bCs/>
          <w:color w:val="auto"/>
          <w:kern w:val="0"/>
          <w:szCs w:val="21"/>
          <w:highlight w:val="none"/>
        </w:rPr>
        <w:t>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 xml:space="preserve">23 </w:t>
      </w:r>
      <w:r>
        <w:rPr>
          <w:rFonts w:hint="eastAsia" w:ascii="宋体" w:hAnsi="宋体" w:cs="宋体"/>
          <w:bCs/>
          <w:color w:val="auto"/>
          <w:kern w:val="0"/>
          <w:szCs w:val="21"/>
          <w:highlight w:val="none"/>
        </w:rPr>
        <w:t>日</w:t>
      </w:r>
    </w:p>
    <w:p w14:paraId="34E7F712">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ascii="宋体" w:hAnsi="宋体" w:cs="宋体"/>
          <w:color w:val="auto"/>
          <w:highlight w:val="none"/>
        </w:rPr>
      </w:pPr>
      <w:r>
        <w:rPr>
          <w:rFonts w:hint="eastAsia" w:ascii="宋体" w:hAnsi="宋体" w:cs="宋体"/>
          <w:color w:val="auto"/>
          <w:sz w:val="24"/>
          <w:szCs w:val="20"/>
          <w:highlight w:val="none"/>
        </w:rPr>
        <w:br w:type="page"/>
      </w:r>
      <w:bookmarkStart w:id="48" w:name="_Toc12941"/>
      <w:bookmarkStart w:id="49" w:name="_Toc28054"/>
      <w:bookmarkStart w:id="50" w:name="_Toc29892"/>
      <w:r>
        <w:rPr>
          <w:rFonts w:hint="eastAsia" w:ascii="宋体" w:hAnsi="宋体" w:cs="宋体"/>
          <w:color w:val="auto"/>
          <w:highlight w:val="none"/>
        </w:rPr>
        <w:t>第二章  采购需求</w:t>
      </w:r>
      <w:bookmarkEnd w:id="48"/>
      <w:bookmarkEnd w:id="49"/>
      <w:bookmarkEnd w:id="50"/>
    </w:p>
    <w:p w14:paraId="2E10066C">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一、说明：</w:t>
      </w:r>
    </w:p>
    <w:p w14:paraId="39715F3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1.为落实政府采购政策需满足的要求</w:t>
      </w:r>
    </w:p>
    <w:p w14:paraId="5EFE733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本招标文件所称中小企业必须符合《政府采购促进中小企业发展管理办法》（财库〔2020〕46号）的规定。</w:t>
      </w:r>
    </w:p>
    <w:p w14:paraId="4338CAC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2.“实质性要求”是指招标文件中已经指明不满足则投标无效的条款，或者不能负偏离的条款，或者采购需求中带“▲”的条款。</w:t>
      </w:r>
    </w:p>
    <w:p w14:paraId="15C2ADC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3.投标人必须自行为其投标产品侵犯他人的知识产权或者专利成果的行为承担相应法律责任。</w:t>
      </w:r>
    </w:p>
    <w:p w14:paraId="092F7C0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4.采购内容的中小企业划分标准所属行业名称：</w:t>
      </w:r>
      <w:r>
        <w:rPr>
          <w:rFonts w:hint="eastAsia" w:ascii="宋体" w:hAnsi="宋体" w:cs="宋体"/>
          <w:b/>
          <w:bCs w:val="0"/>
          <w:color w:val="auto"/>
          <w:kern w:val="0"/>
          <w:szCs w:val="21"/>
          <w:highlight w:val="none"/>
          <w:lang w:val="en-US" w:eastAsia="zh-CN"/>
        </w:rPr>
        <w:t>批发业。</w:t>
      </w:r>
    </w:p>
    <w:p w14:paraId="66461D1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.采购需求要求未尽事宜由采购人与中标供应商在采购合同中约定。</w:t>
      </w:r>
    </w:p>
    <w:p w14:paraId="3801885C">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lang w:val="en-US" w:eastAsia="zh-CN"/>
        </w:rPr>
        <w:t>.</w:t>
      </w:r>
      <w:r>
        <w:rPr>
          <w:rFonts w:hint="eastAsia" w:ascii="宋体" w:hAnsi="宋体" w:cs="宋体"/>
          <w:b/>
          <w:bCs w:val="0"/>
          <w:color w:val="auto"/>
          <w:kern w:val="0"/>
          <w:szCs w:val="21"/>
          <w:highlight w:val="none"/>
          <w:lang w:val="en-US" w:eastAsia="zh-CN"/>
        </w:rPr>
        <w:t>投标人的报价出现《财政部关于推动解决政府采购异常低价问题的通知》（财库〔2026〕2号）规定的异常低价情形（具体详见招标文件第四章评标方法及评标标准二、评标程序6.异常低价审查），有可能影响服务质量或者不能诚信履约的，其应当在评标现场合理时间内（不少于30分钟）对报价作出解释，提供项目具体成本测算等与报价合理性相关的书面说明及必要证明材料；投标人不能提供相关说明、证明材料，或提供的材料无法证明其报价合理性的，评标委员会将其作为无效投标处理。</w:t>
      </w:r>
      <w:r>
        <w:rPr>
          <w:rFonts w:hint="eastAsia" w:ascii="宋体" w:hAnsi="宋体" w:eastAsia="宋体" w:cs="宋体"/>
          <w:b/>
          <w:bCs/>
          <w:color w:val="auto"/>
          <w:szCs w:val="21"/>
          <w:highlight w:val="none"/>
          <w:lang w:val="en-US" w:eastAsia="zh-CN"/>
        </w:rPr>
        <w:t xml:space="preserve"> </w:t>
      </w:r>
    </w:p>
    <w:p w14:paraId="2050DFF6">
      <w:pPr>
        <w:pStyle w:val="1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rPr>
      </w:pPr>
    </w:p>
    <w:p w14:paraId="033E20C6">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color w:val="auto"/>
          <w:sz w:val="24"/>
          <w:highlight w:val="none"/>
        </w:rPr>
      </w:pPr>
      <w:r>
        <w:rPr>
          <w:rFonts w:hint="eastAsia" w:ascii="宋体" w:hAnsi="宋体" w:cs="宋体"/>
          <w:b/>
          <w:color w:val="auto"/>
          <w:szCs w:val="21"/>
          <w:highlight w:val="none"/>
        </w:rPr>
        <w:t>二、技术及商务要求：</w:t>
      </w:r>
    </w:p>
    <w:tbl>
      <w:tblPr>
        <w:tblStyle w:val="39"/>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91" w:type="dxa"/>
          <w:bottom w:w="0" w:type="dxa"/>
          <w:right w:w="91" w:type="dxa"/>
        </w:tblCellMar>
      </w:tblPr>
      <w:tblGrid>
        <w:gridCol w:w="610"/>
        <w:gridCol w:w="1167"/>
        <w:gridCol w:w="480"/>
        <w:gridCol w:w="240"/>
        <w:gridCol w:w="657"/>
        <w:gridCol w:w="5917"/>
      </w:tblGrid>
      <w:tr w14:paraId="1C17E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455" w:hRule="atLeast"/>
          <w:jc w:val="center"/>
        </w:trPr>
        <w:tc>
          <w:tcPr>
            <w:tcW w:w="9071" w:type="dxa"/>
            <w:gridSpan w:val="6"/>
            <w:tcBorders>
              <w:top w:val="single" w:color="000000" w:sz="2" w:space="0"/>
              <w:left w:val="single" w:color="000000" w:sz="2" w:space="0"/>
              <w:bottom w:val="single" w:color="000000" w:sz="2" w:space="0"/>
              <w:right w:val="single" w:color="000000" w:sz="2" w:space="0"/>
            </w:tcBorders>
            <w:noWrap w:val="0"/>
            <w:vAlign w:val="center"/>
          </w:tcPr>
          <w:p w14:paraId="337E315A">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textAlignment w:val="auto"/>
              <w:rPr>
                <w:rFonts w:hint="eastAsia" w:ascii="宋体" w:hAnsi="宋体" w:cs="宋体"/>
                <w:color w:val="auto"/>
                <w:szCs w:val="21"/>
                <w:highlight w:val="none"/>
              </w:rPr>
            </w:pPr>
            <w:r>
              <w:rPr>
                <w:rFonts w:hint="eastAsia" w:ascii="宋体" w:hAnsi="宋体" w:cs="宋体"/>
                <w:b/>
                <w:bCs/>
                <w:color w:val="auto"/>
                <w:szCs w:val="21"/>
                <w:highlight w:val="none"/>
              </w:rPr>
              <w:t>一、项目要求及技术需求</w:t>
            </w:r>
          </w:p>
        </w:tc>
      </w:tr>
      <w:tr w14:paraId="11FC2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496" w:hRule="atLeast"/>
          <w:jc w:val="center"/>
        </w:trPr>
        <w:tc>
          <w:tcPr>
            <w:tcW w:w="610" w:type="dxa"/>
            <w:tcBorders>
              <w:top w:val="single" w:color="000000" w:sz="2" w:space="0"/>
              <w:left w:val="single" w:color="000000" w:sz="2" w:space="0"/>
              <w:bottom w:val="single" w:color="000000" w:sz="2" w:space="0"/>
              <w:right w:val="single" w:color="000000" w:sz="2" w:space="0"/>
            </w:tcBorders>
            <w:noWrap w:val="0"/>
            <w:vAlign w:val="center"/>
          </w:tcPr>
          <w:p w14:paraId="1A60D645">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167" w:type="dxa"/>
            <w:tcBorders>
              <w:top w:val="single" w:color="000000" w:sz="2" w:space="0"/>
              <w:left w:val="single" w:color="000000" w:sz="2" w:space="0"/>
              <w:bottom w:val="single" w:color="000000" w:sz="2" w:space="0"/>
              <w:right w:val="single" w:color="000000" w:sz="2" w:space="0"/>
            </w:tcBorders>
            <w:noWrap w:val="0"/>
            <w:vAlign w:val="center"/>
          </w:tcPr>
          <w:p w14:paraId="15180876">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标的名称</w:t>
            </w:r>
          </w:p>
        </w:tc>
        <w:tc>
          <w:tcPr>
            <w:tcW w:w="720" w:type="dxa"/>
            <w:gridSpan w:val="2"/>
            <w:tcBorders>
              <w:top w:val="single" w:color="000000" w:sz="2" w:space="0"/>
              <w:left w:val="single" w:color="000000" w:sz="2" w:space="0"/>
              <w:bottom w:val="single" w:color="000000" w:sz="2" w:space="0"/>
              <w:right w:val="single" w:color="000000" w:sz="2" w:space="0"/>
            </w:tcBorders>
            <w:noWrap w:val="0"/>
            <w:vAlign w:val="center"/>
          </w:tcPr>
          <w:p w14:paraId="171C35BA">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657" w:type="dxa"/>
            <w:tcBorders>
              <w:top w:val="single" w:color="000000" w:sz="2" w:space="0"/>
              <w:left w:val="single" w:color="000000" w:sz="2" w:space="0"/>
              <w:bottom w:val="single" w:color="000000" w:sz="2" w:space="0"/>
              <w:right w:val="single" w:color="000000" w:sz="2" w:space="0"/>
            </w:tcBorders>
            <w:noWrap w:val="0"/>
            <w:vAlign w:val="center"/>
          </w:tcPr>
          <w:p w14:paraId="30E0D858">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5917" w:type="dxa"/>
            <w:tcBorders>
              <w:top w:val="single" w:color="000000" w:sz="2" w:space="0"/>
              <w:left w:val="single" w:color="000000" w:sz="2" w:space="0"/>
              <w:bottom w:val="single" w:color="000000" w:sz="2" w:space="0"/>
              <w:right w:val="single" w:color="000000" w:sz="2" w:space="0"/>
            </w:tcBorders>
            <w:noWrap w:val="0"/>
            <w:vAlign w:val="center"/>
          </w:tcPr>
          <w:p w14:paraId="2D3E3F49">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项目要求及技术需求</w:t>
            </w:r>
          </w:p>
        </w:tc>
      </w:tr>
      <w:tr w14:paraId="3C15D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90" w:hRule="atLeast"/>
          <w:jc w:val="center"/>
        </w:trPr>
        <w:tc>
          <w:tcPr>
            <w:tcW w:w="610" w:type="dxa"/>
            <w:tcBorders>
              <w:top w:val="single" w:color="000000" w:sz="2" w:space="0"/>
              <w:left w:val="single" w:color="000000" w:sz="2" w:space="0"/>
              <w:bottom w:val="single" w:color="000000" w:sz="2" w:space="0"/>
              <w:right w:val="single" w:color="000000" w:sz="2" w:space="0"/>
            </w:tcBorders>
            <w:noWrap w:val="0"/>
            <w:vAlign w:val="center"/>
          </w:tcPr>
          <w:p w14:paraId="634FCBD7">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w:t>
            </w:r>
          </w:p>
        </w:tc>
        <w:tc>
          <w:tcPr>
            <w:tcW w:w="1167" w:type="dxa"/>
            <w:tcBorders>
              <w:top w:val="single" w:color="000000" w:sz="2" w:space="0"/>
              <w:left w:val="single" w:color="000000" w:sz="2" w:space="0"/>
              <w:bottom w:val="single" w:color="000000" w:sz="2" w:space="0"/>
              <w:right w:val="single" w:color="000000" w:sz="2" w:space="0"/>
            </w:tcBorders>
            <w:noWrap w:val="0"/>
            <w:vAlign w:val="center"/>
          </w:tcPr>
          <w:p w14:paraId="074C57EB">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医用液氧供应商服务采购项目（重2）</w:t>
            </w:r>
          </w:p>
        </w:tc>
        <w:tc>
          <w:tcPr>
            <w:tcW w:w="720" w:type="dxa"/>
            <w:gridSpan w:val="2"/>
            <w:tcBorders>
              <w:top w:val="single" w:color="000000" w:sz="2" w:space="0"/>
              <w:left w:val="single" w:color="000000" w:sz="2" w:space="0"/>
              <w:bottom w:val="single" w:color="000000" w:sz="2" w:space="0"/>
              <w:right w:val="single" w:color="000000" w:sz="2" w:space="0"/>
            </w:tcBorders>
            <w:noWrap w:val="0"/>
            <w:vAlign w:val="center"/>
          </w:tcPr>
          <w:p w14:paraId="0E2122F3">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w:t>
            </w:r>
          </w:p>
        </w:tc>
        <w:tc>
          <w:tcPr>
            <w:tcW w:w="657" w:type="dxa"/>
            <w:tcBorders>
              <w:top w:val="single" w:color="000000" w:sz="2" w:space="0"/>
              <w:left w:val="single" w:color="000000" w:sz="2" w:space="0"/>
              <w:bottom w:val="single" w:color="000000" w:sz="2" w:space="0"/>
              <w:right w:val="single" w:color="000000" w:sz="2" w:space="0"/>
            </w:tcBorders>
            <w:noWrap w:val="0"/>
            <w:vAlign w:val="center"/>
          </w:tcPr>
          <w:p w14:paraId="43360810">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项</w:t>
            </w:r>
          </w:p>
        </w:tc>
        <w:tc>
          <w:tcPr>
            <w:tcW w:w="5917" w:type="dxa"/>
            <w:tcBorders>
              <w:top w:val="single" w:color="000000" w:sz="2" w:space="0"/>
              <w:left w:val="single" w:color="000000" w:sz="2" w:space="0"/>
              <w:bottom w:val="single" w:color="000000" w:sz="2" w:space="0"/>
              <w:right w:val="single" w:color="000000" w:sz="2" w:space="0"/>
            </w:tcBorders>
            <w:noWrap w:val="0"/>
            <w:vAlign w:val="center"/>
          </w:tcPr>
          <w:p w14:paraId="2304FBFE">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一、液氧供应技术参数：</w:t>
            </w:r>
          </w:p>
          <w:p w14:paraId="3D07DEE2">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▲（一）配送医用氧应具备条件：</w:t>
            </w:r>
          </w:p>
          <w:p w14:paraId="0184E999">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投标人提供24小时全天候免费技术服务（包括送氧及供氧设备维修）；</w:t>
            </w:r>
          </w:p>
          <w:p w14:paraId="2AC19441">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2.投标人须为本项目配备不少于 1 名持有有效的中华人民共和国特种设备安全管理和作业人员证的专职人员</w:t>
            </w:r>
            <w:r>
              <w:rPr>
                <w:rFonts w:hint="eastAsia" w:ascii="宋体" w:hAnsi="宋体" w:cs="宋体"/>
                <w:color w:val="auto"/>
                <w:szCs w:val="21"/>
                <w:highlight w:val="none"/>
              </w:rPr>
              <w:t>；</w:t>
            </w:r>
          </w:p>
          <w:p w14:paraId="6B62ABB6">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rPr>
              <w:t>用于液态医用氧生产的核心设备需常年处于开机运行状态（投标时需提供设备运行记录、近3个月生产报表等证明材料），以此证明液态医用氧产品持续符合注册要求及稳定供应能力；</w:t>
            </w:r>
          </w:p>
          <w:p w14:paraId="6408BA3F">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4.</w:t>
            </w:r>
            <w:r>
              <w:rPr>
                <w:rFonts w:hint="eastAsia" w:ascii="宋体" w:hAnsi="宋体" w:cs="宋体"/>
                <w:color w:val="auto"/>
                <w:szCs w:val="21"/>
                <w:highlight w:val="none"/>
              </w:rPr>
              <w:t>潜在投标人具备有效的《安全生产许可证》或《危险化学品经营许可证》，且许可范围覆盖液态医用氧相关生产或经营活动；</w:t>
            </w:r>
          </w:p>
          <w:p w14:paraId="0D3936EC">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5.</w:t>
            </w:r>
            <w:r>
              <w:rPr>
                <w:rFonts w:hint="eastAsia" w:ascii="宋体" w:hAnsi="宋体" w:cs="宋体"/>
                <w:color w:val="auto"/>
                <w:szCs w:val="21"/>
                <w:highlight w:val="none"/>
              </w:rPr>
              <w:t>投标人</w:t>
            </w:r>
            <w:r>
              <w:rPr>
                <w:rFonts w:hint="eastAsia" w:ascii="宋体" w:hAnsi="宋体" w:cs="宋体"/>
                <w:color w:val="auto"/>
                <w:szCs w:val="21"/>
                <w:highlight w:val="none"/>
                <w:lang w:val="en-US" w:eastAsia="zh-CN"/>
              </w:rPr>
              <w:t>须</w:t>
            </w:r>
            <w:r>
              <w:rPr>
                <w:rFonts w:hint="eastAsia" w:ascii="宋体" w:hAnsi="宋体" w:cs="宋体"/>
                <w:color w:val="auto"/>
                <w:szCs w:val="21"/>
                <w:highlight w:val="none"/>
              </w:rPr>
              <w:t>确保医用液氧运输环节合规。具备医用氧低温配送车辆不少于3辆，以满足各种状况下的需求；储存、中转、装卸设备必须符合国家有关要求；</w:t>
            </w:r>
          </w:p>
          <w:p w14:paraId="786D7F90">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6.</w:t>
            </w:r>
            <w:r>
              <w:rPr>
                <w:rFonts w:hint="eastAsia" w:ascii="宋体" w:hAnsi="宋体" w:cs="宋体"/>
                <w:color w:val="auto"/>
                <w:szCs w:val="21"/>
                <w:highlight w:val="none"/>
              </w:rPr>
              <w:t>投标人</w:t>
            </w:r>
            <w:r>
              <w:rPr>
                <w:rFonts w:hint="eastAsia" w:ascii="宋体" w:hAnsi="宋体" w:cs="宋体"/>
                <w:color w:val="auto"/>
                <w:szCs w:val="21"/>
                <w:highlight w:val="none"/>
                <w:lang w:val="en-US" w:eastAsia="zh-CN"/>
              </w:rPr>
              <w:t>一旦</w:t>
            </w:r>
            <w:r>
              <w:rPr>
                <w:rFonts w:hint="eastAsia" w:ascii="宋体" w:hAnsi="宋体" w:cs="宋体"/>
                <w:color w:val="auto"/>
                <w:szCs w:val="21"/>
                <w:highlight w:val="none"/>
              </w:rPr>
              <w:t>中标且签订合同后负责办理《特种设备使用证》等达到合规使用的证件。</w:t>
            </w:r>
          </w:p>
          <w:p w14:paraId="700311A8">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（二）医用氧质量标准：</w:t>
            </w:r>
          </w:p>
          <w:p w14:paraId="0E2B864D">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按《中国药典》2020年版二部“氧、《药品生产质量管理规范》2010年的标准执行</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392AA9CA">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医用氧含O²不得少于99.5%(ml/ml</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10AB2BDB">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3、医用氧性状为无色气体；无臭、无味；</w:t>
            </w:r>
          </w:p>
          <w:p w14:paraId="0BC3E706">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4、配送的医用氧含O²不得少于99.5%(ml/ml</w:t>
            </w:r>
            <w:r>
              <w:rPr>
                <w:rFonts w:hint="eastAsia" w:ascii="宋体" w:hAnsi="宋体" w:cs="宋体"/>
                <w:color w:val="auto"/>
                <w:szCs w:val="21"/>
                <w:highlight w:val="none"/>
                <w:lang w:eastAsia="zh-CN"/>
              </w:rPr>
              <w:t>）</w:t>
            </w:r>
            <w:r>
              <w:rPr>
                <w:rFonts w:hint="eastAsia" w:ascii="宋体" w:hAnsi="宋体" w:cs="宋体"/>
                <w:color w:val="auto"/>
                <w:szCs w:val="21"/>
                <w:highlight w:val="none"/>
              </w:rPr>
              <w:t>（根据铜氨吸收法检测）、酸碱度（甲基红与溴麝香草酚蓝指示液分别加入盐酸进行检测），要符合《中国药典》2020版二部氧质量要求（说明：在本项目供货期内，如有最新医用氧标准需按最新标准执行）。送货时需随附产品检验报告；</w:t>
            </w:r>
          </w:p>
          <w:p w14:paraId="7A13C3EC">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5、有效期≥1年（采购人开始使用起计）。</w:t>
            </w:r>
          </w:p>
          <w:p w14:paraId="1A504585">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（三）其它</w:t>
            </w:r>
          </w:p>
          <w:p w14:paraId="6AD10297">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保险</w:t>
            </w:r>
            <w:r>
              <w:rPr>
                <w:rFonts w:hint="eastAsia" w:ascii="宋体" w:hAnsi="宋体" w:cs="宋体"/>
                <w:color w:val="auto"/>
                <w:szCs w:val="21"/>
                <w:highlight w:val="none"/>
                <w:lang w:eastAsia="zh-CN"/>
              </w:rPr>
              <w:t>：</w:t>
            </w:r>
            <w:r>
              <w:rPr>
                <w:rFonts w:hint="eastAsia" w:ascii="宋体" w:hAnsi="宋体" w:cs="宋体"/>
                <w:color w:val="auto"/>
                <w:szCs w:val="21"/>
                <w:highlight w:val="none"/>
              </w:rPr>
              <w:t>货物从出厂运至采购人指定地点的保险费用须包含在投标报价中。潜在投标人承担货物运输及安装调试运行过程中的安全事故责任。</w:t>
            </w:r>
          </w:p>
          <w:p w14:paraId="388BBD08">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应急措施需求</w:t>
            </w:r>
            <w:r>
              <w:rPr>
                <w:rFonts w:hint="eastAsia" w:ascii="宋体" w:hAnsi="宋体" w:cs="宋体"/>
                <w:color w:val="auto"/>
                <w:szCs w:val="21"/>
                <w:highlight w:val="none"/>
                <w:lang w:eastAsia="zh-CN"/>
              </w:rPr>
              <w:t>：</w:t>
            </w:r>
          </w:p>
          <w:p w14:paraId="18128CFA">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能够提供临时钢瓶/杜瓦罐（PLC）供应、临时槽车（Road Tanker）供应；</w:t>
            </w:r>
          </w:p>
          <w:p w14:paraId="3C70F816">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 xml:space="preserve">提供24小时电话值班服务，当医用氧系统发生故障时，中标人3小时内派出维修人员到达现场协助处理问题； </w:t>
            </w:r>
          </w:p>
          <w:p w14:paraId="4EDE02C5">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rPr>
              <w:t>当发生紧急用气时，中标人3.5小时内提供槽车供应液氧，3.5小时内供应杜瓦罐，特殊天气应急供氧优先满足采购人需要；</w:t>
            </w:r>
          </w:p>
          <w:p w14:paraId="36358924">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▲（四）医用氧专用设备要求（供氧期，中标人负责提供医用氧专用设备供医院使用，不再收取任何费用）</w:t>
            </w:r>
          </w:p>
          <w:p w14:paraId="12EDD1E2">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投标人中标后须提供以下设备（医院已有场地）：</w:t>
            </w:r>
          </w:p>
          <w:p w14:paraId="0C111769">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（1）5m³低温液氧储槽四台（须办理好《特种设备使用证》），</w:t>
            </w:r>
          </w:p>
          <w:p w14:paraId="0FB0C69A">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设计压力：0.8/0.1MPa，设计温度：-196/20℃，储槽要求液相、气相均为双阀，达到储槽和汽化器并联交替使用；</w:t>
            </w:r>
          </w:p>
          <w:p w14:paraId="7AC23699">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（2）汽化器四套（≥100m³/h）；</w:t>
            </w:r>
          </w:p>
          <w:p w14:paraId="123AD0B6">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（3）低温阀要求：材质为不锈钢（CF8）；适应温度：-196～+80℃；</w:t>
            </w:r>
          </w:p>
          <w:p w14:paraId="08B49DC5">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（4）安全阀要求：材质：不锈钢（CF8）；</w:t>
            </w:r>
          </w:p>
          <w:p w14:paraId="56ECD5D6">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（5）液氧储存罐属于特种设备，需要供应商驻点1名特种设备巡护员，每日巡查维护并做好记录。</w:t>
            </w:r>
          </w:p>
          <w:p w14:paraId="74BB643E">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仪表由中标人按照规定时限进行送检，并提供达到合格的检定报告。</w:t>
            </w:r>
          </w:p>
          <w:p w14:paraId="636424C9">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rPr>
              <w:t>安装要求</w:t>
            </w:r>
          </w:p>
          <w:p w14:paraId="051C8028">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（1）负责安装低温液氧储槽及相关氧气输送管路等服务。</w:t>
            </w:r>
          </w:p>
          <w:p w14:paraId="4780F31E">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（2）收到采购人安装通知后5日内设备安装完毕并办好手续交付使用。</w:t>
            </w:r>
          </w:p>
        </w:tc>
      </w:tr>
      <w:tr w14:paraId="7B5F5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567" w:hRule="atLeast"/>
          <w:jc w:val="center"/>
        </w:trPr>
        <w:tc>
          <w:tcPr>
            <w:tcW w:w="9071" w:type="dxa"/>
            <w:gridSpan w:val="6"/>
            <w:tcBorders>
              <w:top w:val="single" w:color="000000" w:sz="2" w:space="0"/>
              <w:left w:val="single" w:color="000000" w:sz="2" w:space="0"/>
              <w:bottom w:val="single" w:color="000000" w:sz="2" w:space="0"/>
              <w:right w:val="single" w:color="000000" w:sz="2" w:space="0"/>
            </w:tcBorders>
            <w:noWrap w:val="0"/>
            <w:vAlign w:val="center"/>
          </w:tcPr>
          <w:p w14:paraId="4851F38B">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bCs/>
                <w:color w:val="auto"/>
                <w:szCs w:val="21"/>
                <w:highlight w:val="none"/>
              </w:rPr>
              <w:t>二、商务要求</w:t>
            </w:r>
          </w:p>
        </w:tc>
      </w:tr>
      <w:tr w14:paraId="77AF1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455" w:hRule="atLeast"/>
          <w:jc w:val="center"/>
        </w:trPr>
        <w:tc>
          <w:tcPr>
            <w:tcW w:w="2257" w:type="dxa"/>
            <w:gridSpan w:val="3"/>
            <w:tcBorders>
              <w:top w:val="single" w:color="000000" w:sz="2" w:space="0"/>
              <w:left w:val="single" w:color="000000" w:sz="2" w:space="0"/>
              <w:bottom w:val="single" w:color="000000" w:sz="2" w:space="0"/>
              <w:right w:val="single" w:color="000000" w:sz="2" w:space="0"/>
            </w:tcBorders>
            <w:noWrap w:val="0"/>
            <w:vAlign w:val="center"/>
          </w:tcPr>
          <w:p w14:paraId="5CDC3AE9">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eastAsia="宋体" w:cs="宋体"/>
                <w:color w:val="auto"/>
                <w:szCs w:val="21"/>
                <w:highlight w:val="none"/>
              </w:rPr>
            </w:pPr>
            <w:r>
              <w:rPr>
                <w:rFonts w:hint="default" w:ascii="宋体" w:hAnsi="宋体" w:eastAsia="宋体" w:cs="宋体"/>
                <w:color w:val="auto"/>
                <w:szCs w:val="21"/>
                <w:highlight w:val="none"/>
                <w:lang w:eastAsia="zh-CN"/>
              </w:rPr>
              <w:t>（一）</w:t>
            </w:r>
            <w:r>
              <w:rPr>
                <w:rFonts w:hint="default" w:ascii="宋体" w:hAnsi="宋体" w:eastAsia="宋体" w:cs="宋体"/>
                <w:color w:val="auto"/>
                <w:szCs w:val="21"/>
                <w:highlight w:val="none"/>
              </w:rPr>
              <w:t>合同签订</w:t>
            </w:r>
          </w:p>
        </w:tc>
        <w:tc>
          <w:tcPr>
            <w:tcW w:w="6814" w:type="dxa"/>
            <w:gridSpan w:val="3"/>
            <w:tcBorders>
              <w:top w:val="single" w:color="000000" w:sz="2" w:space="0"/>
              <w:left w:val="single" w:color="000000" w:sz="2" w:space="0"/>
              <w:bottom w:val="single" w:color="000000" w:sz="2" w:space="0"/>
              <w:right w:val="single" w:color="000000" w:sz="2" w:space="0"/>
            </w:tcBorders>
            <w:noWrap w:val="0"/>
            <w:vAlign w:val="center"/>
          </w:tcPr>
          <w:p w14:paraId="141286D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default"/>
                <w:color w:val="auto"/>
                <w:sz w:val="21"/>
                <w:szCs w:val="21"/>
                <w:highlight w:val="none"/>
              </w:rPr>
              <w:t>自中标通知书发出之日起</w:t>
            </w:r>
            <w:r>
              <w:rPr>
                <w:rFonts w:hint="eastAsia"/>
                <w:color w:val="auto"/>
                <w:sz w:val="21"/>
                <w:szCs w:val="21"/>
                <w:highlight w:val="none"/>
                <w:lang w:val="en-US" w:eastAsia="zh-CN"/>
              </w:rPr>
              <w:t>25</w:t>
            </w:r>
            <w:r>
              <w:rPr>
                <w:rFonts w:hint="default"/>
                <w:color w:val="auto"/>
                <w:sz w:val="21"/>
                <w:szCs w:val="21"/>
                <w:highlight w:val="none"/>
              </w:rPr>
              <w:t>日内。</w:t>
            </w:r>
          </w:p>
        </w:tc>
      </w:tr>
      <w:tr w14:paraId="76C68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455" w:hRule="atLeast"/>
          <w:jc w:val="center"/>
        </w:trPr>
        <w:tc>
          <w:tcPr>
            <w:tcW w:w="2257" w:type="dxa"/>
            <w:gridSpan w:val="3"/>
            <w:tcBorders>
              <w:top w:val="single" w:color="000000" w:sz="2" w:space="0"/>
              <w:left w:val="single" w:color="000000" w:sz="2" w:space="0"/>
              <w:bottom w:val="single" w:color="000000" w:sz="2" w:space="0"/>
              <w:right w:val="single" w:color="000000" w:sz="2" w:space="0"/>
            </w:tcBorders>
            <w:noWrap w:val="0"/>
            <w:vAlign w:val="center"/>
          </w:tcPr>
          <w:p w14:paraId="028AF7CE">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default" w:ascii="宋体" w:hAnsi="宋体" w:eastAsia="宋体" w:cs="宋体"/>
                <w:color w:val="auto"/>
                <w:szCs w:val="21"/>
                <w:highlight w:val="none"/>
                <w:lang w:eastAsia="zh-CN"/>
              </w:rPr>
            </w:pPr>
            <w:r>
              <w:rPr>
                <w:rFonts w:hint="default" w:ascii="宋体" w:hAnsi="宋体" w:eastAsia="宋体" w:cs="宋体"/>
                <w:color w:val="auto"/>
                <w:szCs w:val="21"/>
                <w:highlight w:val="none"/>
                <w:lang w:eastAsia="zh-CN"/>
              </w:rPr>
              <w:t>（二）</w:t>
            </w:r>
            <w:r>
              <w:rPr>
                <w:rFonts w:hint="eastAsia"/>
                <w:color w:val="auto"/>
                <w:highlight w:val="none"/>
              </w:rPr>
              <w:t>服务时间及地点</w:t>
            </w:r>
          </w:p>
        </w:tc>
        <w:tc>
          <w:tcPr>
            <w:tcW w:w="6814" w:type="dxa"/>
            <w:gridSpan w:val="3"/>
            <w:tcBorders>
              <w:top w:val="single" w:color="000000" w:sz="2" w:space="0"/>
              <w:left w:val="single" w:color="000000" w:sz="2" w:space="0"/>
              <w:bottom w:val="single" w:color="000000" w:sz="2" w:space="0"/>
              <w:right w:val="single" w:color="000000" w:sz="2" w:space="0"/>
            </w:tcBorders>
            <w:noWrap w:val="0"/>
            <w:vAlign w:val="center"/>
          </w:tcPr>
          <w:p w14:paraId="01DED16A">
            <w:pPr>
              <w:spacing w:line="400" w:lineRule="exact"/>
              <w:jc w:val="left"/>
              <w:rPr>
                <w:rFonts w:hint="eastAsia" w:ascii="宋体" w:hAnsi="宋体" w:cs="宋体"/>
                <w:color w:val="auto"/>
                <w:kern w:val="0"/>
                <w:highlight w:val="none"/>
                <w:lang w:val="en"/>
              </w:rPr>
            </w:pPr>
            <w:r>
              <w:rPr>
                <w:rFonts w:hint="eastAsia" w:ascii="宋体" w:hAnsi="宋体" w:cs="宋体"/>
                <w:color w:val="auto"/>
                <w:kern w:val="0"/>
                <w:highlight w:val="none"/>
              </w:rPr>
              <w:t>1.服务时间：自合同签订之日起</w:t>
            </w:r>
            <w:r>
              <w:rPr>
                <w:rFonts w:hint="eastAsia" w:ascii="宋体" w:hAnsi="宋体" w:cs="宋体"/>
                <w:color w:val="auto"/>
                <w:kern w:val="0"/>
                <w:highlight w:val="none"/>
                <w:lang w:val="en-US" w:eastAsia="zh-CN"/>
              </w:rPr>
              <w:t>3</w:t>
            </w:r>
            <w:r>
              <w:rPr>
                <w:rFonts w:hint="eastAsia" w:ascii="宋体" w:hAnsi="宋体" w:cs="宋体"/>
                <w:color w:val="auto"/>
                <w:kern w:val="0"/>
                <w:highlight w:val="none"/>
              </w:rPr>
              <w:t>年。</w:t>
            </w:r>
          </w:p>
          <w:p w14:paraId="1E6CC97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sz w:val="21"/>
                <w:szCs w:val="21"/>
                <w:highlight w:val="none"/>
              </w:rPr>
            </w:pPr>
            <w:r>
              <w:rPr>
                <w:rFonts w:hint="eastAsia" w:ascii="宋体" w:hAnsi="宋体" w:cs="宋体"/>
                <w:color w:val="auto"/>
                <w:kern w:val="0"/>
                <w:highlight w:val="none"/>
              </w:rPr>
              <w:t>2.交付地点：采购人指定地点。</w:t>
            </w:r>
          </w:p>
        </w:tc>
      </w:tr>
      <w:tr w14:paraId="009E9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jc w:val="center"/>
        </w:trPr>
        <w:tc>
          <w:tcPr>
            <w:tcW w:w="2257" w:type="dxa"/>
            <w:gridSpan w:val="3"/>
            <w:tcBorders>
              <w:top w:val="single" w:color="000000" w:sz="2" w:space="0"/>
              <w:left w:val="single" w:color="000000" w:sz="2" w:space="0"/>
              <w:bottom w:val="single" w:color="000000" w:sz="2" w:space="0"/>
              <w:right w:val="single" w:color="000000" w:sz="2" w:space="0"/>
            </w:tcBorders>
            <w:noWrap w:val="0"/>
            <w:vAlign w:val="center"/>
          </w:tcPr>
          <w:p w14:paraId="34E369D7">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三</w:t>
            </w:r>
            <w:r>
              <w:rPr>
                <w:rFonts w:hint="default" w:ascii="宋体" w:hAnsi="宋体" w:eastAsia="宋体" w:cs="宋体"/>
                <w:color w:val="auto"/>
                <w:szCs w:val="21"/>
                <w:highlight w:val="none"/>
                <w:lang w:eastAsia="zh-CN"/>
              </w:rPr>
              <w:t>）</w:t>
            </w:r>
            <w:r>
              <w:rPr>
                <w:rFonts w:hint="default" w:ascii="宋体" w:hAnsi="宋体" w:eastAsia="宋体" w:cs="宋体"/>
                <w:color w:val="auto"/>
                <w:szCs w:val="21"/>
                <w:highlight w:val="none"/>
              </w:rPr>
              <w:t>服务标准</w:t>
            </w:r>
            <w:r>
              <w:rPr>
                <w:rFonts w:hint="eastAsia" w:ascii="宋体" w:hAnsi="宋体" w:cs="宋体"/>
                <w:color w:val="auto"/>
                <w:szCs w:val="21"/>
                <w:highlight w:val="none"/>
                <w:lang w:val="en-US" w:eastAsia="zh-CN"/>
              </w:rPr>
              <w:t>及要求</w:t>
            </w:r>
          </w:p>
        </w:tc>
        <w:tc>
          <w:tcPr>
            <w:tcW w:w="6814" w:type="dxa"/>
            <w:gridSpan w:val="3"/>
            <w:tcBorders>
              <w:top w:val="single" w:color="000000" w:sz="2" w:space="0"/>
              <w:left w:val="single" w:color="000000" w:sz="2" w:space="0"/>
              <w:bottom w:val="single" w:color="000000" w:sz="2" w:space="0"/>
              <w:right w:val="single" w:color="000000" w:sz="2" w:space="0"/>
            </w:tcBorders>
            <w:noWrap w:val="0"/>
            <w:vAlign w:val="center"/>
          </w:tcPr>
          <w:p w14:paraId="2CC3900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1.</w:t>
            </w:r>
            <w:r>
              <w:rPr>
                <w:rFonts w:hint="eastAsia"/>
                <w:color w:val="auto"/>
                <w:sz w:val="21"/>
                <w:szCs w:val="21"/>
                <w:highlight w:val="none"/>
              </w:rPr>
              <w:t>中标人负责免费送货上门、免费安装调试合格，须派出有相应资格的技术人员到现场负责安装调试，直至正常使用。按国家有关产品“三包”规定执行“三包”，以上产品必须是具备厂家合法渠道的。</w:t>
            </w:r>
          </w:p>
          <w:p w14:paraId="0ABADB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2.</w:t>
            </w:r>
            <w:r>
              <w:rPr>
                <w:rFonts w:hint="eastAsia"/>
                <w:color w:val="auto"/>
                <w:sz w:val="21"/>
                <w:szCs w:val="21"/>
                <w:highlight w:val="none"/>
              </w:rPr>
              <w:t>应急承诺：供应方具备多车辆送货优势，定期到客户现场进行专业性安全供气检查和供气技术指导；并承诺贮气罐和其它供气设施出现故障时，公司客服人员能在3小时内及时到供气现场解决供气故障。</w:t>
            </w:r>
          </w:p>
          <w:p w14:paraId="7DBE4A5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3.</w:t>
            </w:r>
            <w:r>
              <w:rPr>
                <w:rFonts w:hint="eastAsia"/>
                <w:color w:val="auto"/>
                <w:sz w:val="21"/>
                <w:szCs w:val="21"/>
                <w:highlight w:val="none"/>
              </w:rPr>
              <w:t>低温储罐供气系统在合同期内的维修费用以及贮氧罐（瓶）、压力表、安全阀等设备的检测费用由中标潜在投标人承担，并提供检测报告供院方存档。</w:t>
            </w:r>
          </w:p>
          <w:p w14:paraId="3DA7CF6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4.投标人</w:t>
            </w:r>
            <w:r>
              <w:rPr>
                <w:rFonts w:hint="eastAsia"/>
                <w:color w:val="auto"/>
                <w:sz w:val="21"/>
                <w:szCs w:val="21"/>
                <w:highlight w:val="none"/>
              </w:rPr>
              <w:t>应建立包括供货方档案、用户档案在内的医用氧质量管理制度，并有完整真实的购进、销售和退货记录，针对医用氧储存有效期问题，有严防过期医用氧被临床使用的措施，严禁提供过期不合格的医用氧。</w:t>
            </w:r>
          </w:p>
          <w:p w14:paraId="0B9A77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5.</w:t>
            </w:r>
            <w:r>
              <w:rPr>
                <w:rFonts w:hint="eastAsia"/>
                <w:color w:val="auto"/>
                <w:sz w:val="21"/>
                <w:szCs w:val="21"/>
                <w:highlight w:val="none"/>
              </w:rPr>
              <w:t>为保证液氧供应能够及时、储罐等配套设施能安全运行，</w:t>
            </w:r>
            <w:r>
              <w:rPr>
                <w:rFonts w:hint="eastAsia"/>
                <w:color w:val="auto"/>
                <w:sz w:val="21"/>
                <w:szCs w:val="21"/>
                <w:highlight w:val="none"/>
                <w:lang w:eastAsia="zh-CN"/>
              </w:rPr>
              <w:t>投标人</w:t>
            </w:r>
            <w:r>
              <w:rPr>
                <w:rFonts w:hint="eastAsia"/>
                <w:color w:val="auto"/>
                <w:sz w:val="21"/>
                <w:szCs w:val="21"/>
                <w:highlight w:val="none"/>
              </w:rPr>
              <w:t>备有售后的服务人员作为保障。</w:t>
            </w:r>
          </w:p>
          <w:p w14:paraId="7C26A67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6.投标人</w:t>
            </w:r>
            <w:r>
              <w:rPr>
                <w:rFonts w:hint="eastAsia"/>
                <w:color w:val="auto"/>
                <w:sz w:val="21"/>
                <w:szCs w:val="21"/>
                <w:highlight w:val="none"/>
              </w:rPr>
              <w:t>应建立相应应急供氧和故障排除预案，能做到24小时*7天应急紧急抢修和故障处理，遇紧急情况能采取控制措施，避免事态恶化。</w:t>
            </w:r>
          </w:p>
          <w:p w14:paraId="0EA0224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7.</w:t>
            </w:r>
            <w:r>
              <w:rPr>
                <w:rFonts w:hint="eastAsia"/>
                <w:color w:val="auto"/>
                <w:sz w:val="21"/>
                <w:szCs w:val="21"/>
                <w:highlight w:val="none"/>
              </w:rPr>
              <w:t>交货地点：采购人指定地点。</w:t>
            </w:r>
          </w:p>
          <w:p w14:paraId="2A6BAA2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8.</w:t>
            </w:r>
            <w:r>
              <w:rPr>
                <w:rFonts w:hint="eastAsia"/>
                <w:color w:val="auto"/>
                <w:sz w:val="21"/>
                <w:szCs w:val="21"/>
                <w:highlight w:val="none"/>
              </w:rPr>
              <w:t>交货期：按医院使用计划交货，医院提前3个日历日通过电话或邮件等方式下达氧气使用计划，中标人收到计划后3个日历日内按计划要求供货。</w:t>
            </w:r>
          </w:p>
          <w:p w14:paraId="145CF21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9.</w:t>
            </w:r>
            <w:r>
              <w:rPr>
                <w:rFonts w:hint="eastAsia"/>
                <w:color w:val="auto"/>
                <w:sz w:val="21"/>
                <w:szCs w:val="21"/>
                <w:highlight w:val="none"/>
              </w:rPr>
              <w:t>医用氧出厂时应附有合格证；验收时需出具合格证及批次信息。</w:t>
            </w:r>
          </w:p>
          <w:p w14:paraId="53CEDAB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10.</w:t>
            </w:r>
            <w:r>
              <w:rPr>
                <w:rFonts w:hint="eastAsia"/>
                <w:color w:val="auto"/>
                <w:sz w:val="21"/>
                <w:szCs w:val="21"/>
                <w:highlight w:val="none"/>
              </w:rPr>
              <w:t>提供24小时电话值班服务，当医用氧系统发生故障时，中标人3小时内派出维修人员到达现场协助处理问题；如预计维修时间超过24小时提供备品使用。</w:t>
            </w:r>
          </w:p>
          <w:p w14:paraId="0755E5D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11.</w:t>
            </w:r>
            <w:r>
              <w:rPr>
                <w:rFonts w:hint="eastAsia"/>
                <w:color w:val="auto"/>
                <w:sz w:val="21"/>
                <w:szCs w:val="21"/>
                <w:highlight w:val="none"/>
              </w:rPr>
              <w:t>当发生紧急用气时，中标人3.5小时内提供槽车供应液氧，3.5小时内供应杜瓦罐，特殊天气应急供氧优先满足采购人需要。</w:t>
            </w:r>
          </w:p>
          <w:p w14:paraId="788932B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12.</w:t>
            </w:r>
            <w:r>
              <w:rPr>
                <w:rFonts w:hint="eastAsia"/>
                <w:color w:val="auto"/>
                <w:sz w:val="21"/>
                <w:szCs w:val="21"/>
                <w:highlight w:val="none"/>
              </w:rPr>
              <w:t>能够提供临时钢瓶/杜瓦罐（PLC）供应、临时槽车（Road Tanker）供应。</w:t>
            </w:r>
          </w:p>
          <w:p w14:paraId="081D833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13.投标文件</w:t>
            </w:r>
            <w:r>
              <w:rPr>
                <w:rFonts w:hint="eastAsia"/>
                <w:color w:val="auto"/>
                <w:sz w:val="21"/>
                <w:szCs w:val="21"/>
                <w:highlight w:val="none"/>
              </w:rPr>
              <w:t>中必须提供</w:t>
            </w:r>
            <w:r>
              <w:rPr>
                <w:rFonts w:hint="eastAsia"/>
                <w:color w:val="auto"/>
                <w:sz w:val="21"/>
                <w:szCs w:val="21"/>
                <w:highlight w:val="none"/>
                <w:lang w:eastAsia="zh-CN"/>
              </w:rPr>
              <w:t>投标人</w:t>
            </w:r>
            <w:r>
              <w:rPr>
                <w:rFonts w:hint="eastAsia"/>
                <w:color w:val="auto"/>
                <w:sz w:val="21"/>
                <w:szCs w:val="21"/>
                <w:highlight w:val="none"/>
              </w:rPr>
              <w:t>的售后服务承诺书。</w:t>
            </w:r>
          </w:p>
          <w:p w14:paraId="29E59EA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rPr>
              <w:t>14、</w:t>
            </w:r>
            <w:r>
              <w:rPr>
                <w:rFonts w:hint="eastAsia"/>
                <w:color w:val="auto"/>
                <w:sz w:val="21"/>
                <w:szCs w:val="21"/>
                <w:highlight w:val="none"/>
                <w:lang w:eastAsia="zh-CN"/>
              </w:rPr>
              <w:t>投标文件</w:t>
            </w:r>
            <w:r>
              <w:rPr>
                <w:rFonts w:hint="eastAsia"/>
                <w:color w:val="auto"/>
                <w:sz w:val="21"/>
                <w:szCs w:val="21"/>
                <w:highlight w:val="none"/>
              </w:rPr>
              <w:t>中必须承诺设备验收合格后免费对采购人使用人员（2-3名）进行操作技术及相关知识培训，内容包括系统操作、日常维护、常见问题及应对措施，确保熟练掌握全部功能为止，并负责承担一切费用；培训对象包括系统总管、管理人员、操作员。系统总管培训内容为系统中涉及的相关技术内容；管理人员培训内容为系统流程和相关管理事项；操作员为系统的操作培训。期间应派驻有相应的技术员指导、解决使用过程中遇到的问题。</w:t>
            </w:r>
          </w:p>
        </w:tc>
      </w:tr>
      <w:tr w14:paraId="0A652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90" w:hRule="atLeast"/>
          <w:jc w:val="center"/>
        </w:trPr>
        <w:tc>
          <w:tcPr>
            <w:tcW w:w="2257" w:type="dxa"/>
            <w:gridSpan w:val="3"/>
            <w:tcBorders>
              <w:top w:val="single" w:color="000000" w:sz="2" w:space="0"/>
              <w:left w:val="single" w:color="000000" w:sz="2" w:space="0"/>
              <w:bottom w:val="single" w:color="000000" w:sz="2" w:space="0"/>
              <w:right w:val="single" w:color="000000" w:sz="2" w:space="0"/>
            </w:tcBorders>
            <w:noWrap w:val="0"/>
            <w:vAlign w:val="center"/>
          </w:tcPr>
          <w:p w14:paraId="7771960B">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eastAsia="宋体" w:cs="宋体"/>
                <w:color w:val="auto"/>
                <w:szCs w:val="21"/>
                <w:highlight w:val="none"/>
              </w:rPr>
            </w:pPr>
            <w:r>
              <w:rPr>
                <w:rFonts w:hint="default"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四</w:t>
            </w:r>
            <w:r>
              <w:rPr>
                <w:rFonts w:hint="default" w:ascii="宋体" w:hAnsi="宋体" w:eastAsia="宋体" w:cs="宋体"/>
                <w:color w:val="auto"/>
                <w:szCs w:val="21"/>
                <w:highlight w:val="none"/>
                <w:lang w:eastAsia="zh-CN"/>
              </w:rPr>
              <w:t>）</w:t>
            </w:r>
            <w:r>
              <w:rPr>
                <w:rFonts w:hint="default" w:ascii="宋体" w:hAnsi="宋体" w:eastAsia="宋体" w:cs="宋体"/>
                <w:color w:val="auto"/>
                <w:szCs w:val="21"/>
                <w:highlight w:val="none"/>
              </w:rPr>
              <w:t>付款方式</w:t>
            </w:r>
          </w:p>
        </w:tc>
        <w:tc>
          <w:tcPr>
            <w:tcW w:w="6814" w:type="dxa"/>
            <w:gridSpan w:val="3"/>
            <w:tcBorders>
              <w:top w:val="single" w:color="000000" w:sz="2" w:space="0"/>
              <w:left w:val="single" w:color="000000" w:sz="2" w:space="0"/>
              <w:bottom w:val="single" w:color="000000" w:sz="2" w:space="0"/>
              <w:right w:val="single" w:color="000000" w:sz="2" w:space="0"/>
            </w:tcBorders>
            <w:noWrap w:val="0"/>
            <w:vAlign w:val="center"/>
          </w:tcPr>
          <w:p w14:paraId="65496BD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ascii="宋体" w:hAnsi="宋体"/>
                <w:color w:val="auto"/>
                <w:szCs w:val="21"/>
                <w:highlight w:val="none"/>
              </w:rPr>
              <w:t>结算以实际供应业务量为准（中标单价×实际供应数量），费用按</w:t>
            </w:r>
            <w:r>
              <w:rPr>
                <w:rFonts w:hint="eastAsia" w:ascii="宋体" w:hAnsi="宋体"/>
                <w:color w:val="auto"/>
                <w:szCs w:val="21"/>
                <w:highlight w:val="none"/>
                <w:lang w:val="en-US" w:eastAsia="zh-CN"/>
              </w:rPr>
              <w:t>月</w:t>
            </w:r>
            <w:r>
              <w:rPr>
                <w:rFonts w:hint="eastAsia" w:ascii="宋体" w:hAnsi="宋体"/>
                <w:color w:val="auto"/>
                <w:szCs w:val="21"/>
                <w:highlight w:val="none"/>
              </w:rPr>
              <w:t>进行</w:t>
            </w:r>
            <w:r>
              <w:rPr>
                <w:rFonts w:hint="eastAsia" w:ascii="宋体" w:hAnsi="宋体"/>
                <w:color w:val="auto"/>
                <w:szCs w:val="21"/>
                <w:highlight w:val="none"/>
                <w:lang w:val="en-US" w:eastAsia="zh-CN"/>
              </w:rPr>
              <w:t>结算</w:t>
            </w:r>
            <w:r>
              <w:rPr>
                <w:rFonts w:hint="eastAsia" w:ascii="宋体" w:hAnsi="宋体"/>
                <w:color w:val="auto"/>
                <w:szCs w:val="21"/>
                <w:highlight w:val="none"/>
              </w:rPr>
              <w:t>，每</w:t>
            </w:r>
            <w:r>
              <w:rPr>
                <w:rFonts w:hint="eastAsia" w:ascii="宋体" w:hAnsi="宋体"/>
                <w:color w:val="auto"/>
                <w:szCs w:val="21"/>
                <w:highlight w:val="none"/>
                <w:lang w:val="en-US" w:eastAsia="zh-CN"/>
              </w:rPr>
              <w:t>月</w:t>
            </w:r>
            <w:r>
              <w:rPr>
                <w:rFonts w:hint="eastAsia" w:ascii="宋体" w:hAnsi="宋体"/>
                <w:color w:val="auto"/>
                <w:szCs w:val="21"/>
                <w:highlight w:val="none"/>
              </w:rPr>
              <w:t>末的次月，</w:t>
            </w:r>
            <w:r>
              <w:rPr>
                <w:rFonts w:hint="eastAsia" w:ascii="宋体" w:hAnsi="宋体"/>
                <w:color w:val="auto"/>
                <w:szCs w:val="21"/>
                <w:highlight w:val="none"/>
                <w:lang w:val="en-US" w:eastAsia="zh-CN"/>
              </w:rPr>
              <w:t>中标人</w:t>
            </w:r>
            <w:r>
              <w:rPr>
                <w:rFonts w:hint="eastAsia" w:ascii="宋体" w:hAnsi="宋体"/>
                <w:color w:val="auto"/>
                <w:szCs w:val="21"/>
                <w:highlight w:val="none"/>
              </w:rPr>
              <w:t>开具有效票据，并提供付款材料至采购人，采购人完成付款审批手续后 10 个工作</w:t>
            </w:r>
            <w:r>
              <w:rPr>
                <w:rFonts w:hint="eastAsia" w:ascii="宋体" w:hAnsi="宋体"/>
                <w:color w:val="auto"/>
                <w:szCs w:val="21"/>
                <w:highlight w:val="none"/>
                <w:lang w:eastAsia="zh-CN"/>
              </w:rPr>
              <w:t>日内</w:t>
            </w:r>
            <w:r>
              <w:rPr>
                <w:rFonts w:hint="eastAsia" w:ascii="宋体" w:hAnsi="宋体"/>
                <w:color w:val="auto"/>
                <w:szCs w:val="21"/>
                <w:highlight w:val="none"/>
              </w:rPr>
              <w:t>将上</w:t>
            </w:r>
            <w:r>
              <w:rPr>
                <w:rFonts w:hint="eastAsia" w:ascii="宋体" w:hAnsi="宋体"/>
                <w:color w:val="auto"/>
                <w:szCs w:val="21"/>
                <w:highlight w:val="none"/>
                <w:lang w:val="en-US" w:eastAsia="zh-CN"/>
              </w:rPr>
              <w:t>月</w:t>
            </w:r>
            <w:r>
              <w:rPr>
                <w:rFonts w:hint="eastAsia" w:ascii="宋体" w:hAnsi="宋体"/>
                <w:color w:val="auto"/>
                <w:szCs w:val="21"/>
                <w:highlight w:val="none"/>
              </w:rPr>
              <w:t>费用汇至</w:t>
            </w:r>
            <w:r>
              <w:rPr>
                <w:rFonts w:hint="eastAsia" w:ascii="宋体" w:hAnsi="宋体"/>
                <w:color w:val="auto"/>
                <w:szCs w:val="21"/>
                <w:highlight w:val="none"/>
                <w:lang w:val="en-US" w:eastAsia="zh-CN"/>
              </w:rPr>
              <w:t>中标人</w:t>
            </w:r>
            <w:r>
              <w:rPr>
                <w:rFonts w:hint="eastAsia" w:ascii="宋体" w:hAnsi="宋体"/>
                <w:color w:val="auto"/>
                <w:szCs w:val="21"/>
                <w:highlight w:val="none"/>
              </w:rPr>
              <w:t>指定账户。</w:t>
            </w:r>
          </w:p>
        </w:tc>
      </w:tr>
      <w:tr w14:paraId="61495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jc w:val="center"/>
        </w:trPr>
        <w:tc>
          <w:tcPr>
            <w:tcW w:w="2257" w:type="dxa"/>
            <w:gridSpan w:val="3"/>
            <w:tcBorders>
              <w:top w:val="single" w:color="000000" w:sz="2" w:space="0"/>
              <w:left w:val="single" w:color="000000" w:sz="2" w:space="0"/>
              <w:bottom w:val="single" w:color="000000" w:sz="2" w:space="0"/>
              <w:right w:val="single" w:color="000000" w:sz="2" w:space="0"/>
            </w:tcBorders>
            <w:noWrap w:val="0"/>
            <w:vAlign w:val="center"/>
          </w:tcPr>
          <w:p w14:paraId="3892FC44">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eastAsia="宋体" w:cs="宋体"/>
                <w:color w:val="auto"/>
                <w:szCs w:val="21"/>
                <w:highlight w:val="none"/>
              </w:rPr>
            </w:pPr>
            <w:r>
              <w:rPr>
                <w:rFonts w:hint="default"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五</w:t>
            </w:r>
            <w:r>
              <w:rPr>
                <w:rFonts w:hint="default" w:ascii="宋体" w:hAnsi="宋体" w:eastAsia="宋体" w:cs="宋体"/>
                <w:color w:val="auto"/>
                <w:szCs w:val="21"/>
                <w:highlight w:val="none"/>
                <w:lang w:eastAsia="zh-CN"/>
              </w:rPr>
              <w:t>）</w:t>
            </w:r>
            <w:r>
              <w:rPr>
                <w:rFonts w:hint="default" w:ascii="宋体" w:hAnsi="宋体" w:eastAsia="宋体" w:cs="宋体"/>
                <w:color w:val="auto"/>
                <w:szCs w:val="21"/>
                <w:highlight w:val="none"/>
              </w:rPr>
              <w:t>投标报价要求</w:t>
            </w:r>
          </w:p>
        </w:tc>
        <w:tc>
          <w:tcPr>
            <w:tcW w:w="6814" w:type="dxa"/>
            <w:gridSpan w:val="3"/>
            <w:tcBorders>
              <w:top w:val="single" w:color="000000" w:sz="2" w:space="0"/>
              <w:left w:val="single" w:color="000000" w:sz="2" w:space="0"/>
              <w:bottom w:val="single" w:color="000000" w:sz="2" w:space="0"/>
              <w:right w:val="single" w:color="000000" w:sz="2" w:space="0"/>
            </w:tcBorders>
            <w:noWrap w:val="0"/>
            <w:vAlign w:val="center"/>
          </w:tcPr>
          <w:p w14:paraId="69159CA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color w:val="auto"/>
                <w:sz w:val="21"/>
                <w:szCs w:val="21"/>
                <w:highlight w:val="none"/>
              </w:rPr>
            </w:pPr>
            <w:r>
              <w:rPr>
                <w:rFonts w:hint="default"/>
                <w:color w:val="auto"/>
                <w:sz w:val="21"/>
                <w:szCs w:val="21"/>
                <w:highlight w:val="none"/>
              </w:rPr>
              <w:t>1.报价方式：本项目</w:t>
            </w:r>
            <w:r>
              <w:rPr>
                <w:rFonts w:hint="eastAsia"/>
                <w:color w:val="auto"/>
                <w:sz w:val="21"/>
                <w:szCs w:val="21"/>
                <w:highlight w:val="none"/>
                <w:lang w:val="en-US" w:eastAsia="zh-CN"/>
              </w:rPr>
              <w:t>按</w:t>
            </w:r>
            <w:r>
              <w:rPr>
                <w:rFonts w:hint="default"/>
                <w:color w:val="auto"/>
                <w:sz w:val="21"/>
                <w:szCs w:val="21"/>
                <w:highlight w:val="none"/>
              </w:rPr>
              <w:t>1800元/吨单价</w:t>
            </w:r>
            <w:r>
              <w:rPr>
                <w:rFonts w:hint="eastAsia"/>
                <w:color w:val="auto"/>
                <w:sz w:val="21"/>
                <w:szCs w:val="21"/>
                <w:highlight w:val="none"/>
                <w:lang w:val="en-US" w:eastAsia="zh-CN"/>
              </w:rPr>
              <w:t>作为上限单价</w:t>
            </w:r>
            <w:r>
              <w:rPr>
                <w:rFonts w:hint="default"/>
                <w:color w:val="auto"/>
                <w:sz w:val="21"/>
                <w:szCs w:val="21"/>
                <w:highlight w:val="none"/>
              </w:rPr>
              <w:t>，最后结算以实际用量*单价。</w:t>
            </w:r>
            <w:r>
              <w:rPr>
                <w:rFonts w:hint="eastAsia"/>
                <w:color w:val="auto"/>
                <w:sz w:val="21"/>
                <w:szCs w:val="21"/>
                <w:highlight w:val="none"/>
                <w:lang w:val="en-US" w:eastAsia="zh-CN"/>
              </w:rPr>
              <w:t>投标人</w:t>
            </w:r>
            <w:r>
              <w:rPr>
                <w:rFonts w:hint="default"/>
                <w:color w:val="auto"/>
                <w:sz w:val="21"/>
                <w:szCs w:val="21"/>
                <w:highlight w:val="none"/>
              </w:rPr>
              <w:t>报出整体项目全部货物和服务内容的综合</w:t>
            </w:r>
            <w:r>
              <w:rPr>
                <w:rFonts w:hint="eastAsia"/>
                <w:color w:val="auto"/>
                <w:sz w:val="21"/>
                <w:szCs w:val="21"/>
                <w:highlight w:val="none"/>
                <w:lang w:val="en-US" w:eastAsia="zh-CN"/>
              </w:rPr>
              <w:t>单价</w:t>
            </w:r>
            <w:r>
              <w:rPr>
                <w:rFonts w:hint="default"/>
                <w:color w:val="auto"/>
                <w:sz w:val="21"/>
                <w:szCs w:val="21"/>
                <w:highlight w:val="none"/>
              </w:rPr>
              <w:t>，报价范围≤</w:t>
            </w:r>
            <w:r>
              <w:rPr>
                <w:rFonts w:hint="eastAsia"/>
                <w:color w:val="auto"/>
                <w:sz w:val="21"/>
                <w:szCs w:val="21"/>
                <w:highlight w:val="none"/>
                <w:lang w:val="en-US" w:eastAsia="zh-CN"/>
              </w:rPr>
              <w:t>1800</w:t>
            </w:r>
            <w:r>
              <w:rPr>
                <w:rFonts w:hint="default"/>
                <w:color w:val="auto"/>
                <w:sz w:val="21"/>
                <w:szCs w:val="21"/>
                <w:highlight w:val="none"/>
              </w:rPr>
              <w:t>元/吨。结算时，实际供货单价=</w:t>
            </w:r>
            <w:r>
              <w:rPr>
                <w:rFonts w:hint="eastAsia"/>
                <w:color w:val="auto"/>
                <w:sz w:val="21"/>
                <w:szCs w:val="21"/>
                <w:highlight w:val="none"/>
                <w:lang w:val="en-US" w:eastAsia="zh-CN"/>
              </w:rPr>
              <w:t>中标单价</w:t>
            </w:r>
            <w:r>
              <w:rPr>
                <w:rFonts w:hint="default"/>
                <w:color w:val="auto"/>
                <w:sz w:val="21"/>
                <w:szCs w:val="21"/>
                <w:highlight w:val="none"/>
              </w:rPr>
              <w:t>，</w:t>
            </w:r>
            <w:r>
              <w:rPr>
                <w:rFonts w:hint="eastAsia"/>
                <w:color w:val="auto"/>
                <w:sz w:val="21"/>
                <w:szCs w:val="21"/>
                <w:highlight w:val="none"/>
                <w:lang w:val="en-US" w:eastAsia="zh-CN"/>
              </w:rPr>
              <w:t>投标人</w:t>
            </w:r>
            <w:r>
              <w:rPr>
                <w:rFonts w:hint="default"/>
                <w:color w:val="auto"/>
                <w:sz w:val="21"/>
                <w:szCs w:val="21"/>
                <w:highlight w:val="none"/>
              </w:rPr>
              <w:t>一旦成交，</w:t>
            </w:r>
            <w:r>
              <w:rPr>
                <w:rFonts w:hint="eastAsia"/>
                <w:color w:val="auto"/>
                <w:sz w:val="21"/>
                <w:szCs w:val="21"/>
                <w:highlight w:val="none"/>
                <w:lang w:val="en-US" w:eastAsia="zh-CN"/>
              </w:rPr>
              <w:t>中标单价</w:t>
            </w:r>
            <w:r>
              <w:rPr>
                <w:rFonts w:hint="default"/>
                <w:color w:val="auto"/>
                <w:sz w:val="21"/>
                <w:szCs w:val="21"/>
                <w:highlight w:val="none"/>
              </w:rPr>
              <w:t>在合同服务期内不得改变。</w:t>
            </w:r>
          </w:p>
          <w:p w14:paraId="4AA5ABF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sz w:val="21"/>
                <w:szCs w:val="21"/>
                <w:highlight w:val="none"/>
              </w:rPr>
            </w:pPr>
            <w:r>
              <w:rPr>
                <w:rFonts w:hint="default"/>
                <w:color w:val="auto"/>
                <w:sz w:val="21"/>
                <w:szCs w:val="21"/>
                <w:highlight w:val="none"/>
              </w:rPr>
              <w:t>2.为了确保采购质量和维护公平的竞争，根据《中华人民共和国政府采购法》第七十七条和</w:t>
            </w:r>
            <w:r>
              <w:rPr>
                <w:rFonts w:hint="eastAsia"/>
                <w:color w:val="auto"/>
                <w:sz w:val="21"/>
                <w:szCs w:val="21"/>
                <w:highlight w:val="none"/>
                <w:lang w:eastAsia="zh-CN"/>
              </w:rPr>
              <w:t>《</w:t>
            </w:r>
            <w:r>
              <w:rPr>
                <w:rFonts w:hint="default"/>
                <w:color w:val="auto"/>
                <w:sz w:val="21"/>
                <w:szCs w:val="21"/>
                <w:highlight w:val="none"/>
              </w:rPr>
              <w:t>中华人民共和国反不正当竞争法</w:t>
            </w:r>
            <w:r>
              <w:rPr>
                <w:rFonts w:hint="eastAsia"/>
                <w:color w:val="auto"/>
                <w:sz w:val="21"/>
                <w:szCs w:val="21"/>
                <w:highlight w:val="none"/>
                <w:lang w:eastAsia="zh-CN"/>
              </w:rPr>
              <w:t>》</w:t>
            </w:r>
            <w:r>
              <w:rPr>
                <w:rFonts w:hint="default"/>
                <w:color w:val="auto"/>
                <w:sz w:val="21"/>
                <w:szCs w:val="21"/>
                <w:highlight w:val="none"/>
              </w:rPr>
              <w:t>第十一条，经营者不得以排挤对手为目的，以低于成本的价格销售商品（服务）。采购人不能接受供应商的恶意低价的竞争。投标人的报价出现《财政部关于推动解决政府采购异常低价问题的通知》（财库〔2026〕2号）规定的异常低价情形（具体详见招标文件第四章评标方法及评标标准二、评标程序6.异常低价审查），有可能影响服务质量或者不能诚信履约的，其应当在评标现场合理时间内（不少于30分钟）对报价作出解释，提供项目具体成本测算等与报价合理性相关的书面说明及必要证明材料；投标人不能提供相关说明、证明材料，或提供的材料无法证明其报价合理性的，评标委员会将其作为无效投标处理。</w:t>
            </w:r>
          </w:p>
        </w:tc>
      </w:tr>
      <w:tr w14:paraId="121F9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jc w:val="center"/>
        </w:trPr>
        <w:tc>
          <w:tcPr>
            <w:tcW w:w="2257" w:type="dxa"/>
            <w:gridSpan w:val="3"/>
            <w:tcBorders>
              <w:top w:val="single" w:color="000000" w:sz="2" w:space="0"/>
              <w:left w:val="single" w:color="000000" w:sz="2" w:space="0"/>
              <w:bottom w:val="single" w:color="000000" w:sz="2" w:space="0"/>
              <w:right w:val="single" w:color="000000" w:sz="2" w:space="0"/>
            </w:tcBorders>
            <w:noWrap w:val="0"/>
            <w:vAlign w:val="center"/>
          </w:tcPr>
          <w:p w14:paraId="4738A502">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六</w:t>
            </w:r>
            <w:r>
              <w:rPr>
                <w:rFonts w:hint="eastAsia" w:ascii="宋体" w:hAnsi="宋体" w:eastAsia="宋体" w:cs="宋体"/>
                <w:color w:val="auto"/>
                <w:szCs w:val="21"/>
                <w:highlight w:val="none"/>
                <w:lang w:eastAsia="zh-CN"/>
              </w:rPr>
              <w:t>）履约保证金</w:t>
            </w:r>
          </w:p>
        </w:tc>
        <w:tc>
          <w:tcPr>
            <w:tcW w:w="6814" w:type="dxa"/>
            <w:gridSpan w:val="3"/>
            <w:tcBorders>
              <w:top w:val="single" w:color="000000" w:sz="2" w:space="0"/>
              <w:left w:val="single" w:color="000000" w:sz="2" w:space="0"/>
              <w:bottom w:val="single" w:color="000000" w:sz="2" w:space="0"/>
              <w:right w:val="single" w:color="000000" w:sz="2" w:space="0"/>
            </w:tcBorders>
            <w:noWrap w:val="0"/>
            <w:vAlign w:val="center"/>
          </w:tcPr>
          <w:p w14:paraId="23E4DE77">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color w:val="auto"/>
                <w:sz w:val="21"/>
                <w:szCs w:val="21"/>
                <w:highlight w:val="none"/>
              </w:rPr>
            </w:pPr>
            <w:r>
              <w:rPr>
                <w:rFonts w:hint="eastAsia" w:ascii="宋体" w:hAnsi="宋体" w:cs="宋体"/>
                <w:color w:val="auto"/>
                <w:kern w:val="0"/>
                <w:highlight w:val="none"/>
              </w:rPr>
              <w:t>履约保证金金额：</w:t>
            </w:r>
            <w:r>
              <w:rPr>
                <w:rFonts w:hint="eastAsia" w:ascii="宋体" w:hAnsi="宋体" w:cs="宋体"/>
                <w:color w:val="auto"/>
                <w:kern w:val="0"/>
                <w:highlight w:val="none"/>
                <w:lang w:val="en-US" w:eastAsia="zh-CN"/>
              </w:rPr>
              <w:t>本项目不收取履约保证金</w:t>
            </w:r>
          </w:p>
        </w:tc>
      </w:tr>
      <w:tr w14:paraId="0F7AF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jc w:val="center"/>
        </w:trPr>
        <w:tc>
          <w:tcPr>
            <w:tcW w:w="2257" w:type="dxa"/>
            <w:gridSpan w:val="3"/>
            <w:tcBorders>
              <w:top w:val="single" w:color="000000" w:sz="2" w:space="0"/>
              <w:left w:val="single" w:color="000000" w:sz="2" w:space="0"/>
              <w:bottom w:val="single" w:color="000000" w:sz="2" w:space="0"/>
              <w:right w:val="single" w:color="000000" w:sz="2" w:space="0"/>
            </w:tcBorders>
            <w:noWrap w:val="0"/>
            <w:vAlign w:val="center"/>
          </w:tcPr>
          <w:p w14:paraId="31F82FEA">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rPr>
              <w:t>（</w:t>
            </w:r>
            <w:r>
              <w:rPr>
                <w:rFonts w:hint="eastAsia" w:ascii="宋体" w:hAnsi="宋体" w:cs="宋体"/>
                <w:color w:val="auto"/>
                <w:szCs w:val="21"/>
                <w:highlight w:val="none"/>
                <w:lang w:val="en-US" w:eastAsia="zh-CN"/>
              </w:rPr>
              <w:t>七</w:t>
            </w:r>
            <w:r>
              <w:rPr>
                <w:rFonts w:hint="default" w:ascii="宋体" w:hAnsi="宋体" w:eastAsia="宋体" w:cs="宋体"/>
                <w:color w:val="auto"/>
                <w:szCs w:val="21"/>
                <w:highlight w:val="none"/>
              </w:rPr>
              <w:t>）</w:t>
            </w:r>
            <w:r>
              <w:rPr>
                <w:rFonts w:hint="eastAsia" w:ascii="宋体" w:hAnsi="宋体" w:cs="宋体"/>
                <w:color w:val="auto"/>
                <w:szCs w:val="21"/>
                <w:highlight w:val="none"/>
                <w:lang w:val="en-US" w:eastAsia="zh-CN"/>
              </w:rPr>
              <w:t>验收要求</w:t>
            </w:r>
          </w:p>
        </w:tc>
        <w:tc>
          <w:tcPr>
            <w:tcW w:w="6814" w:type="dxa"/>
            <w:gridSpan w:val="3"/>
            <w:tcBorders>
              <w:top w:val="single" w:color="000000" w:sz="2" w:space="0"/>
              <w:left w:val="single" w:color="000000" w:sz="2" w:space="0"/>
              <w:bottom w:val="single" w:color="000000" w:sz="2" w:space="0"/>
              <w:right w:val="single" w:color="000000" w:sz="2" w:space="0"/>
            </w:tcBorders>
            <w:noWrap w:val="0"/>
            <w:vAlign w:val="center"/>
          </w:tcPr>
          <w:p w14:paraId="300C1D82">
            <w:pPr>
              <w:pStyle w:val="20"/>
              <w:spacing w:line="420" w:lineRule="exact"/>
              <w:rPr>
                <w:rFonts w:hAnsi="宋体" w:cs="宋体"/>
                <w:bCs/>
                <w:color w:val="auto"/>
                <w:kern w:val="2"/>
                <w:sz w:val="21"/>
                <w:highlight w:val="none"/>
              </w:rPr>
            </w:pPr>
            <w:r>
              <w:rPr>
                <w:rFonts w:hint="eastAsia" w:hAnsi="宋体" w:cs="宋体"/>
                <w:bCs/>
                <w:color w:val="auto"/>
                <w:kern w:val="2"/>
                <w:sz w:val="21"/>
                <w:highlight w:val="none"/>
              </w:rPr>
              <w:t>1.产品抵达现场后，</w:t>
            </w:r>
            <w:r>
              <w:rPr>
                <w:rFonts w:hint="eastAsia" w:hAnsi="宋体" w:cs="宋体"/>
                <w:bCs/>
                <w:color w:val="auto"/>
                <w:kern w:val="2"/>
                <w:sz w:val="21"/>
                <w:highlight w:val="none"/>
                <w:lang w:val="en-US" w:eastAsia="zh-CN"/>
              </w:rPr>
              <w:t>中标</w:t>
            </w:r>
            <w:r>
              <w:rPr>
                <w:rFonts w:hint="eastAsia" w:hAnsi="宋体" w:cs="宋体"/>
                <w:bCs/>
                <w:color w:val="auto"/>
                <w:kern w:val="2"/>
                <w:sz w:val="21"/>
                <w:highlight w:val="none"/>
              </w:rPr>
              <w:t>供应商需指派人员与采购人共同进行清点和验收。若产品的各项参数指标及配置均达到技术指标要求，则视为产品验收合格。产品的所有权在交付后从</w:t>
            </w:r>
            <w:r>
              <w:rPr>
                <w:rFonts w:hint="eastAsia" w:hAnsi="宋体" w:cs="宋体"/>
                <w:bCs/>
                <w:color w:val="auto"/>
                <w:kern w:val="2"/>
                <w:sz w:val="21"/>
                <w:highlight w:val="none"/>
                <w:lang w:val="en-US" w:eastAsia="zh-CN"/>
              </w:rPr>
              <w:t>供应商</w:t>
            </w:r>
            <w:r>
              <w:rPr>
                <w:rFonts w:hint="eastAsia" w:hAnsi="宋体" w:cs="宋体"/>
                <w:bCs/>
                <w:color w:val="auto"/>
                <w:kern w:val="2"/>
                <w:sz w:val="21"/>
                <w:highlight w:val="none"/>
              </w:rPr>
              <w:t>转至</w:t>
            </w:r>
            <w:r>
              <w:rPr>
                <w:rFonts w:hint="eastAsia" w:hAnsi="宋体" w:cs="宋体"/>
                <w:bCs/>
                <w:color w:val="auto"/>
                <w:kern w:val="2"/>
                <w:sz w:val="21"/>
                <w:highlight w:val="none"/>
                <w:lang w:val="en-US" w:eastAsia="zh-CN"/>
              </w:rPr>
              <w:t>采购人</w:t>
            </w:r>
            <w:r>
              <w:rPr>
                <w:rFonts w:hint="eastAsia" w:hAnsi="宋体" w:cs="宋体"/>
                <w:bCs/>
                <w:color w:val="auto"/>
                <w:kern w:val="2"/>
                <w:sz w:val="21"/>
                <w:highlight w:val="none"/>
              </w:rPr>
              <w:t>，产品质量仍由</w:t>
            </w:r>
            <w:r>
              <w:rPr>
                <w:rFonts w:hint="eastAsia" w:hAnsi="宋体" w:cs="宋体"/>
                <w:bCs/>
                <w:color w:val="auto"/>
                <w:kern w:val="2"/>
                <w:sz w:val="21"/>
                <w:highlight w:val="none"/>
                <w:lang w:val="en-US" w:eastAsia="zh-CN"/>
              </w:rPr>
              <w:t>供应商</w:t>
            </w:r>
            <w:r>
              <w:rPr>
                <w:rFonts w:hint="eastAsia" w:hAnsi="宋体" w:cs="宋体"/>
                <w:bCs/>
                <w:color w:val="auto"/>
                <w:kern w:val="2"/>
                <w:sz w:val="21"/>
                <w:highlight w:val="none"/>
              </w:rPr>
              <w:t>负责。</w:t>
            </w:r>
          </w:p>
          <w:p w14:paraId="183724E2">
            <w:pPr>
              <w:pStyle w:val="20"/>
              <w:spacing w:line="420" w:lineRule="exact"/>
              <w:rPr>
                <w:rFonts w:hAnsi="宋体" w:cs="宋体"/>
                <w:bCs/>
                <w:color w:val="auto"/>
                <w:kern w:val="2"/>
                <w:sz w:val="21"/>
                <w:highlight w:val="none"/>
              </w:rPr>
            </w:pPr>
            <w:r>
              <w:rPr>
                <w:rFonts w:hint="eastAsia" w:hAnsi="宋体" w:cs="宋体"/>
                <w:bCs/>
                <w:color w:val="auto"/>
                <w:kern w:val="2"/>
                <w:sz w:val="21"/>
                <w:highlight w:val="none"/>
              </w:rPr>
              <w:t>2.若在验收过程中发现产品数量与供货清单存在差异，</w:t>
            </w:r>
            <w:r>
              <w:rPr>
                <w:rFonts w:hint="eastAsia" w:hAnsi="宋体" w:cs="宋体"/>
                <w:bCs/>
                <w:color w:val="auto"/>
                <w:kern w:val="2"/>
                <w:sz w:val="21"/>
                <w:highlight w:val="none"/>
                <w:lang w:eastAsia="zh-CN"/>
              </w:rPr>
              <w:t>中标供应商</w:t>
            </w:r>
            <w:r>
              <w:rPr>
                <w:rFonts w:hint="eastAsia" w:hAnsi="宋体" w:cs="宋体"/>
                <w:bCs/>
                <w:color w:val="auto"/>
                <w:kern w:val="2"/>
                <w:sz w:val="21"/>
                <w:highlight w:val="none"/>
              </w:rPr>
              <w:t>应负责补充缺少的产品或回收多余部分。若</w:t>
            </w:r>
            <w:r>
              <w:rPr>
                <w:rFonts w:hint="eastAsia" w:hAnsi="宋体" w:cs="宋体"/>
                <w:bCs/>
                <w:color w:val="auto"/>
                <w:kern w:val="2"/>
                <w:sz w:val="21"/>
                <w:highlight w:val="none"/>
                <w:lang w:eastAsia="zh-CN"/>
              </w:rPr>
              <w:t>中标供应商</w:t>
            </w:r>
            <w:r>
              <w:rPr>
                <w:rFonts w:hint="eastAsia" w:hAnsi="宋体" w:cs="宋体"/>
                <w:bCs/>
                <w:color w:val="auto"/>
                <w:kern w:val="2"/>
                <w:sz w:val="21"/>
                <w:highlight w:val="none"/>
              </w:rPr>
              <w:t>提供的产品质量或规格型号不符合招标文件及合同规定，采购人有权拒绝接收产品。双方人员应对供货中存在的问题进行详细记录形成现场记录或备忘录并签字确认，备忘录可作为退货、换货和追责的有效依据。</w:t>
            </w:r>
            <w:r>
              <w:rPr>
                <w:rFonts w:hint="eastAsia" w:hAnsi="宋体" w:cs="宋体"/>
                <w:bCs/>
                <w:color w:val="auto"/>
                <w:kern w:val="2"/>
                <w:sz w:val="21"/>
                <w:highlight w:val="none"/>
                <w:lang w:eastAsia="zh-CN"/>
              </w:rPr>
              <w:t>中标供应商</w:t>
            </w:r>
            <w:r>
              <w:rPr>
                <w:rFonts w:hint="eastAsia" w:hAnsi="宋体" w:cs="宋体"/>
                <w:bCs/>
                <w:color w:val="auto"/>
                <w:kern w:val="2"/>
                <w:sz w:val="21"/>
                <w:highlight w:val="none"/>
              </w:rPr>
              <w:t>需负责更换全新的产品，并承担由此给采购人造成的所有损失。</w:t>
            </w:r>
          </w:p>
          <w:p w14:paraId="042502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hAnsi="宋体" w:cs="宋体"/>
                <w:bCs/>
                <w:color w:val="auto"/>
                <w:kern w:val="2"/>
                <w:sz w:val="21"/>
                <w:highlight w:val="none"/>
              </w:rPr>
              <w:t>3.医用液氧的标志、包装、运输、装卸、贮存必须符合国家药品监督管理局审评、核准标准。医用液氧运输、装卸以及操作气化式集中供氧设备的人员必须是具备中华人民共和国特种设备安全管理和作业人员证(R2或A证</w:t>
            </w:r>
            <w:r>
              <w:rPr>
                <w:rFonts w:hint="eastAsia" w:hAnsi="宋体" w:cs="宋体"/>
                <w:bCs/>
                <w:color w:val="auto"/>
                <w:kern w:val="2"/>
                <w:sz w:val="21"/>
                <w:highlight w:val="none"/>
                <w:lang w:eastAsia="zh-CN"/>
              </w:rPr>
              <w:t>）</w:t>
            </w:r>
            <w:r>
              <w:rPr>
                <w:rFonts w:hint="eastAsia" w:hAnsi="宋体" w:cs="宋体"/>
                <w:bCs/>
                <w:color w:val="auto"/>
                <w:kern w:val="2"/>
                <w:sz w:val="21"/>
                <w:highlight w:val="none"/>
              </w:rPr>
              <w:t>持证人员，不符合上述要求的，采购人有权拒绝验收。医用液氧在气化至可使用状态，采购人签字验收前，所发生的运输、损毁、灭失、安全责任，以及液氧站供氧设备相关的维护、保养、检测及相关安全责任和事故，均由</w:t>
            </w:r>
            <w:r>
              <w:rPr>
                <w:rFonts w:hint="eastAsia" w:hAnsi="宋体" w:cs="宋体"/>
                <w:bCs/>
                <w:color w:val="auto"/>
                <w:kern w:val="2"/>
                <w:sz w:val="21"/>
                <w:highlight w:val="none"/>
                <w:lang w:eastAsia="zh-CN"/>
              </w:rPr>
              <w:t>中标供应商</w:t>
            </w:r>
            <w:r>
              <w:rPr>
                <w:rFonts w:hint="eastAsia" w:hAnsi="宋体" w:cs="宋体"/>
                <w:bCs/>
                <w:color w:val="auto"/>
                <w:kern w:val="2"/>
                <w:sz w:val="21"/>
                <w:highlight w:val="none"/>
              </w:rPr>
              <w:t>负责处理和承担相应责任。</w:t>
            </w:r>
          </w:p>
        </w:tc>
      </w:tr>
    </w:tbl>
    <w:p w14:paraId="3475FC2C">
      <w:pPr>
        <w:rPr>
          <w:rFonts w:hint="eastAsia" w:ascii="宋体" w:hAnsi="宋体" w:cs="宋体"/>
          <w:color w:val="auto"/>
          <w:highlight w:val="none"/>
        </w:rPr>
      </w:pPr>
      <w:r>
        <w:rPr>
          <w:rFonts w:ascii="Calibri" w:hAnsi="Calibri"/>
          <w:color w:val="auto"/>
          <w:szCs w:val="22"/>
          <w:highlight w:val="none"/>
        </w:rPr>
        <w:br w:type="page"/>
      </w:r>
      <w:r>
        <w:rPr>
          <w:rFonts w:hint="eastAsia" w:ascii="宋体" w:hAnsi="宋体" w:cs="宋体"/>
          <w:b/>
          <w:bCs/>
          <w:color w:val="auto"/>
          <w:sz w:val="40"/>
          <w:szCs w:val="48"/>
          <w:highlight w:val="none"/>
        </w:rPr>
        <w:t>附件：</w:t>
      </w:r>
    </w:p>
    <w:p w14:paraId="38C93A1B">
      <w:pPr>
        <w:spacing w:line="528" w:lineRule="exact"/>
        <w:ind w:left="11" w:hanging="11"/>
        <w:jc w:val="center"/>
        <w:rPr>
          <w:rFonts w:hint="eastAsia"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39"/>
        <w:tblW w:w="9476" w:type="dxa"/>
        <w:jc w:val="center"/>
        <w:tblLayout w:type="fixed"/>
        <w:tblCellMar>
          <w:top w:w="0" w:type="dxa"/>
          <w:left w:w="108" w:type="dxa"/>
          <w:bottom w:w="0" w:type="dxa"/>
          <w:right w:w="108" w:type="dxa"/>
        </w:tblCellMar>
      </w:tblPr>
      <w:tblGrid>
        <w:gridCol w:w="2020"/>
        <w:gridCol w:w="1642"/>
        <w:gridCol w:w="1084"/>
        <w:gridCol w:w="1923"/>
        <w:gridCol w:w="1709"/>
        <w:gridCol w:w="1098"/>
      </w:tblGrid>
      <w:tr w14:paraId="14201617">
        <w:tblPrEx>
          <w:tblCellMar>
            <w:top w:w="0" w:type="dxa"/>
            <w:left w:w="108" w:type="dxa"/>
            <w:bottom w:w="0" w:type="dxa"/>
            <w:right w:w="108" w:type="dxa"/>
          </w:tblCellMar>
        </w:tblPrEx>
        <w:trPr>
          <w:trHeight w:val="661" w:hRule="atLeast"/>
          <w:jc w:val="center"/>
        </w:trPr>
        <w:tc>
          <w:tcPr>
            <w:tcW w:w="2020" w:type="dxa"/>
            <w:tcBorders>
              <w:top w:val="single" w:color="auto" w:sz="4" w:space="0"/>
              <w:left w:val="single" w:color="auto" w:sz="4" w:space="0"/>
              <w:bottom w:val="single" w:color="auto" w:sz="4" w:space="0"/>
              <w:right w:val="single" w:color="auto" w:sz="4" w:space="0"/>
            </w:tcBorders>
            <w:noWrap w:val="0"/>
            <w:vAlign w:val="center"/>
          </w:tcPr>
          <w:p w14:paraId="107932DF">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行业名称</w:t>
            </w:r>
          </w:p>
        </w:tc>
        <w:tc>
          <w:tcPr>
            <w:tcW w:w="1642" w:type="dxa"/>
            <w:tcBorders>
              <w:top w:val="single" w:color="auto" w:sz="4" w:space="0"/>
              <w:left w:val="nil"/>
              <w:bottom w:val="single" w:color="auto" w:sz="4" w:space="0"/>
              <w:right w:val="single" w:color="auto" w:sz="4" w:space="0"/>
            </w:tcBorders>
            <w:noWrap w:val="0"/>
            <w:vAlign w:val="center"/>
          </w:tcPr>
          <w:p w14:paraId="25E802BE">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指标名称</w:t>
            </w:r>
          </w:p>
        </w:tc>
        <w:tc>
          <w:tcPr>
            <w:tcW w:w="1084" w:type="dxa"/>
            <w:tcBorders>
              <w:top w:val="single" w:color="auto" w:sz="4" w:space="0"/>
              <w:left w:val="nil"/>
              <w:bottom w:val="single" w:color="auto" w:sz="4" w:space="0"/>
              <w:right w:val="single" w:color="auto" w:sz="4" w:space="0"/>
            </w:tcBorders>
            <w:noWrap w:val="0"/>
            <w:vAlign w:val="center"/>
          </w:tcPr>
          <w:p w14:paraId="00B3A95A">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计量单位</w:t>
            </w:r>
          </w:p>
        </w:tc>
        <w:tc>
          <w:tcPr>
            <w:tcW w:w="1923" w:type="dxa"/>
            <w:tcBorders>
              <w:top w:val="single" w:color="auto" w:sz="4" w:space="0"/>
              <w:left w:val="nil"/>
              <w:bottom w:val="single" w:color="auto" w:sz="4" w:space="0"/>
              <w:right w:val="single" w:color="auto" w:sz="4" w:space="0"/>
            </w:tcBorders>
            <w:noWrap w:val="0"/>
            <w:vAlign w:val="center"/>
          </w:tcPr>
          <w:p w14:paraId="100C4FE9">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中型</w:t>
            </w:r>
          </w:p>
        </w:tc>
        <w:tc>
          <w:tcPr>
            <w:tcW w:w="1709" w:type="dxa"/>
            <w:tcBorders>
              <w:top w:val="single" w:color="auto" w:sz="4" w:space="0"/>
              <w:left w:val="nil"/>
              <w:bottom w:val="single" w:color="auto" w:sz="4" w:space="0"/>
              <w:right w:val="single" w:color="auto" w:sz="4" w:space="0"/>
            </w:tcBorders>
            <w:noWrap w:val="0"/>
            <w:vAlign w:val="center"/>
          </w:tcPr>
          <w:p w14:paraId="4B10A36E">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小型</w:t>
            </w:r>
          </w:p>
        </w:tc>
        <w:tc>
          <w:tcPr>
            <w:tcW w:w="1098" w:type="dxa"/>
            <w:tcBorders>
              <w:top w:val="single" w:color="auto" w:sz="4" w:space="0"/>
              <w:left w:val="nil"/>
              <w:bottom w:val="single" w:color="auto" w:sz="4" w:space="0"/>
              <w:right w:val="single" w:color="auto" w:sz="4" w:space="0"/>
            </w:tcBorders>
            <w:noWrap w:val="0"/>
            <w:vAlign w:val="center"/>
          </w:tcPr>
          <w:p w14:paraId="5F1848E4">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微型</w:t>
            </w:r>
          </w:p>
        </w:tc>
      </w:tr>
      <w:tr w14:paraId="2DD024BC">
        <w:tblPrEx>
          <w:tblCellMar>
            <w:top w:w="0" w:type="dxa"/>
            <w:left w:w="108" w:type="dxa"/>
            <w:bottom w:w="0" w:type="dxa"/>
            <w:right w:w="108" w:type="dxa"/>
          </w:tblCellMar>
        </w:tblPrEx>
        <w:trPr>
          <w:trHeight w:val="336" w:hRule="atLeast"/>
          <w:jc w:val="center"/>
        </w:trPr>
        <w:tc>
          <w:tcPr>
            <w:tcW w:w="2020" w:type="dxa"/>
            <w:tcBorders>
              <w:top w:val="nil"/>
              <w:left w:val="single" w:color="auto" w:sz="4" w:space="0"/>
              <w:bottom w:val="single" w:color="auto" w:sz="4" w:space="0"/>
              <w:right w:val="single" w:color="auto" w:sz="4" w:space="0"/>
            </w:tcBorders>
            <w:noWrap w:val="0"/>
            <w:vAlign w:val="bottom"/>
          </w:tcPr>
          <w:p w14:paraId="3D3CA873">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农、林、牧、渔</w:t>
            </w:r>
          </w:p>
        </w:tc>
        <w:tc>
          <w:tcPr>
            <w:tcW w:w="1642" w:type="dxa"/>
            <w:tcBorders>
              <w:top w:val="nil"/>
              <w:left w:val="nil"/>
              <w:bottom w:val="single" w:color="auto" w:sz="4" w:space="0"/>
              <w:right w:val="single" w:color="auto" w:sz="4" w:space="0"/>
            </w:tcBorders>
            <w:noWrap w:val="0"/>
            <w:vAlign w:val="center"/>
          </w:tcPr>
          <w:p w14:paraId="65CC6E5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79736E0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563158E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709" w:type="dxa"/>
            <w:tcBorders>
              <w:top w:val="nil"/>
              <w:left w:val="nil"/>
              <w:bottom w:val="single" w:color="auto" w:sz="4" w:space="0"/>
              <w:right w:val="single" w:color="auto" w:sz="4" w:space="0"/>
            </w:tcBorders>
            <w:noWrap w:val="0"/>
            <w:vAlign w:val="center"/>
          </w:tcPr>
          <w:p w14:paraId="485DA08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50≤Y＜500</w:t>
            </w:r>
          </w:p>
        </w:tc>
        <w:tc>
          <w:tcPr>
            <w:tcW w:w="1098" w:type="dxa"/>
            <w:tcBorders>
              <w:top w:val="nil"/>
              <w:left w:val="nil"/>
              <w:bottom w:val="single" w:color="auto" w:sz="4" w:space="0"/>
              <w:right w:val="single" w:color="auto" w:sz="4" w:space="0"/>
            </w:tcBorders>
            <w:noWrap w:val="0"/>
            <w:vAlign w:val="center"/>
          </w:tcPr>
          <w:p w14:paraId="17E1C21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Y＜50</w:t>
            </w:r>
          </w:p>
        </w:tc>
      </w:tr>
      <w:tr w14:paraId="3961EAD9">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60FBED57">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工业</w:t>
            </w:r>
          </w:p>
        </w:tc>
        <w:tc>
          <w:tcPr>
            <w:tcW w:w="1642" w:type="dxa"/>
            <w:tcBorders>
              <w:top w:val="nil"/>
              <w:left w:val="nil"/>
              <w:bottom w:val="single" w:color="auto" w:sz="4" w:space="0"/>
              <w:right w:val="single" w:color="auto" w:sz="4" w:space="0"/>
            </w:tcBorders>
            <w:noWrap w:val="0"/>
            <w:vAlign w:val="center"/>
          </w:tcPr>
          <w:p w14:paraId="692AD68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3728AD4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5AD14AA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5405633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1098" w:type="dxa"/>
            <w:tcBorders>
              <w:top w:val="nil"/>
              <w:left w:val="nil"/>
              <w:bottom w:val="single" w:color="auto" w:sz="4" w:space="0"/>
              <w:right w:val="single" w:color="auto" w:sz="4" w:space="0"/>
            </w:tcBorders>
            <w:noWrap w:val="0"/>
            <w:vAlign w:val="center"/>
          </w:tcPr>
          <w:p w14:paraId="31B0DEE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07F917DB">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173A7A77">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4495043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1EBE538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533D8BD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2000≤Y＜40000</w:t>
            </w:r>
          </w:p>
        </w:tc>
        <w:tc>
          <w:tcPr>
            <w:tcW w:w="1709" w:type="dxa"/>
            <w:tcBorders>
              <w:top w:val="nil"/>
              <w:left w:val="nil"/>
              <w:bottom w:val="single" w:color="auto" w:sz="4" w:space="0"/>
              <w:right w:val="single" w:color="auto" w:sz="4" w:space="0"/>
            </w:tcBorders>
            <w:noWrap w:val="0"/>
            <w:vAlign w:val="center"/>
          </w:tcPr>
          <w:p w14:paraId="436CB8E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300≤Y＜2000</w:t>
            </w:r>
          </w:p>
        </w:tc>
        <w:tc>
          <w:tcPr>
            <w:tcW w:w="1098" w:type="dxa"/>
            <w:tcBorders>
              <w:top w:val="nil"/>
              <w:left w:val="nil"/>
              <w:bottom w:val="single" w:color="auto" w:sz="4" w:space="0"/>
              <w:right w:val="single" w:color="auto" w:sz="4" w:space="0"/>
            </w:tcBorders>
            <w:noWrap w:val="0"/>
            <w:vAlign w:val="center"/>
          </w:tcPr>
          <w:p w14:paraId="1D4D279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Y＜300</w:t>
            </w:r>
          </w:p>
        </w:tc>
      </w:tr>
      <w:tr w14:paraId="0C33804A">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52BB70D2">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建筑业</w:t>
            </w:r>
          </w:p>
        </w:tc>
        <w:tc>
          <w:tcPr>
            <w:tcW w:w="1642" w:type="dxa"/>
            <w:tcBorders>
              <w:top w:val="nil"/>
              <w:left w:val="nil"/>
              <w:bottom w:val="single" w:color="auto" w:sz="4" w:space="0"/>
              <w:right w:val="single" w:color="auto" w:sz="4" w:space="0"/>
            </w:tcBorders>
            <w:noWrap w:val="0"/>
            <w:vAlign w:val="center"/>
          </w:tcPr>
          <w:p w14:paraId="5BBC6BE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4021BBC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0B850AD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6000≤Y＜80000</w:t>
            </w:r>
          </w:p>
        </w:tc>
        <w:tc>
          <w:tcPr>
            <w:tcW w:w="1709" w:type="dxa"/>
            <w:tcBorders>
              <w:top w:val="nil"/>
              <w:left w:val="nil"/>
              <w:bottom w:val="single" w:color="auto" w:sz="4" w:space="0"/>
              <w:right w:val="single" w:color="auto" w:sz="4" w:space="0"/>
            </w:tcBorders>
            <w:noWrap w:val="0"/>
            <w:vAlign w:val="center"/>
          </w:tcPr>
          <w:p w14:paraId="11FFA27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300≤Y＜6000</w:t>
            </w:r>
          </w:p>
        </w:tc>
        <w:tc>
          <w:tcPr>
            <w:tcW w:w="1098" w:type="dxa"/>
            <w:tcBorders>
              <w:top w:val="nil"/>
              <w:left w:val="nil"/>
              <w:bottom w:val="single" w:color="auto" w:sz="4" w:space="0"/>
              <w:right w:val="single" w:color="auto" w:sz="4" w:space="0"/>
            </w:tcBorders>
            <w:noWrap w:val="0"/>
            <w:vAlign w:val="center"/>
          </w:tcPr>
          <w:p w14:paraId="7E1C849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Y＜300</w:t>
            </w:r>
          </w:p>
        </w:tc>
      </w:tr>
      <w:tr w14:paraId="14272C8F">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74AEF86B">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316B9A9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1084" w:type="dxa"/>
            <w:tcBorders>
              <w:top w:val="nil"/>
              <w:left w:val="nil"/>
              <w:bottom w:val="single" w:color="auto" w:sz="4" w:space="0"/>
              <w:right w:val="single" w:color="auto" w:sz="4" w:space="0"/>
            </w:tcBorders>
            <w:noWrap w:val="0"/>
            <w:vAlign w:val="center"/>
          </w:tcPr>
          <w:p w14:paraId="13AC599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2C474A1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5000≤Z＜80000</w:t>
            </w:r>
          </w:p>
        </w:tc>
        <w:tc>
          <w:tcPr>
            <w:tcW w:w="1709" w:type="dxa"/>
            <w:tcBorders>
              <w:top w:val="nil"/>
              <w:left w:val="nil"/>
              <w:bottom w:val="single" w:color="auto" w:sz="4" w:space="0"/>
              <w:right w:val="single" w:color="auto" w:sz="4" w:space="0"/>
            </w:tcBorders>
            <w:noWrap w:val="0"/>
            <w:vAlign w:val="center"/>
          </w:tcPr>
          <w:p w14:paraId="2842A3D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300≤Z＜5000</w:t>
            </w:r>
          </w:p>
        </w:tc>
        <w:tc>
          <w:tcPr>
            <w:tcW w:w="1098" w:type="dxa"/>
            <w:tcBorders>
              <w:top w:val="nil"/>
              <w:left w:val="nil"/>
              <w:bottom w:val="single" w:color="auto" w:sz="4" w:space="0"/>
              <w:right w:val="single" w:color="auto" w:sz="4" w:space="0"/>
            </w:tcBorders>
            <w:noWrap w:val="0"/>
            <w:vAlign w:val="center"/>
          </w:tcPr>
          <w:p w14:paraId="4E3D52A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Z＜300</w:t>
            </w:r>
          </w:p>
        </w:tc>
      </w:tr>
      <w:tr w14:paraId="3D81948C">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68F11E81">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批发业</w:t>
            </w:r>
          </w:p>
        </w:tc>
        <w:tc>
          <w:tcPr>
            <w:tcW w:w="1642" w:type="dxa"/>
            <w:tcBorders>
              <w:top w:val="nil"/>
              <w:left w:val="nil"/>
              <w:bottom w:val="single" w:color="auto" w:sz="4" w:space="0"/>
              <w:right w:val="single" w:color="auto" w:sz="4" w:space="0"/>
            </w:tcBorders>
            <w:noWrap w:val="0"/>
            <w:vAlign w:val="center"/>
          </w:tcPr>
          <w:p w14:paraId="66B8B14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1714797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7CD1FC2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20≤X＜200</w:t>
            </w:r>
          </w:p>
        </w:tc>
        <w:tc>
          <w:tcPr>
            <w:tcW w:w="1709" w:type="dxa"/>
            <w:tcBorders>
              <w:top w:val="nil"/>
              <w:left w:val="nil"/>
              <w:bottom w:val="single" w:color="auto" w:sz="4" w:space="0"/>
              <w:right w:val="single" w:color="auto" w:sz="4" w:space="0"/>
            </w:tcBorders>
            <w:noWrap w:val="0"/>
            <w:vAlign w:val="center"/>
          </w:tcPr>
          <w:p w14:paraId="38D03E0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5≤X＜20</w:t>
            </w:r>
          </w:p>
        </w:tc>
        <w:tc>
          <w:tcPr>
            <w:tcW w:w="1098" w:type="dxa"/>
            <w:tcBorders>
              <w:top w:val="nil"/>
              <w:left w:val="nil"/>
              <w:bottom w:val="single" w:color="auto" w:sz="4" w:space="0"/>
              <w:right w:val="single" w:color="auto" w:sz="4" w:space="0"/>
            </w:tcBorders>
            <w:noWrap w:val="0"/>
            <w:vAlign w:val="center"/>
          </w:tcPr>
          <w:p w14:paraId="79A3BC2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X＜5</w:t>
            </w:r>
          </w:p>
        </w:tc>
      </w:tr>
      <w:tr w14:paraId="752E02D7">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4F925026">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6C47D2D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2B462FE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2364E7E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5000≤Y＜40000</w:t>
            </w:r>
          </w:p>
        </w:tc>
        <w:tc>
          <w:tcPr>
            <w:tcW w:w="1709" w:type="dxa"/>
            <w:tcBorders>
              <w:top w:val="nil"/>
              <w:left w:val="nil"/>
              <w:bottom w:val="single" w:color="auto" w:sz="4" w:space="0"/>
              <w:right w:val="single" w:color="auto" w:sz="4" w:space="0"/>
            </w:tcBorders>
            <w:noWrap w:val="0"/>
            <w:vAlign w:val="center"/>
          </w:tcPr>
          <w:p w14:paraId="7F072C8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098" w:type="dxa"/>
            <w:tcBorders>
              <w:top w:val="nil"/>
              <w:left w:val="nil"/>
              <w:bottom w:val="single" w:color="auto" w:sz="4" w:space="0"/>
              <w:right w:val="single" w:color="auto" w:sz="4" w:space="0"/>
            </w:tcBorders>
            <w:noWrap w:val="0"/>
            <w:vAlign w:val="center"/>
          </w:tcPr>
          <w:p w14:paraId="56D89CD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Y＜1000</w:t>
            </w:r>
          </w:p>
        </w:tc>
      </w:tr>
      <w:tr w14:paraId="66F40FE0">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6F5D4E1D">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零售业</w:t>
            </w:r>
          </w:p>
        </w:tc>
        <w:tc>
          <w:tcPr>
            <w:tcW w:w="1642" w:type="dxa"/>
            <w:tcBorders>
              <w:top w:val="nil"/>
              <w:left w:val="nil"/>
              <w:bottom w:val="single" w:color="auto" w:sz="4" w:space="0"/>
              <w:right w:val="single" w:color="auto" w:sz="4" w:space="0"/>
            </w:tcBorders>
            <w:noWrap w:val="0"/>
            <w:vAlign w:val="center"/>
          </w:tcPr>
          <w:p w14:paraId="76D2513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561339D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7ABFF0A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50≤X＜300</w:t>
            </w:r>
          </w:p>
        </w:tc>
        <w:tc>
          <w:tcPr>
            <w:tcW w:w="1709" w:type="dxa"/>
            <w:tcBorders>
              <w:top w:val="nil"/>
              <w:left w:val="nil"/>
              <w:bottom w:val="single" w:color="auto" w:sz="4" w:space="0"/>
              <w:right w:val="single" w:color="auto" w:sz="4" w:space="0"/>
            </w:tcBorders>
            <w:noWrap w:val="0"/>
            <w:vAlign w:val="center"/>
          </w:tcPr>
          <w:p w14:paraId="3FE60BD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10≤X＜50</w:t>
            </w:r>
          </w:p>
        </w:tc>
        <w:tc>
          <w:tcPr>
            <w:tcW w:w="1098" w:type="dxa"/>
            <w:tcBorders>
              <w:top w:val="nil"/>
              <w:left w:val="nil"/>
              <w:bottom w:val="single" w:color="auto" w:sz="4" w:space="0"/>
              <w:right w:val="single" w:color="auto" w:sz="4" w:space="0"/>
            </w:tcBorders>
            <w:noWrap w:val="0"/>
            <w:vAlign w:val="center"/>
          </w:tcPr>
          <w:p w14:paraId="10B4275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3C4E06C9">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6991E39E">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5E11770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1845A8E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198F27C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709" w:type="dxa"/>
            <w:tcBorders>
              <w:top w:val="nil"/>
              <w:left w:val="nil"/>
              <w:bottom w:val="single" w:color="auto" w:sz="4" w:space="0"/>
              <w:right w:val="single" w:color="auto" w:sz="4" w:space="0"/>
            </w:tcBorders>
            <w:noWrap w:val="0"/>
            <w:vAlign w:val="center"/>
          </w:tcPr>
          <w:p w14:paraId="3E5A60A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100≤Y＜500</w:t>
            </w:r>
          </w:p>
        </w:tc>
        <w:tc>
          <w:tcPr>
            <w:tcW w:w="1098" w:type="dxa"/>
            <w:tcBorders>
              <w:top w:val="nil"/>
              <w:left w:val="nil"/>
              <w:bottom w:val="single" w:color="auto" w:sz="4" w:space="0"/>
              <w:right w:val="single" w:color="auto" w:sz="4" w:space="0"/>
            </w:tcBorders>
            <w:noWrap w:val="0"/>
            <w:vAlign w:val="center"/>
          </w:tcPr>
          <w:p w14:paraId="77A8B32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70988D45">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3EB024E3">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交通运输业</w:t>
            </w:r>
          </w:p>
        </w:tc>
        <w:tc>
          <w:tcPr>
            <w:tcW w:w="1642" w:type="dxa"/>
            <w:tcBorders>
              <w:top w:val="nil"/>
              <w:left w:val="nil"/>
              <w:bottom w:val="single" w:color="auto" w:sz="4" w:space="0"/>
              <w:right w:val="single" w:color="auto" w:sz="4" w:space="0"/>
            </w:tcBorders>
            <w:noWrap w:val="0"/>
            <w:vAlign w:val="center"/>
          </w:tcPr>
          <w:p w14:paraId="6665495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280B9F3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4D93A8E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44D12E9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1098" w:type="dxa"/>
            <w:tcBorders>
              <w:top w:val="nil"/>
              <w:left w:val="nil"/>
              <w:bottom w:val="single" w:color="auto" w:sz="4" w:space="0"/>
              <w:right w:val="single" w:color="auto" w:sz="4" w:space="0"/>
            </w:tcBorders>
            <w:noWrap w:val="0"/>
            <w:vAlign w:val="center"/>
          </w:tcPr>
          <w:p w14:paraId="25FE06C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4863DF0E">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7E6F6CBB">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2DA1FBD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5C7435E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7945043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3000≤Y＜30000</w:t>
            </w:r>
          </w:p>
        </w:tc>
        <w:tc>
          <w:tcPr>
            <w:tcW w:w="1709" w:type="dxa"/>
            <w:tcBorders>
              <w:top w:val="nil"/>
              <w:left w:val="nil"/>
              <w:bottom w:val="single" w:color="auto" w:sz="4" w:space="0"/>
              <w:right w:val="single" w:color="auto" w:sz="4" w:space="0"/>
            </w:tcBorders>
            <w:noWrap w:val="0"/>
            <w:vAlign w:val="center"/>
          </w:tcPr>
          <w:p w14:paraId="2EC36F6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200≤Y＜3000</w:t>
            </w:r>
          </w:p>
        </w:tc>
        <w:tc>
          <w:tcPr>
            <w:tcW w:w="1098" w:type="dxa"/>
            <w:tcBorders>
              <w:top w:val="nil"/>
              <w:left w:val="nil"/>
              <w:bottom w:val="single" w:color="auto" w:sz="4" w:space="0"/>
              <w:right w:val="single" w:color="auto" w:sz="4" w:space="0"/>
            </w:tcBorders>
            <w:noWrap w:val="0"/>
            <w:vAlign w:val="center"/>
          </w:tcPr>
          <w:p w14:paraId="494D7A8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Y＜200</w:t>
            </w:r>
          </w:p>
        </w:tc>
      </w:tr>
      <w:tr w14:paraId="2184F394">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2CC7D97E">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仓储业</w:t>
            </w:r>
          </w:p>
        </w:tc>
        <w:tc>
          <w:tcPr>
            <w:tcW w:w="1642" w:type="dxa"/>
            <w:tcBorders>
              <w:top w:val="nil"/>
              <w:left w:val="nil"/>
              <w:bottom w:val="single" w:color="auto" w:sz="4" w:space="0"/>
              <w:right w:val="single" w:color="auto" w:sz="4" w:space="0"/>
            </w:tcBorders>
            <w:noWrap w:val="0"/>
            <w:vAlign w:val="center"/>
          </w:tcPr>
          <w:p w14:paraId="67DF81C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7D71448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0FDCB16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100≤X＜200</w:t>
            </w:r>
          </w:p>
        </w:tc>
        <w:tc>
          <w:tcPr>
            <w:tcW w:w="1709" w:type="dxa"/>
            <w:tcBorders>
              <w:top w:val="nil"/>
              <w:left w:val="nil"/>
              <w:bottom w:val="single" w:color="auto" w:sz="4" w:space="0"/>
              <w:right w:val="single" w:color="auto" w:sz="4" w:space="0"/>
            </w:tcBorders>
            <w:noWrap w:val="0"/>
            <w:vAlign w:val="center"/>
          </w:tcPr>
          <w:p w14:paraId="78DF94D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20≤X＜100</w:t>
            </w:r>
          </w:p>
        </w:tc>
        <w:tc>
          <w:tcPr>
            <w:tcW w:w="1098" w:type="dxa"/>
            <w:tcBorders>
              <w:top w:val="nil"/>
              <w:left w:val="nil"/>
              <w:bottom w:val="single" w:color="auto" w:sz="4" w:space="0"/>
              <w:right w:val="single" w:color="auto" w:sz="4" w:space="0"/>
            </w:tcBorders>
            <w:noWrap w:val="0"/>
            <w:vAlign w:val="center"/>
          </w:tcPr>
          <w:p w14:paraId="715142A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1A3426ED">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3D6CBF42">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50BBF9C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33D1841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0C0E327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1000≤Y＜30000</w:t>
            </w:r>
          </w:p>
        </w:tc>
        <w:tc>
          <w:tcPr>
            <w:tcW w:w="1709" w:type="dxa"/>
            <w:tcBorders>
              <w:top w:val="nil"/>
              <w:left w:val="nil"/>
              <w:bottom w:val="single" w:color="auto" w:sz="4" w:space="0"/>
              <w:right w:val="single" w:color="auto" w:sz="4" w:space="0"/>
            </w:tcBorders>
            <w:noWrap w:val="0"/>
            <w:vAlign w:val="center"/>
          </w:tcPr>
          <w:p w14:paraId="673C2B2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1098" w:type="dxa"/>
            <w:tcBorders>
              <w:top w:val="nil"/>
              <w:left w:val="nil"/>
              <w:bottom w:val="single" w:color="auto" w:sz="4" w:space="0"/>
              <w:right w:val="single" w:color="auto" w:sz="4" w:space="0"/>
            </w:tcBorders>
            <w:noWrap w:val="0"/>
            <w:vAlign w:val="center"/>
          </w:tcPr>
          <w:p w14:paraId="657BFBC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323840E3">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752A0BBB">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邮政业</w:t>
            </w:r>
          </w:p>
        </w:tc>
        <w:tc>
          <w:tcPr>
            <w:tcW w:w="1642" w:type="dxa"/>
            <w:tcBorders>
              <w:top w:val="nil"/>
              <w:left w:val="nil"/>
              <w:bottom w:val="single" w:color="auto" w:sz="4" w:space="0"/>
              <w:right w:val="single" w:color="auto" w:sz="4" w:space="0"/>
            </w:tcBorders>
            <w:noWrap w:val="0"/>
            <w:vAlign w:val="center"/>
          </w:tcPr>
          <w:p w14:paraId="2E226C6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684E532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36944C0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0AD7C7D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1098" w:type="dxa"/>
            <w:tcBorders>
              <w:top w:val="nil"/>
              <w:left w:val="nil"/>
              <w:bottom w:val="single" w:color="auto" w:sz="4" w:space="0"/>
              <w:right w:val="single" w:color="auto" w:sz="4" w:space="0"/>
            </w:tcBorders>
            <w:noWrap w:val="0"/>
            <w:vAlign w:val="center"/>
          </w:tcPr>
          <w:p w14:paraId="679131C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4F94E337">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527C465D">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5BF8D74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6127897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5EBC47B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2000≤Y＜30000</w:t>
            </w:r>
          </w:p>
        </w:tc>
        <w:tc>
          <w:tcPr>
            <w:tcW w:w="1709" w:type="dxa"/>
            <w:tcBorders>
              <w:top w:val="nil"/>
              <w:left w:val="nil"/>
              <w:bottom w:val="single" w:color="auto" w:sz="4" w:space="0"/>
              <w:right w:val="single" w:color="auto" w:sz="4" w:space="0"/>
            </w:tcBorders>
            <w:noWrap w:val="0"/>
            <w:vAlign w:val="center"/>
          </w:tcPr>
          <w:p w14:paraId="1B95906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098" w:type="dxa"/>
            <w:tcBorders>
              <w:top w:val="nil"/>
              <w:left w:val="nil"/>
              <w:bottom w:val="single" w:color="auto" w:sz="4" w:space="0"/>
              <w:right w:val="single" w:color="auto" w:sz="4" w:space="0"/>
            </w:tcBorders>
            <w:noWrap w:val="0"/>
            <w:vAlign w:val="center"/>
          </w:tcPr>
          <w:p w14:paraId="68D5259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236FD044">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2A5BE25D">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住宿业</w:t>
            </w:r>
          </w:p>
        </w:tc>
        <w:tc>
          <w:tcPr>
            <w:tcW w:w="1642" w:type="dxa"/>
            <w:tcBorders>
              <w:top w:val="nil"/>
              <w:left w:val="nil"/>
              <w:bottom w:val="single" w:color="auto" w:sz="4" w:space="0"/>
              <w:right w:val="single" w:color="auto" w:sz="4" w:space="0"/>
            </w:tcBorders>
            <w:noWrap w:val="0"/>
            <w:vAlign w:val="center"/>
          </w:tcPr>
          <w:p w14:paraId="7D159EE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0B10A79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1E5252D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77D0AFE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3DC14E3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32C2A862">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09857DD5">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1F42D23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501EBB5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17E7C18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709" w:type="dxa"/>
            <w:tcBorders>
              <w:top w:val="nil"/>
              <w:left w:val="nil"/>
              <w:bottom w:val="single" w:color="auto" w:sz="4" w:space="0"/>
              <w:right w:val="single" w:color="auto" w:sz="4" w:space="0"/>
            </w:tcBorders>
            <w:noWrap w:val="0"/>
            <w:vAlign w:val="center"/>
          </w:tcPr>
          <w:p w14:paraId="2C9B8EC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098" w:type="dxa"/>
            <w:tcBorders>
              <w:top w:val="nil"/>
              <w:left w:val="nil"/>
              <w:bottom w:val="single" w:color="auto" w:sz="4" w:space="0"/>
              <w:right w:val="single" w:color="auto" w:sz="4" w:space="0"/>
            </w:tcBorders>
            <w:noWrap w:val="0"/>
            <w:vAlign w:val="center"/>
          </w:tcPr>
          <w:p w14:paraId="3EFE1A2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6791F483">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2A18EBC7">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餐饮业</w:t>
            </w:r>
          </w:p>
        </w:tc>
        <w:tc>
          <w:tcPr>
            <w:tcW w:w="1642" w:type="dxa"/>
            <w:tcBorders>
              <w:top w:val="nil"/>
              <w:left w:val="nil"/>
              <w:bottom w:val="single" w:color="auto" w:sz="4" w:space="0"/>
              <w:right w:val="single" w:color="auto" w:sz="4" w:space="0"/>
            </w:tcBorders>
            <w:noWrap w:val="0"/>
            <w:vAlign w:val="center"/>
          </w:tcPr>
          <w:p w14:paraId="470EC79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6CF13AE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122AB5E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0A997D3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2541B25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6009A619">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686CF253">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073284D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067A349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2665970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709" w:type="dxa"/>
            <w:tcBorders>
              <w:top w:val="nil"/>
              <w:left w:val="nil"/>
              <w:bottom w:val="single" w:color="auto" w:sz="4" w:space="0"/>
              <w:right w:val="single" w:color="auto" w:sz="4" w:space="0"/>
            </w:tcBorders>
            <w:noWrap w:val="0"/>
            <w:vAlign w:val="center"/>
          </w:tcPr>
          <w:p w14:paraId="31D0C2F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098" w:type="dxa"/>
            <w:tcBorders>
              <w:top w:val="nil"/>
              <w:left w:val="nil"/>
              <w:bottom w:val="single" w:color="auto" w:sz="4" w:space="0"/>
              <w:right w:val="single" w:color="auto" w:sz="4" w:space="0"/>
            </w:tcBorders>
            <w:noWrap w:val="0"/>
            <w:vAlign w:val="center"/>
          </w:tcPr>
          <w:p w14:paraId="7644F34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7EBD3023">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202AA436">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信息传输业</w:t>
            </w:r>
          </w:p>
        </w:tc>
        <w:tc>
          <w:tcPr>
            <w:tcW w:w="1642" w:type="dxa"/>
            <w:tcBorders>
              <w:top w:val="nil"/>
              <w:left w:val="nil"/>
              <w:bottom w:val="single" w:color="auto" w:sz="4" w:space="0"/>
              <w:right w:val="single" w:color="auto" w:sz="4" w:space="0"/>
            </w:tcBorders>
            <w:noWrap w:val="0"/>
            <w:vAlign w:val="center"/>
          </w:tcPr>
          <w:p w14:paraId="5EC4F54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22D470A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08B46E5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100≤X＜2000</w:t>
            </w:r>
          </w:p>
        </w:tc>
        <w:tc>
          <w:tcPr>
            <w:tcW w:w="1709" w:type="dxa"/>
            <w:tcBorders>
              <w:top w:val="nil"/>
              <w:left w:val="nil"/>
              <w:bottom w:val="single" w:color="auto" w:sz="4" w:space="0"/>
              <w:right w:val="single" w:color="auto" w:sz="4" w:space="0"/>
            </w:tcBorders>
            <w:noWrap w:val="0"/>
            <w:vAlign w:val="center"/>
          </w:tcPr>
          <w:p w14:paraId="69A5FAB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77A857E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3AEBAE45">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72185A24">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3D19FA9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31D70A7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2DAB023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1000≤Y＜100000</w:t>
            </w:r>
          </w:p>
        </w:tc>
        <w:tc>
          <w:tcPr>
            <w:tcW w:w="1709" w:type="dxa"/>
            <w:tcBorders>
              <w:top w:val="nil"/>
              <w:left w:val="nil"/>
              <w:bottom w:val="single" w:color="auto" w:sz="4" w:space="0"/>
              <w:right w:val="single" w:color="auto" w:sz="4" w:space="0"/>
            </w:tcBorders>
            <w:noWrap w:val="0"/>
            <w:vAlign w:val="center"/>
          </w:tcPr>
          <w:p w14:paraId="2C2C462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1098" w:type="dxa"/>
            <w:tcBorders>
              <w:top w:val="nil"/>
              <w:left w:val="nil"/>
              <w:bottom w:val="single" w:color="auto" w:sz="4" w:space="0"/>
              <w:right w:val="single" w:color="auto" w:sz="4" w:space="0"/>
            </w:tcBorders>
            <w:noWrap w:val="0"/>
            <w:vAlign w:val="center"/>
          </w:tcPr>
          <w:p w14:paraId="3AE4E59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2EEB95F6">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14EB10BE">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软件和信息技术服务业</w:t>
            </w:r>
          </w:p>
        </w:tc>
        <w:tc>
          <w:tcPr>
            <w:tcW w:w="1642" w:type="dxa"/>
            <w:tcBorders>
              <w:top w:val="nil"/>
              <w:left w:val="nil"/>
              <w:bottom w:val="single" w:color="auto" w:sz="4" w:space="0"/>
              <w:right w:val="single" w:color="auto" w:sz="4" w:space="0"/>
            </w:tcBorders>
            <w:noWrap w:val="0"/>
            <w:vAlign w:val="center"/>
          </w:tcPr>
          <w:p w14:paraId="1703890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270EDB4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43D8F5B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76087F8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02CA21F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3A644D90">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3D3415E5">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761055A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4E5A05B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1AF6FAB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1000≤Y＜10000</w:t>
            </w:r>
          </w:p>
        </w:tc>
        <w:tc>
          <w:tcPr>
            <w:tcW w:w="1709" w:type="dxa"/>
            <w:tcBorders>
              <w:top w:val="nil"/>
              <w:left w:val="nil"/>
              <w:bottom w:val="single" w:color="auto" w:sz="4" w:space="0"/>
              <w:right w:val="single" w:color="auto" w:sz="4" w:space="0"/>
            </w:tcBorders>
            <w:noWrap w:val="0"/>
            <w:vAlign w:val="center"/>
          </w:tcPr>
          <w:p w14:paraId="1D4B04C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50≤Y＜1000</w:t>
            </w:r>
          </w:p>
        </w:tc>
        <w:tc>
          <w:tcPr>
            <w:tcW w:w="1098" w:type="dxa"/>
            <w:tcBorders>
              <w:top w:val="nil"/>
              <w:left w:val="nil"/>
              <w:bottom w:val="single" w:color="auto" w:sz="4" w:space="0"/>
              <w:right w:val="single" w:color="auto" w:sz="4" w:space="0"/>
            </w:tcBorders>
            <w:noWrap w:val="0"/>
            <w:vAlign w:val="center"/>
          </w:tcPr>
          <w:p w14:paraId="36E4225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Y＜50</w:t>
            </w:r>
          </w:p>
        </w:tc>
      </w:tr>
      <w:tr w14:paraId="560A3AB8">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5CA58103">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房地产开发经营</w:t>
            </w:r>
          </w:p>
        </w:tc>
        <w:tc>
          <w:tcPr>
            <w:tcW w:w="1642" w:type="dxa"/>
            <w:tcBorders>
              <w:top w:val="nil"/>
              <w:left w:val="nil"/>
              <w:bottom w:val="single" w:color="auto" w:sz="4" w:space="0"/>
              <w:right w:val="single" w:color="auto" w:sz="4" w:space="0"/>
            </w:tcBorders>
            <w:noWrap w:val="0"/>
            <w:vAlign w:val="center"/>
          </w:tcPr>
          <w:p w14:paraId="6DE03C7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4EC7F4F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526A96D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1000≤Y＜200000</w:t>
            </w:r>
          </w:p>
        </w:tc>
        <w:tc>
          <w:tcPr>
            <w:tcW w:w="1709" w:type="dxa"/>
            <w:tcBorders>
              <w:top w:val="nil"/>
              <w:left w:val="nil"/>
              <w:bottom w:val="single" w:color="auto" w:sz="4" w:space="0"/>
              <w:right w:val="single" w:color="auto" w:sz="4" w:space="0"/>
            </w:tcBorders>
            <w:noWrap w:val="0"/>
            <w:vAlign w:val="center"/>
          </w:tcPr>
          <w:p w14:paraId="4D25634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100≤X＜1000</w:t>
            </w:r>
          </w:p>
        </w:tc>
        <w:tc>
          <w:tcPr>
            <w:tcW w:w="1098" w:type="dxa"/>
            <w:tcBorders>
              <w:top w:val="nil"/>
              <w:left w:val="nil"/>
              <w:bottom w:val="single" w:color="auto" w:sz="4" w:space="0"/>
              <w:right w:val="single" w:color="auto" w:sz="4" w:space="0"/>
            </w:tcBorders>
            <w:noWrap w:val="0"/>
            <w:vAlign w:val="center"/>
          </w:tcPr>
          <w:p w14:paraId="733F909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X＜100</w:t>
            </w:r>
          </w:p>
        </w:tc>
      </w:tr>
      <w:tr w14:paraId="130A0054">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7E75F1E1">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567312A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1084" w:type="dxa"/>
            <w:tcBorders>
              <w:top w:val="nil"/>
              <w:left w:val="nil"/>
              <w:bottom w:val="single" w:color="auto" w:sz="4" w:space="0"/>
              <w:right w:val="single" w:color="auto" w:sz="4" w:space="0"/>
            </w:tcBorders>
            <w:noWrap w:val="0"/>
            <w:vAlign w:val="center"/>
          </w:tcPr>
          <w:p w14:paraId="715662B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166FD1D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5000≤Z＜10000</w:t>
            </w:r>
          </w:p>
        </w:tc>
        <w:tc>
          <w:tcPr>
            <w:tcW w:w="1709" w:type="dxa"/>
            <w:tcBorders>
              <w:top w:val="nil"/>
              <w:left w:val="nil"/>
              <w:bottom w:val="single" w:color="auto" w:sz="4" w:space="0"/>
              <w:right w:val="single" w:color="auto" w:sz="4" w:space="0"/>
            </w:tcBorders>
            <w:noWrap w:val="0"/>
            <w:vAlign w:val="center"/>
          </w:tcPr>
          <w:p w14:paraId="5F19BA0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2000≤Y＜5000</w:t>
            </w:r>
          </w:p>
        </w:tc>
        <w:tc>
          <w:tcPr>
            <w:tcW w:w="1098" w:type="dxa"/>
            <w:tcBorders>
              <w:top w:val="nil"/>
              <w:left w:val="nil"/>
              <w:bottom w:val="single" w:color="auto" w:sz="4" w:space="0"/>
              <w:right w:val="single" w:color="auto" w:sz="4" w:space="0"/>
            </w:tcBorders>
            <w:noWrap w:val="0"/>
            <w:vAlign w:val="center"/>
          </w:tcPr>
          <w:p w14:paraId="2021676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Y＜2000</w:t>
            </w:r>
          </w:p>
        </w:tc>
      </w:tr>
      <w:tr w14:paraId="31DCE161">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3312666D">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物业管理</w:t>
            </w:r>
          </w:p>
        </w:tc>
        <w:tc>
          <w:tcPr>
            <w:tcW w:w="1642" w:type="dxa"/>
            <w:tcBorders>
              <w:top w:val="nil"/>
              <w:left w:val="nil"/>
              <w:bottom w:val="single" w:color="auto" w:sz="4" w:space="0"/>
              <w:right w:val="single" w:color="auto" w:sz="4" w:space="0"/>
            </w:tcBorders>
            <w:noWrap w:val="0"/>
            <w:vAlign w:val="center"/>
          </w:tcPr>
          <w:p w14:paraId="196A941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121FBF7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1D727A4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2690EF5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098" w:type="dxa"/>
            <w:tcBorders>
              <w:top w:val="nil"/>
              <w:left w:val="nil"/>
              <w:bottom w:val="single" w:color="auto" w:sz="4" w:space="0"/>
              <w:right w:val="single" w:color="auto" w:sz="4" w:space="0"/>
            </w:tcBorders>
            <w:noWrap w:val="0"/>
            <w:vAlign w:val="center"/>
          </w:tcPr>
          <w:p w14:paraId="6B962E7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X＜100</w:t>
            </w:r>
          </w:p>
        </w:tc>
      </w:tr>
      <w:tr w14:paraId="47E250E4">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38DAA35C">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1BA9462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6F624AF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49D93A8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709" w:type="dxa"/>
            <w:tcBorders>
              <w:top w:val="nil"/>
              <w:left w:val="nil"/>
              <w:bottom w:val="single" w:color="auto" w:sz="4" w:space="0"/>
              <w:right w:val="single" w:color="auto" w:sz="4" w:space="0"/>
            </w:tcBorders>
            <w:noWrap w:val="0"/>
            <w:vAlign w:val="center"/>
          </w:tcPr>
          <w:p w14:paraId="692AEA1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500≤Y＜1000</w:t>
            </w:r>
          </w:p>
        </w:tc>
        <w:tc>
          <w:tcPr>
            <w:tcW w:w="1098" w:type="dxa"/>
            <w:tcBorders>
              <w:top w:val="nil"/>
              <w:left w:val="nil"/>
              <w:bottom w:val="single" w:color="auto" w:sz="4" w:space="0"/>
              <w:right w:val="single" w:color="auto" w:sz="4" w:space="0"/>
            </w:tcBorders>
            <w:noWrap w:val="0"/>
            <w:vAlign w:val="center"/>
          </w:tcPr>
          <w:p w14:paraId="0D2E385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Y＜500</w:t>
            </w:r>
          </w:p>
        </w:tc>
      </w:tr>
      <w:tr w14:paraId="41778307">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5A00AA9A">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租赁和商务服务业</w:t>
            </w:r>
          </w:p>
        </w:tc>
        <w:tc>
          <w:tcPr>
            <w:tcW w:w="1642" w:type="dxa"/>
            <w:tcBorders>
              <w:top w:val="nil"/>
              <w:left w:val="nil"/>
              <w:bottom w:val="single" w:color="auto" w:sz="4" w:space="0"/>
              <w:right w:val="single" w:color="auto" w:sz="4" w:space="0"/>
            </w:tcBorders>
            <w:noWrap w:val="0"/>
            <w:vAlign w:val="center"/>
          </w:tcPr>
          <w:p w14:paraId="4C672A1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28A3A1B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3BEBD01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0BCC038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133D02C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398BCE49">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44D13BE5">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54A5755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1084" w:type="dxa"/>
            <w:tcBorders>
              <w:top w:val="nil"/>
              <w:left w:val="nil"/>
              <w:bottom w:val="single" w:color="auto" w:sz="4" w:space="0"/>
              <w:right w:val="single" w:color="auto" w:sz="4" w:space="0"/>
            </w:tcBorders>
            <w:noWrap w:val="0"/>
            <w:vAlign w:val="center"/>
          </w:tcPr>
          <w:p w14:paraId="40D6B99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45D270B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8000≤Z＜120000</w:t>
            </w:r>
          </w:p>
        </w:tc>
        <w:tc>
          <w:tcPr>
            <w:tcW w:w="1709" w:type="dxa"/>
            <w:tcBorders>
              <w:top w:val="nil"/>
              <w:left w:val="nil"/>
              <w:bottom w:val="single" w:color="auto" w:sz="4" w:space="0"/>
              <w:right w:val="single" w:color="auto" w:sz="4" w:space="0"/>
            </w:tcBorders>
            <w:noWrap w:val="0"/>
            <w:vAlign w:val="center"/>
          </w:tcPr>
          <w:p w14:paraId="2DB3430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100≤Z＜8000</w:t>
            </w:r>
          </w:p>
        </w:tc>
        <w:tc>
          <w:tcPr>
            <w:tcW w:w="1098" w:type="dxa"/>
            <w:tcBorders>
              <w:top w:val="nil"/>
              <w:left w:val="nil"/>
              <w:bottom w:val="single" w:color="auto" w:sz="4" w:space="0"/>
              <w:right w:val="single" w:color="auto" w:sz="4" w:space="0"/>
            </w:tcBorders>
            <w:noWrap w:val="0"/>
            <w:vAlign w:val="center"/>
          </w:tcPr>
          <w:p w14:paraId="107A0E3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2408BEAF">
        <w:tblPrEx>
          <w:tblCellMar>
            <w:top w:w="0" w:type="dxa"/>
            <w:left w:w="108" w:type="dxa"/>
            <w:bottom w:w="0" w:type="dxa"/>
            <w:right w:w="108" w:type="dxa"/>
          </w:tblCellMar>
        </w:tblPrEx>
        <w:trPr>
          <w:trHeight w:val="346" w:hRule="atLeast"/>
          <w:jc w:val="center"/>
        </w:trPr>
        <w:tc>
          <w:tcPr>
            <w:tcW w:w="2020" w:type="dxa"/>
            <w:tcBorders>
              <w:top w:val="nil"/>
              <w:left w:val="single" w:color="auto" w:sz="4" w:space="0"/>
              <w:bottom w:val="single" w:color="auto" w:sz="4" w:space="0"/>
              <w:right w:val="single" w:color="auto" w:sz="4" w:space="0"/>
            </w:tcBorders>
            <w:noWrap w:val="0"/>
            <w:vAlign w:val="bottom"/>
          </w:tcPr>
          <w:p w14:paraId="0D3E963A">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其他未列明行业</w:t>
            </w:r>
          </w:p>
        </w:tc>
        <w:tc>
          <w:tcPr>
            <w:tcW w:w="1642" w:type="dxa"/>
            <w:tcBorders>
              <w:top w:val="nil"/>
              <w:left w:val="nil"/>
              <w:bottom w:val="single" w:color="auto" w:sz="4" w:space="0"/>
              <w:right w:val="single" w:color="auto" w:sz="4" w:space="0"/>
            </w:tcBorders>
            <w:noWrap w:val="0"/>
            <w:vAlign w:val="center"/>
          </w:tcPr>
          <w:p w14:paraId="0D78158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2C9B116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56CC1B1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2610A25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40CF33D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bl>
    <w:p w14:paraId="3E0B16C4">
      <w:pPr>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cs="宋体"/>
          <w:color w:val="auto"/>
          <w:szCs w:val="21"/>
          <w:highlight w:val="none"/>
        </w:rPr>
        <w:t>），大型、中型和小型企业须同时满足所列指标的下限，否则下划一档；微型企业只须满足所列指标中的一项即可。</w:t>
      </w:r>
    </w:p>
    <w:p w14:paraId="7CCF4EFB">
      <w:pPr>
        <w:spacing w:line="400" w:lineRule="exact"/>
        <w:rPr>
          <w:rFonts w:hint="eastAsia" w:ascii="宋体" w:hAnsi="宋体" w:cs="宋体"/>
          <w:color w:val="auto"/>
          <w:szCs w:val="21"/>
          <w:highlight w:val="none"/>
        </w:rPr>
      </w:pPr>
    </w:p>
    <w:p w14:paraId="122A0067">
      <w:pPr>
        <w:pStyle w:val="26"/>
        <w:rPr>
          <w:rFonts w:hint="eastAsia"/>
          <w:color w:val="auto"/>
          <w:highlight w:val="none"/>
        </w:rPr>
      </w:pPr>
    </w:p>
    <w:p w14:paraId="502ADFB4">
      <w:pPr>
        <w:pStyle w:val="2"/>
        <w:keepNext w:val="0"/>
        <w:keepLines w:val="0"/>
        <w:tabs>
          <w:tab w:val="left" w:pos="0"/>
          <w:tab w:val="left" w:pos="3165"/>
          <w:tab w:val="center" w:pos="4153"/>
        </w:tabs>
        <w:autoSpaceDE w:val="0"/>
        <w:autoSpaceDN w:val="0"/>
        <w:adjustRightInd w:val="0"/>
        <w:spacing w:before="0" w:after="0" w:line="240" w:lineRule="auto"/>
        <w:jc w:val="center"/>
        <w:rPr>
          <w:rFonts w:hint="eastAsia" w:ascii="宋体" w:hAnsi="宋体" w:cs="宋体"/>
          <w:color w:val="auto"/>
          <w:highlight w:val="none"/>
        </w:rPr>
      </w:pPr>
      <w:bookmarkStart w:id="51" w:name="_Toc24453"/>
      <w:bookmarkStart w:id="52" w:name="_Toc6950"/>
      <w:bookmarkStart w:id="53" w:name="_Toc21295"/>
      <w:r>
        <w:rPr>
          <w:rFonts w:hint="eastAsia" w:ascii="宋体" w:hAnsi="宋体" w:cs="宋体"/>
          <w:color w:val="auto"/>
          <w:highlight w:val="none"/>
        </w:rPr>
        <w:t>第三章  投标人须知</w:t>
      </w:r>
      <w:bookmarkEnd w:id="51"/>
      <w:bookmarkEnd w:id="52"/>
      <w:bookmarkEnd w:id="53"/>
    </w:p>
    <w:p w14:paraId="1B98B307">
      <w:pPr>
        <w:pStyle w:val="3"/>
        <w:spacing w:line="240" w:lineRule="auto"/>
        <w:jc w:val="center"/>
        <w:rPr>
          <w:rFonts w:hint="eastAsia" w:ascii="宋体" w:hAnsi="宋体" w:eastAsia="宋体" w:cs="宋体"/>
          <w:color w:val="auto"/>
          <w:sz w:val="36"/>
          <w:szCs w:val="36"/>
          <w:highlight w:val="none"/>
        </w:rPr>
      </w:pPr>
      <w:bookmarkStart w:id="54" w:name="_Toc25167"/>
      <w:bookmarkStart w:id="55" w:name="_Toc254970667"/>
      <w:bookmarkStart w:id="56" w:name="_Toc4963"/>
      <w:bookmarkStart w:id="57" w:name="_Toc3016"/>
      <w:bookmarkStart w:id="58" w:name="_Toc254970526"/>
      <w:r>
        <w:rPr>
          <w:rFonts w:hint="eastAsia" w:ascii="宋体" w:hAnsi="宋体" w:eastAsia="宋体" w:cs="宋体"/>
          <w:color w:val="auto"/>
          <w:sz w:val="36"/>
          <w:szCs w:val="36"/>
          <w:highlight w:val="none"/>
        </w:rPr>
        <w:t>投标人须知前附表</w:t>
      </w:r>
      <w:bookmarkEnd w:id="54"/>
      <w:bookmarkEnd w:id="55"/>
      <w:bookmarkEnd w:id="56"/>
      <w:bookmarkEnd w:id="57"/>
      <w:bookmarkEnd w:id="58"/>
    </w:p>
    <w:tbl>
      <w:tblPr>
        <w:tblStyle w:val="39"/>
        <w:tblW w:w="915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8"/>
        <w:gridCol w:w="8175"/>
      </w:tblGrid>
      <w:tr w14:paraId="7519DC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905DADE">
            <w:pPr>
              <w:keepNext w:val="0"/>
              <w:keepLines w:val="0"/>
              <w:pageBreakBefore w:val="0"/>
              <w:widowControl w:val="0"/>
              <w:kinsoku/>
              <w:overflowPunct/>
              <w:topLinePunct w:val="0"/>
              <w:bidi w:val="0"/>
              <w:spacing w:before="120" w:beforeLines="5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86C35BE">
            <w:pPr>
              <w:keepNext w:val="0"/>
              <w:keepLines w:val="0"/>
              <w:pageBreakBefore w:val="0"/>
              <w:widowControl w:val="0"/>
              <w:kinsoku/>
              <w:overflowPunct/>
              <w:topLinePunct w:val="0"/>
              <w:bidi w:val="0"/>
              <w:spacing w:before="120" w:beforeLines="5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编列内容</w:t>
            </w:r>
          </w:p>
        </w:tc>
      </w:tr>
      <w:tr w14:paraId="389B82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B1C8081">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4A1D82B">
            <w:pPr>
              <w:keepNext w:val="0"/>
              <w:keepLines w:val="0"/>
              <w:pageBreakBefore w:val="0"/>
              <w:widowControl w:val="0"/>
              <w:kinsoku/>
              <w:wordWrap w:val="0"/>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1.投标人的资格要求详见招标公告。</w:t>
            </w:r>
          </w:p>
          <w:p w14:paraId="703F40BB">
            <w:pPr>
              <w:keepNext w:val="0"/>
              <w:keepLines w:val="0"/>
              <w:pageBreakBefore w:val="0"/>
              <w:widowControl w:val="0"/>
              <w:kinsoku/>
              <w:wordWrap w:val="0"/>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2.投标人出现下列情形之一的，不得参加政府采购活动：</w:t>
            </w:r>
          </w:p>
          <w:p w14:paraId="5BEBB7FC">
            <w:pPr>
              <w:keepNext w:val="0"/>
              <w:keepLines w:val="0"/>
              <w:pageBreakBefore w:val="0"/>
              <w:widowControl w:val="0"/>
              <w:kinsoku/>
              <w:wordWrap w:val="0"/>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7B48E9E">
            <w:pPr>
              <w:keepNext w:val="0"/>
              <w:keepLines w:val="0"/>
              <w:pageBreakBefore w:val="0"/>
              <w:widowControl w:val="0"/>
              <w:kinsoku/>
              <w:wordWrap w:val="0"/>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17C396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AC31358">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59" w:name="_8.1"/>
            <w:bookmarkEnd w:id="59"/>
            <w:bookmarkStart w:id="60" w:name="_9.2"/>
            <w:bookmarkEnd w:id="60"/>
            <w:bookmarkStart w:id="61" w:name="_5"/>
            <w:bookmarkEnd w:id="61"/>
            <w:r>
              <w:rPr>
                <w:rFonts w:hint="eastAsia" w:ascii="宋体" w:hAnsi="宋体" w:cs="宋体"/>
                <w:color w:val="auto"/>
                <w:szCs w:val="21"/>
                <w:highlight w:val="none"/>
              </w:rPr>
              <w:t>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D660D01">
            <w:pPr>
              <w:pStyle w:val="12"/>
              <w:keepNext w:val="0"/>
              <w:keepLines w:val="0"/>
              <w:pageBreakBefore w:val="0"/>
              <w:widowControl w:val="0"/>
              <w:kinsoku/>
              <w:overflowPunct/>
              <w:topLinePunct w:val="0"/>
              <w:bidi w:val="0"/>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本项目是否接受联合体投标：详见招标公告。</w:t>
            </w:r>
          </w:p>
        </w:tc>
      </w:tr>
      <w:tr w14:paraId="75165E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61265DA3">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6519A32">
            <w:pPr>
              <w:pStyle w:val="12"/>
              <w:keepNext w:val="0"/>
              <w:keepLines w:val="0"/>
              <w:pageBreakBefore w:val="0"/>
              <w:widowControl w:val="0"/>
              <w:kinsoku/>
              <w:overflowPunct/>
              <w:topLinePunct w:val="0"/>
              <w:bidi w:val="0"/>
              <w:spacing w:line="400" w:lineRule="exact"/>
              <w:rPr>
                <w:rFonts w:hint="eastAsia" w:ascii="宋体" w:hAnsi="宋体" w:cs="宋体"/>
                <w:color w:val="auto"/>
                <w:szCs w:val="21"/>
                <w:highlight w:val="none"/>
              </w:rPr>
            </w:pPr>
            <w:bookmarkStart w:id="62" w:name="_Hlk54105293"/>
            <w:r>
              <w:rPr>
                <w:rFonts w:hint="eastAsia" w:ascii="宋体" w:hAnsi="宋体" w:cs="宋体"/>
                <w:color w:val="auto"/>
                <w:szCs w:val="21"/>
                <w:highlight w:val="none"/>
              </w:rPr>
              <w:t>如接受联合体投标，</w:t>
            </w:r>
            <w:bookmarkEnd w:id="62"/>
            <w:r>
              <w:rPr>
                <w:rFonts w:hint="eastAsia" w:ascii="宋体" w:hAnsi="宋体" w:cs="宋体"/>
                <w:color w:val="auto"/>
                <w:szCs w:val="21"/>
                <w:highlight w:val="none"/>
              </w:rPr>
              <w:t>联合体投标要求如下：</w:t>
            </w:r>
          </w:p>
          <w:p w14:paraId="7D8A8ED4">
            <w:pPr>
              <w:pStyle w:val="12"/>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1.两个或两个以上投标人可以组成一个投标联合体，以一个投标人的身份共同参加投标。</w:t>
            </w:r>
            <w:r>
              <w:rPr>
                <w:rFonts w:hint="eastAsia" w:ascii="宋体" w:hAnsi="宋体" w:cs="宋体"/>
                <w:b/>
                <w:bCs/>
                <w:color w:val="auto"/>
                <w:szCs w:val="21"/>
                <w:highlight w:val="none"/>
              </w:rPr>
              <w:t>联合体投标人的名称应统一按“XXX公司与XXX公司的联合体”的规则填写</w:t>
            </w:r>
            <w:r>
              <w:rPr>
                <w:rFonts w:hint="eastAsia" w:ascii="宋体" w:hAnsi="宋体" w:cs="宋体"/>
                <w:color w:val="auto"/>
                <w:szCs w:val="21"/>
                <w:highlight w:val="none"/>
              </w:rPr>
              <w:t>。联合体投标的，须提供《联合体投标协议书》（格式后附）。</w:t>
            </w:r>
          </w:p>
          <w:p w14:paraId="6616707E">
            <w:pPr>
              <w:pStyle w:val="12"/>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26180D2A">
            <w:pPr>
              <w:pStyle w:val="12"/>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3.联合体各方之间必须签订联合投标协议，协议书必须明确主体方（或者牵头方）并明确约定联合体各方承担的工作和相应的责任（</w:t>
            </w:r>
            <w:r>
              <w:rPr>
                <w:rFonts w:hint="eastAsia" w:ascii="宋体" w:hAnsi="宋体" w:cs="宋体"/>
                <w:b/>
                <w:color w:val="auto"/>
                <w:szCs w:val="21"/>
                <w:highlight w:val="none"/>
              </w:rPr>
              <w:t>各方承担责任与义务的分工必须符合采购需求，否则，联合体投标无效</w:t>
            </w:r>
            <w:r>
              <w:rPr>
                <w:rFonts w:hint="eastAsia" w:ascii="宋体" w:hAnsi="宋体" w:cs="宋体"/>
                <w:color w:val="auto"/>
                <w:szCs w:val="21"/>
                <w:highlight w:val="none"/>
              </w:rPr>
              <w:t>），并将联合投标协议放入投标文件。联合体各方必须共同与采购人签订采购合同，就采购合同约定的事项对采购人承担连带责任。</w:t>
            </w:r>
          </w:p>
          <w:p w14:paraId="16CFBA24">
            <w:pPr>
              <w:pStyle w:val="12"/>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4.以联合体形式参加政府采购活动的，联合体各方不得再单独参加或者与其他投标人另外组成联合体参加同一合同项下的政府采购活动。</w:t>
            </w:r>
          </w:p>
          <w:p w14:paraId="25F6BE46">
            <w:pPr>
              <w:pStyle w:val="12"/>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5.联合体中有同类资质的投标人按照联合体分工承担相同工作的，应当按照资质等级较低的投标人确定资质等级。</w:t>
            </w:r>
          </w:p>
          <w:p w14:paraId="12CC5566">
            <w:pPr>
              <w:pStyle w:val="12"/>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6.联合体投标业绩、履约能力按照联合体各方其中较高的一方认定并计算（招标文件另有规定的除外）。</w:t>
            </w:r>
          </w:p>
          <w:p w14:paraId="65B2A33C">
            <w:pPr>
              <w:pStyle w:val="12"/>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7.投标人为联合体的，可以由联合体中的一方或者多方共同交纳投标保证金，其交纳的保证金对联合体各方均具有约束力。</w:t>
            </w:r>
          </w:p>
          <w:p w14:paraId="28FF6CA5">
            <w:pPr>
              <w:pStyle w:val="12"/>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8.联合体各方均应按照招标文件的规定提交资格证明文件。</w:t>
            </w:r>
          </w:p>
        </w:tc>
      </w:tr>
      <w:tr w14:paraId="462E2F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23E799DE">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7.2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E880116">
            <w:pPr>
              <w:pStyle w:val="12"/>
              <w:keepNext w:val="0"/>
              <w:keepLines w:val="0"/>
              <w:pageBreakBefore w:val="0"/>
              <w:widowControl w:val="0"/>
              <w:kinsoku/>
              <w:overflowPunct/>
              <w:topLinePunct w:val="0"/>
              <w:bidi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☑不允许分包</w:t>
            </w:r>
          </w:p>
          <w:p w14:paraId="40069895">
            <w:pPr>
              <w:pStyle w:val="12"/>
              <w:keepNext w:val="0"/>
              <w:keepLines w:val="0"/>
              <w:pageBreakBefore w:val="0"/>
              <w:widowControl w:val="0"/>
              <w:kinsoku/>
              <w:overflowPunct/>
              <w:topLinePunct w:val="0"/>
              <w:bidi w:val="0"/>
              <w:spacing w:line="400" w:lineRule="exact"/>
              <w:rPr>
                <w:rFonts w:hint="eastAsia" w:ascii="宋体" w:hAnsi="宋体" w:cs="宋体"/>
                <w:color w:val="auto"/>
                <w:szCs w:val="21"/>
                <w:highlight w:val="none"/>
              </w:rPr>
            </w:pPr>
            <w:bookmarkStart w:id="63" w:name="OLE_LINK12"/>
            <w:r>
              <w:rPr>
                <w:rFonts w:hint="eastAsia" w:ascii="宋体" w:hAnsi="宋体" w:cs="宋体"/>
                <w:color w:val="auto"/>
                <w:szCs w:val="21"/>
                <w:highlight w:val="none"/>
              </w:rPr>
              <w:t>□</w:t>
            </w:r>
            <w:bookmarkEnd w:id="63"/>
            <w:r>
              <w:rPr>
                <w:rFonts w:hint="eastAsia" w:ascii="宋体" w:hAnsi="宋体" w:cs="宋体"/>
                <w:color w:val="auto"/>
                <w:szCs w:val="21"/>
                <w:highlight w:val="none"/>
              </w:rPr>
              <w:t>允许分包</w:t>
            </w:r>
          </w:p>
          <w:p w14:paraId="2A7F4B67">
            <w:pPr>
              <w:pStyle w:val="12"/>
              <w:keepNext w:val="0"/>
              <w:keepLines w:val="0"/>
              <w:pageBreakBefore w:val="0"/>
              <w:widowControl w:val="0"/>
              <w:kinsoku/>
              <w:overflowPunct/>
              <w:topLinePunct w:val="0"/>
              <w:bidi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p>
          <w:p w14:paraId="7FE73462">
            <w:pPr>
              <w:pStyle w:val="12"/>
              <w:keepNext w:val="0"/>
              <w:keepLines w:val="0"/>
              <w:pageBreakBefore w:val="0"/>
              <w:widowControl w:val="0"/>
              <w:kinsoku/>
              <w:overflowPunct/>
              <w:topLinePunct w:val="0"/>
              <w:bidi w:val="0"/>
              <w:spacing w:line="400" w:lineRule="exact"/>
              <w:jc w:val="both"/>
              <w:rPr>
                <w:rFonts w:hint="eastAsia" w:ascii="宋体" w:hAnsi="宋体" w:cs="宋体"/>
                <w:color w:val="auto"/>
                <w:szCs w:val="21"/>
                <w:highlight w:val="none"/>
                <w:u w:val="singl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p>
        </w:tc>
      </w:tr>
      <w:tr w14:paraId="77B8E1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78" w:type="dxa"/>
            <w:vMerge w:val="restart"/>
            <w:tcBorders>
              <w:top w:val="single" w:color="auto" w:sz="4" w:space="0"/>
              <w:left w:val="single" w:color="auto" w:sz="4" w:space="0"/>
              <w:right w:val="single" w:color="auto" w:sz="4" w:space="0"/>
            </w:tcBorders>
            <w:noWrap w:val="0"/>
            <w:vAlign w:val="center"/>
          </w:tcPr>
          <w:p w14:paraId="076E21D4">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11.2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67C837D">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bookmarkStart w:id="64" w:name="OLE_LINK13"/>
            <w:r>
              <w:rPr>
                <w:rFonts w:hint="eastAsia" w:ascii="宋体" w:hAnsi="宋体" w:cs="宋体"/>
                <w:color w:val="auto"/>
                <w:szCs w:val="21"/>
                <w:highlight w:val="none"/>
              </w:rPr>
              <w:t>☑</w:t>
            </w:r>
            <w:bookmarkEnd w:id="64"/>
            <w:r>
              <w:rPr>
                <w:rFonts w:hint="eastAsia" w:ascii="宋体" w:hAnsi="宋体" w:cs="宋体"/>
                <w:color w:val="auto"/>
                <w:szCs w:val="21"/>
                <w:highlight w:val="none"/>
              </w:rPr>
              <w:t>不组织现场考察</w:t>
            </w:r>
          </w:p>
        </w:tc>
      </w:tr>
      <w:tr w14:paraId="010699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978" w:type="dxa"/>
            <w:vMerge w:val="continue"/>
            <w:tcBorders>
              <w:left w:val="single" w:color="auto" w:sz="4" w:space="0"/>
              <w:bottom w:val="single" w:color="auto" w:sz="4" w:space="0"/>
              <w:right w:val="single" w:color="auto" w:sz="4" w:space="0"/>
            </w:tcBorders>
            <w:noWrap w:val="0"/>
            <w:vAlign w:val="center"/>
          </w:tcPr>
          <w:p w14:paraId="700DE815">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E0C258D">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☑不组织召开开标前答疑会</w:t>
            </w:r>
          </w:p>
        </w:tc>
      </w:tr>
      <w:tr w14:paraId="6BF7E8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restart"/>
            <w:tcBorders>
              <w:top w:val="single" w:color="auto" w:sz="4" w:space="0"/>
              <w:left w:val="single" w:color="auto" w:sz="4" w:space="0"/>
              <w:right w:val="single" w:color="auto" w:sz="4" w:space="0"/>
            </w:tcBorders>
            <w:noWrap w:val="0"/>
            <w:vAlign w:val="center"/>
          </w:tcPr>
          <w:p w14:paraId="20302DD1">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65" w:name="_13.1"/>
            <w:bookmarkEnd w:id="65"/>
            <w:r>
              <w:rPr>
                <w:rFonts w:hint="eastAsia" w:ascii="宋体" w:hAnsi="宋体" w:cs="宋体"/>
                <w:color w:val="auto"/>
                <w:szCs w:val="21"/>
                <w:highlight w:val="none"/>
              </w:rPr>
              <w:t>13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B8DCA44">
            <w:pPr>
              <w:keepNext w:val="0"/>
              <w:keepLines w:val="0"/>
              <w:pageBreakBefore w:val="0"/>
              <w:widowControl w:val="0"/>
              <w:kinsoku/>
              <w:overflowPunct/>
              <w:topLinePunct w:val="0"/>
              <w:bidi w:val="0"/>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报价文件：</w:t>
            </w:r>
          </w:p>
          <w:p w14:paraId="4C9627FE">
            <w:pPr>
              <w:keepNext w:val="0"/>
              <w:keepLines w:val="0"/>
              <w:pageBreakBefore w:val="0"/>
              <w:widowControl w:val="0"/>
              <w:tabs>
                <w:tab w:val="left" w:pos="459"/>
              </w:tabs>
              <w:kinsoku/>
              <w:overflowPunct/>
              <w:topLinePunct w:val="0"/>
              <w:bidi w:val="0"/>
              <w:snapToGrid w:val="0"/>
              <w:spacing w:line="400" w:lineRule="exact"/>
              <w:ind w:left="-2" w:leftChars="-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1.投标函（格式后附）；</w:t>
            </w:r>
            <w:r>
              <w:rPr>
                <w:rFonts w:hint="eastAsia" w:ascii="宋体" w:hAnsi="宋体" w:cs="宋体"/>
                <w:b/>
                <w:color w:val="auto"/>
                <w:szCs w:val="21"/>
                <w:highlight w:val="none"/>
              </w:rPr>
              <w:t>（必须提供，否则按无效投标处理）</w:t>
            </w:r>
          </w:p>
          <w:p w14:paraId="79E088ED">
            <w:pPr>
              <w:keepNext w:val="0"/>
              <w:keepLines w:val="0"/>
              <w:pageBreakBefore w:val="0"/>
              <w:widowControl w:val="0"/>
              <w:tabs>
                <w:tab w:val="left" w:pos="459"/>
              </w:tabs>
              <w:kinsoku/>
              <w:overflowPunct/>
              <w:topLinePunct w:val="0"/>
              <w:bidi w:val="0"/>
              <w:snapToGrid w:val="0"/>
              <w:spacing w:line="400" w:lineRule="exact"/>
              <w:ind w:left="-2" w:leftChars="-1"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2.开标一览表（格式后附）；（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29306FA7">
            <w:pPr>
              <w:keepNext w:val="0"/>
              <w:keepLines w:val="0"/>
              <w:pageBreakBefore w:val="0"/>
              <w:widowControl w:val="0"/>
              <w:tabs>
                <w:tab w:val="left" w:pos="459"/>
              </w:tabs>
              <w:kinsoku/>
              <w:overflowPunct/>
              <w:topLinePunct w:val="0"/>
              <w:bidi w:val="0"/>
              <w:snapToGrid w:val="0"/>
              <w:spacing w:line="400" w:lineRule="exact"/>
              <w:ind w:left="-2" w:leftChars="-1"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3.中小企业声明函或监狱企业证明文件或残疾人福利性单位声明函；（如有请提供）</w:t>
            </w:r>
          </w:p>
          <w:p w14:paraId="0A935D36">
            <w:pPr>
              <w:keepNext w:val="0"/>
              <w:keepLines w:val="0"/>
              <w:pageBreakBefore w:val="0"/>
              <w:widowControl w:val="0"/>
              <w:tabs>
                <w:tab w:val="left" w:pos="459"/>
              </w:tabs>
              <w:kinsoku/>
              <w:overflowPunct/>
              <w:topLinePunct w:val="0"/>
              <w:bidi w:val="0"/>
              <w:snapToGrid w:val="0"/>
              <w:spacing w:line="400" w:lineRule="exact"/>
              <w:ind w:left="-2" w:leftChars="-1"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4.投标人针对报价需要说明的其他文件和说明（格式自拟）。（如有请提供）</w:t>
            </w:r>
          </w:p>
          <w:p w14:paraId="64A99580">
            <w:pPr>
              <w:keepNext w:val="0"/>
              <w:keepLines w:val="0"/>
              <w:pageBreakBefore w:val="0"/>
              <w:widowControl w:val="0"/>
              <w:tabs>
                <w:tab w:val="left" w:pos="459"/>
              </w:tabs>
              <w:kinsoku/>
              <w:overflowPunct/>
              <w:topLinePunct w:val="0"/>
              <w:bidi w:val="0"/>
              <w:snapToGrid w:val="0"/>
              <w:spacing w:line="400" w:lineRule="exact"/>
              <w:ind w:left="-2" w:leftChars="-1"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注：1.以上标明“必须提供”的材料的，必须加盖投标人电子签章，否则按无效投标处理；</w:t>
            </w:r>
          </w:p>
          <w:p w14:paraId="4A28A6CF">
            <w:pPr>
              <w:keepNext w:val="0"/>
              <w:keepLines w:val="0"/>
              <w:pageBreakBefore w:val="0"/>
              <w:widowControl w:val="0"/>
              <w:tabs>
                <w:tab w:val="left" w:pos="459"/>
              </w:tabs>
              <w:kinsoku/>
              <w:overflowPunct/>
              <w:topLinePunct w:val="0"/>
              <w:bidi w:val="0"/>
              <w:snapToGrid w:val="0"/>
              <w:spacing w:line="400" w:lineRule="exact"/>
              <w:ind w:left="-2" w:leftChars="-1" w:firstLine="843" w:firstLineChars="400"/>
              <w:rPr>
                <w:rFonts w:hint="eastAsia" w:ascii="宋体" w:hAnsi="宋体" w:cs="宋体"/>
                <w:b/>
                <w:color w:val="auto"/>
                <w:szCs w:val="21"/>
                <w:highlight w:val="none"/>
              </w:rPr>
            </w:pPr>
            <w:r>
              <w:rPr>
                <w:rFonts w:hint="eastAsia" w:ascii="宋体" w:hAnsi="宋体" w:cs="宋体"/>
                <w:b/>
                <w:color w:val="auto"/>
                <w:szCs w:val="21"/>
                <w:highlight w:val="none"/>
              </w:rPr>
              <w:t>2.联合体投标时，盖章处须加盖联合体牵头人电子签章</w:t>
            </w:r>
            <w:r>
              <w:rPr>
                <w:rFonts w:hint="eastAsia" w:ascii="宋体" w:hAnsi="宋体" w:cs="宋体"/>
                <w:b/>
                <w:color w:val="auto"/>
                <w:szCs w:val="21"/>
                <w:highlight w:val="none"/>
                <w:lang w:eastAsia="zh-CN"/>
              </w:rPr>
              <w:t>，在</w:t>
            </w:r>
            <w:r>
              <w:rPr>
                <w:rFonts w:hint="eastAsia" w:ascii="宋体" w:hAnsi="宋体" w:cs="宋体"/>
                <w:b/>
                <w:color w:val="auto"/>
                <w:szCs w:val="21"/>
                <w:highlight w:val="none"/>
              </w:rPr>
              <w:t>规定签字处签字（或者电子签名），否则</w:t>
            </w:r>
            <w:r>
              <w:rPr>
                <w:rFonts w:hint="eastAsia" w:ascii="宋体" w:hAnsi="宋体" w:cs="宋体"/>
                <w:b/>
                <w:color w:val="auto"/>
                <w:szCs w:val="21"/>
                <w:highlight w:val="none"/>
                <w:lang w:eastAsia="zh-CN"/>
              </w:rPr>
              <w:t>投标文件</w:t>
            </w:r>
            <w:r>
              <w:rPr>
                <w:rFonts w:hint="eastAsia" w:ascii="宋体" w:hAnsi="宋体" w:cs="宋体"/>
                <w:b/>
                <w:color w:val="auto"/>
                <w:szCs w:val="21"/>
                <w:highlight w:val="none"/>
              </w:rPr>
              <w:t>按无效处理。</w:t>
            </w:r>
          </w:p>
        </w:tc>
      </w:tr>
      <w:tr w14:paraId="7AB99E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noWrap w:val="0"/>
            <w:vAlign w:val="center"/>
          </w:tcPr>
          <w:p w14:paraId="16CAE5A5">
            <w:pPr>
              <w:keepNext w:val="0"/>
              <w:keepLines w:val="0"/>
              <w:pageBreakBefore w:val="0"/>
              <w:widowControl w:val="0"/>
              <w:kinsoku/>
              <w:overflowPunct/>
              <w:topLinePunct w:val="0"/>
              <w:bidi w:val="0"/>
              <w:spacing w:line="400" w:lineRule="exact"/>
              <w:rPr>
                <w:rFonts w:hint="eastAsia" w:ascii="宋体" w:hAnsi="宋体" w:cs="宋体"/>
                <w:color w:val="auto"/>
                <w:szCs w:val="21"/>
                <w:highlight w:val="none"/>
              </w:rPr>
            </w:pPr>
            <w:bookmarkStart w:id="66" w:name="_13.2"/>
            <w:bookmarkEnd w:id="66"/>
          </w:p>
        </w:tc>
        <w:tc>
          <w:tcPr>
            <w:tcW w:w="8175" w:type="dxa"/>
            <w:tcBorders>
              <w:top w:val="single" w:color="auto" w:sz="4" w:space="0"/>
              <w:left w:val="single" w:color="auto" w:sz="4" w:space="0"/>
              <w:bottom w:val="single" w:color="auto" w:sz="4" w:space="0"/>
              <w:right w:val="single" w:color="auto" w:sz="4" w:space="0"/>
            </w:tcBorders>
            <w:noWrap w:val="0"/>
            <w:vAlign w:val="center"/>
          </w:tcPr>
          <w:p w14:paraId="573BDCE3">
            <w:pPr>
              <w:keepNext w:val="0"/>
              <w:keepLines w:val="0"/>
              <w:pageBreakBefore w:val="0"/>
              <w:widowControl w:val="0"/>
              <w:kinsoku/>
              <w:overflowPunct/>
              <w:topLinePunct w:val="0"/>
              <w:bidi w:val="0"/>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1FFD254C">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1.投标人为法人或者其他组织的，提供营业执照等证明文件（如营业执照或者事业单位法人证书或者</w:t>
            </w:r>
            <w:r>
              <w:rPr>
                <w:rStyle w:val="75"/>
                <w:rFonts w:hint="eastAsia"/>
                <w:color w:val="auto"/>
                <w:sz w:val="21"/>
                <w:szCs w:val="21"/>
                <w:highlight w:val="none"/>
              </w:rPr>
              <w:t>执业许可证</w:t>
            </w:r>
            <w:r>
              <w:rPr>
                <w:rFonts w:hint="eastAsia" w:ascii="宋体" w:hAnsi="宋体" w:cs="宋体"/>
                <w:color w:val="auto"/>
                <w:szCs w:val="21"/>
                <w:highlight w:val="none"/>
              </w:rPr>
              <w:t>或者登记证书等），投标人为自然人的，提供身份证复印件；（</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3F93B40A">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2.投标人依法缴纳税收的相关材料</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eastAsia="zh-CN"/>
              </w:rPr>
              <w:t>2025年</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lang w:eastAsia="zh-CN"/>
              </w:rPr>
              <w:t>月至2026年</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rPr>
              <w:t>内任意连续</w:t>
            </w:r>
            <w:r>
              <w:rPr>
                <w:rFonts w:hint="eastAsia" w:ascii="宋体" w:hAnsi="宋体" w:cs="宋体"/>
                <w:color w:val="auto"/>
                <w:szCs w:val="21"/>
                <w:highlight w:val="none"/>
                <w:u w:val="single"/>
              </w:rPr>
              <w:t>3</w:t>
            </w:r>
            <w:r>
              <w:rPr>
                <w:rFonts w:hint="eastAsia" w:ascii="宋体" w:hAnsi="宋体" w:cs="宋体"/>
                <w:color w:val="auto"/>
                <w:szCs w:val="21"/>
                <w:highlight w:val="none"/>
              </w:rPr>
              <w:t>个月的依法缴纳税收的证明材料的凭据复印件；依法免税的投标人，必须提供相应文件证明其依法免税。从成立之日起到投标文件提交截止时间止不足要求月数的，只需提供从成立之日起的依法缴纳税收相应证明文件</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（格式自拟）；（</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A6CD327">
            <w:pPr>
              <w:keepNext w:val="0"/>
              <w:keepLines w:val="0"/>
              <w:pageBreakBefore w:val="0"/>
              <w:widowControl w:val="0"/>
              <w:kinsoku/>
              <w:overflowPunct/>
              <w:topLinePunct w:val="0"/>
              <w:bidi w:val="0"/>
              <w:snapToGrid w:val="0"/>
              <w:spacing w:line="400" w:lineRule="exact"/>
              <w:ind w:firstLine="420" w:firstLineChars="200"/>
              <w:jc w:val="left"/>
              <w:rPr>
                <w:rFonts w:hint="eastAsia" w:ascii="宋体" w:hAnsi="宋体" w:cs="宋体"/>
                <w:b/>
                <w:color w:val="auto"/>
                <w:szCs w:val="21"/>
                <w:highlight w:val="none"/>
              </w:rPr>
            </w:pPr>
            <w:r>
              <w:rPr>
                <w:rFonts w:hint="eastAsia" w:ascii="宋体" w:hAnsi="宋体" w:cs="宋体"/>
                <w:color w:val="auto"/>
                <w:szCs w:val="21"/>
                <w:highlight w:val="none"/>
              </w:rPr>
              <w:t>3.投标人依法缴纳社会保障资金的相关材料[</w:t>
            </w:r>
            <w:r>
              <w:rPr>
                <w:rFonts w:hint="eastAsia" w:ascii="宋体" w:hAnsi="宋体" w:cs="宋体"/>
                <w:color w:val="auto"/>
                <w:szCs w:val="21"/>
                <w:highlight w:val="none"/>
                <w:u w:val="single"/>
                <w:lang w:eastAsia="zh-CN"/>
              </w:rPr>
              <w:t>2025年7月至2026年</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rPr>
              <w:t>内任意连续</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个月的依法缴纳社会保障资金的缴费凭证（专用收据或者社会保险缴纳清单或者社保部门的证明）复印件；依法不需要缴纳社会保障资金的投标人，必须提供相应文件证明不需要缴纳社会保障资金。从成立之日起到投标文件提交截止时间止不足要求月数的只需提供从成立之日起的依法缴纳社会保障资金的相应证明文件]（格式自拟）；（</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17EE754E">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4.投标人财务状况报告【</w:t>
            </w:r>
            <w:r>
              <w:rPr>
                <w:rFonts w:hint="eastAsia" w:ascii="宋体" w:hAnsi="宋体" w:cs="宋体"/>
                <w:color w:val="auto"/>
                <w:szCs w:val="21"/>
                <w:highlight w:val="none"/>
                <w:u w:val="single"/>
              </w:rPr>
              <w:t>2024年度</w:t>
            </w:r>
            <w:r>
              <w:rPr>
                <w:rFonts w:hint="eastAsia" w:ascii="宋体" w:hAnsi="宋体" w:cs="宋体"/>
                <w:color w:val="auto"/>
                <w:szCs w:val="21"/>
                <w:highlight w:val="none"/>
              </w:rPr>
              <w:t>的财务审计报告（至少包括资产负债表、利润表、现金流量表）复印件，或者银行出具的资信证明，或者中国人民银行征信中心出具的信用报告（企业投标的提供企业信用报告，自然人投标的提供个人信用报告，投标人属于成立时间在规定年度之后的法人或其他组织，需提供成立之日起至投标截止时间前的月报表或银行出具的资信证明或者中国人民银行征信中心出具的企业信用报告；资信证明应在有效期内，未注明有效期的，银行出具时间至投标截止时间不超过一年）】；（</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56209B2">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5.投标人直接控股、管理关系信息表（格式后附）；（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3AB6D71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6.投标声明（格式后附）；（</w:t>
            </w:r>
            <w:r>
              <w:rPr>
                <w:rFonts w:hint="eastAsia" w:ascii="宋体" w:hAnsi="宋体" w:cs="宋体"/>
                <w:b/>
                <w:color w:val="auto"/>
                <w:szCs w:val="21"/>
                <w:highlight w:val="none"/>
              </w:rPr>
              <w:t>需法定代表人签字或电子签名，必须提供，否则按无效投标处理</w:t>
            </w:r>
            <w:r>
              <w:rPr>
                <w:rFonts w:hint="eastAsia" w:ascii="宋体" w:hAnsi="宋体" w:cs="宋体"/>
                <w:color w:val="auto"/>
                <w:szCs w:val="21"/>
                <w:highlight w:val="none"/>
              </w:rPr>
              <w:t>）</w:t>
            </w:r>
          </w:p>
          <w:p w14:paraId="520DB1EC">
            <w:pPr>
              <w:spacing w:line="400" w:lineRule="exact"/>
              <w:ind w:firstLine="422" w:firstLineChars="200"/>
              <w:rPr>
                <w:rFonts w:hint="eastAsia" w:ascii="宋体" w:hAnsi="宋体" w:cs="宋体"/>
                <w:color w:val="auto"/>
                <w:szCs w:val="21"/>
                <w:highlight w:val="none"/>
              </w:rPr>
            </w:pPr>
            <w:r>
              <w:rPr>
                <w:rFonts w:hint="eastAsia" w:ascii="宋体" w:hAnsi="宋体" w:eastAsia="宋体" w:cs="宋体"/>
                <w:b/>
                <w:bCs/>
                <w:color w:val="auto"/>
                <w:szCs w:val="21"/>
                <w:highlight w:val="none"/>
                <w:u w:val="none"/>
                <w:lang w:val="en-US" w:eastAsia="zh-CN"/>
              </w:rPr>
              <w:t>7.</w:t>
            </w:r>
            <w:r>
              <w:rPr>
                <w:rFonts w:hint="eastAsia" w:ascii="宋体" w:hAnsi="宋体" w:cs="宋体"/>
                <w:color w:val="auto"/>
                <w:szCs w:val="21"/>
                <w:highlight w:val="none"/>
              </w:rPr>
              <w:t>投标人具有有效的《药品生产许可证》（且许可范围明确包含“液态医用氧”生产类目）或《药品经营许可证》；同时持有有效的《药品注册批件》或《药品再注册批准通知书》</w:t>
            </w:r>
            <w:r>
              <w:rPr>
                <w:rFonts w:hint="eastAsia" w:ascii="宋体" w:hAnsi="宋体" w:eastAsia="宋体" w:cs="宋体"/>
                <w:b/>
                <w:bCs/>
                <w:color w:val="auto"/>
                <w:szCs w:val="21"/>
                <w:highlight w:val="none"/>
              </w:rPr>
              <w:t>（提供有效期内的证书</w:t>
            </w:r>
            <w:r>
              <w:rPr>
                <w:rFonts w:hint="eastAsia" w:ascii="宋体" w:hAnsi="宋体" w:cs="宋体"/>
                <w:b/>
                <w:bCs/>
                <w:color w:val="auto"/>
                <w:szCs w:val="21"/>
                <w:highlight w:val="none"/>
                <w:lang w:val="en-US" w:eastAsia="zh-CN"/>
              </w:rPr>
              <w:t>等证明材料</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必须提供，否则按无效投标处理）</w:t>
            </w:r>
          </w:p>
          <w:p w14:paraId="08F9A3E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投标人具有有效的《安全生产许可证》或《危险化学品经营许可证》，且许可范围覆盖液态医用氧相关生产或经营活动；</w:t>
            </w:r>
            <w:r>
              <w:rPr>
                <w:rFonts w:hint="eastAsia" w:ascii="宋体" w:hAnsi="宋体" w:eastAsia="宋体" w:cs="宋体"/>
                <w:b/>
                <w:bCs/>
                <w:color w:val="auto"/>
                <w:szCs w:val="21"/>
                <w:highlight w:val="none"/>
              </w:rPr>
              <w:t>（提供有效期内的证书</w:t>
            </w:r>
            <w:r>
              <w:rPr>
                <w:rFonts w:hint="eastAsia" w:ascii="宋体" w:hAnsi="宋体" w:cs="宋体"/>
                <w:b/>
                <w:bCs/>
                <w:color w:val="auto"/>
                <w:szCs w:val="21"/>
                <w:highlight w:val="none"/>
                <w:lang w:val="en-US" w:eastAsia="zh-CN"/>
              </w:rPr>
              <w:t>等证明材料</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必须提供，否则按无效投标处理）</w:t>
            </w:r>
          </w:p>
          <w:p w14:paraId="1410A0A4">
            <w:pPr>
              <w:spacing w:line="400" w:lineRule="exact"/>
              <w:ind w:firstLine="420" w:firstLineChars="200"/>
              <w:rPr>
                <w:rFonts w:hint="default" w:ascii="宋体" w:hAnsi="宋体" w:eastAsia="宋体" w:cs="宋体"/>
                <w:b/>
                <w:bCs/>
                <w:color w:val="auto"/>
                <w:szCs w:val="21"/>
                <w:highlight w:val="none"/>
                <w:lang w:val="en-US" w:eastAsia="zh-CN"/>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投标人</w:t>
            </w:r>
            <w:r>
              <w:rPr>
                <w:rFonts w:hint="eastAsia" w:ascii="宋体" w:hAnsi="宋体" w:cs="宋体"/>
                <w:color w:val="auto"/>
                <w:szCs w:val="21"/>
                <w:highlight w:val="none"/>
                <w:lang w:val="en-US" w:eastAsia="zh-CN"/>
              </w:rPr>
              <w:t>或委托的运输单位</w:t>
            </w:r>
            <w:r>
              <w:rPr>
                <w:rFonts w:hint="eastAsia" w:ascii="宋体" w:hAnsi="宋体" w:cs="宋体"/>
                <w:color w:val="auto"/>
                <w:szCs w:val="21"/>
                <w:highlight w:val="none"/>
              </w:rPr>
              <w:t>具有有效的《道路运输经营许可证》（经营范围需明确包含“危险货物运输2类”）或《道路危险货物运输许可证》</w:t>
            </w:r>
            <w:r>
              <w:rPr>
                <w:rFonts w:hint="eastAsia" w:ascii="宋体" w:hAnsi="宋体" w:eastAsia="宋体" w:cs="宋体"/>
                <w:b/>
                <w:bCs/>
                <w:color w:val="auto"/>
                <w:szCs w:val="21"/>
                <w:highlight w:val="none"/>
              </w:rPr>
              <w:t>（提供有效期内的证书</w:t>
            </w:r>
            <w:r>
              <w:rPr>
                <w:rFonts w:hint="eastAsia" w:ascii="宋体" w:hAnsi="宋体" w:cs="宋体"/>
                <w:b/>
                <w:bCs/>
                <w:color w:val="auto"/>
                <w:szCs w:val="21"/>
                <w:highlight w:val="none"/>
                <w:lang w:val="en-US" w:eastAsia="zh-CN"/>
              </w:rPr>
              <w:t>等证明材料</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必须提供，否则按无效投标处理）</w:t>
            </w:r>
          </w:p>
          <w:p w14:paraId="38ABF80B">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.联合体协议书（格式后附）；（</w:t>
            </w:r>
            <w:r>
              <w:rPr>
                <w:rFonts w:hint="eastAsia" w:ascii="宋体" w:hAnsi="宋体" w:cs="宋体"/>
                <w:color w:val="auto"/>
                <w:szCs w:val="21"/>
                <w:highlight w:val="none"/>
                <w:lang w:val="en-US" w:eastAsia="zh-CN"/>
              </w:rPr>
              <w:t>如接受</w:t>
            </w:r>
            <w:r>
              <w:rPr>
                <w:rFonts w:hint="eastAsia" w:ascii="宋体" w:hAnsi="宋体" w:cs="宋体"/>
                <w:b/>
                <w:color w:val="auto"/>
                <w:szCs w:val="21"/>
                <w:highlight w:val="none"/>
              </w:rPr>
              <w:t>联合体投标时提供</w:t>
            </w:r>
            <w:r>
              <w:rPr>
                <w:rFonts w:hint="eastAsia" w:ascii="宋体" w:hAnsi="宋体" w:cs="宋体"/>
                <w:color w:val="auto"/>
                <w:szCs w:val="21"/>
                <w:highlight w:val="none"/>
              </w:rPr>
              <w:t>）</w:t>
            </w:r>
          </w:p>
          <w:p w14:paraId="73293BA4">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.除招标文件规定必须提供以外，投标人认为需要提供的其他证明材料。（如有请提供）</w:t>
            </w:r>
          </w:p>
          <w:p w14:paraId="344065CF">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注：1.以上标明“必须提供”的材料的，必须加盖投标人电子签章，否则按无效投标处理。</w:t>
            </w:r>
            <w:r>
              <w:rPr>
                <w:rFonts w:hint="eastAsia" w:ascii="宋体" w:hAnsi="宋体" w:cs="宋体"/>
                <w:b/>
                <w:color w:val="auto"/>
                <w:szCs w:val="21"/>
                <w:highlight w:val="none"/>
              </w:rPr>
              <w:t>格式中有要求法定代表人或者委托代理人签字的，必须按要求签字（或是电子签名），并加盖供应商电子签章，否则</w:t>
            </w:r>
            <w:r>
              <w:rPr>
                <w:rFonts w:hint="eastAsia" w:ascii="宋体" w:hAnsi="宋体" w:cs="宋体"/>
                <w:b/>
                <w:color w:val="auto"/>
                <w:szCs w:val="21"/>
                <w:highlight w:val="none"/>
                <w:lang w:eastAsia="zh-CN"/>
              </w:rPr>
              <w:t>投标文件</w:t>
            </w:r>
            <w:r>
              <w:rPr>
                <w:rFonts w:hint="eastAsia" w:ascii="宋体" w:hAnsi="宋体" w:cs="宋体"/>
                <w:b/>
                <w:color w:val="auto"/>
                <w:szCs w:val="21"/>
                <w:highlight w:val="none"/>
              </w:rPr>
              <w:t>按无效处理。</w:t>
            </w:r>
          </w:p>
          <w:p w14:paraId="5817C2D9">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2.联合体投标时，第1-5项资格证明文件联合体各方均必须分别提供，</w:t>
            </w:r>
            <w:r>
              <w:rPr>
                <w:rFonts w:hint="eastAsia" w:ascii="宋体" w:hAnsi="宋体" w:cs="宋体"/>
                <w:b/>
                <w:color w:val="auto"/>
                <w:szCs w:val="21"/>
                <w:highlight w:val="none"/>
              </w:rPr>
              <w:t>并由联合体牵头人加盖电子签章</w:t>
            </w:r>
            <w:r>
              <w:rPr>
                <w:rFonts w:hint="eastAsia" w:ascii="宋体" w:hAnsi="宋体" w:cs="宋体"/>
                <w:b/>
                <w:color w:val="auto"/>
                <w:szCs w:val="21"/>
                <w:highlight w:val="none"/>
                <w:lang w:eastAsia="zh-CN"/>
              </w:rPr>
              <w:t>，在</w:t>
            </w:r>
            <w:r>
              <w:rPr>
                <w:rFonts w:hint="eastAsia" w:ascii="宋体" w:hAnsi="宋体" w:cs="宋体"/>
                <w:b/>
                <w:color w:val="auto"/>
                <w:szCs w:val="21"/>
                <w:highlight w:val="none"/>
              </w:rPr>
              <w:t>规定签字处签字</w:t>
            </w:r>
            <w:r>
              <w:rPr>
                <w:rFonts w:hint="eastAsia" w:ascii="宋体" w:hAnsi="宋体" w:cs="宋体"/>
                <w:b/>
                <w:bCs/>
                <w:color w:val="auto"/>
                <w:szCs w:val="21"/>
                <w:highlight w:val="none"/>
              </w:rPr>
              <w:t>（或者电子签名），否则按无效投标</w:t>
            </w:r>
            <w:r>
              <w:rPr>
                <w:rFonts w:hint="eastAsia" w:ascii="宋体" w:hAnsi="宋体" w:cs="宋体"/>
                <w:b/>
                <w:color w:val="auto"/>
                <w:szCs w:val="21"/>
                <w:highlight w:val="none"/>
              </w:rPr>
              <w:t>处理</w:t>
            </w:r>
            <w:r>
              <w:rPr>
                <w:rFonts w:hint="eastAsia" w:ascii="宋体" w:hAnsi="宋体" w:cs="宋体"/>
                <w:b/>
                <w:bCs/>
                <w:color w:val="auto"/>
                <w:szCs w:val="21"/>
                <w:highlight w:val="none"/>
              </w:rPr>
              <w:t>。</w:t>
            </w:r>
          </w:p>
        </w:tc>
      </w:tr>
      <w:tr w14:paraId="791E89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noWrap w:val="0"/>
            <w:vAlign w:val="center"/>
          </w:tcPr>
          <w:p w14:paraId="7EE8B4B1">
            <w:pPr>
              <w:keepNext w:val="0"/>
              <w:keepLines w:val="0"/>
              <w:pageBreakBefore w:val="0"/>
              <w:widowControl w:val="0"/>
              <w:kinsoku/>
              <w:overflowPunct/>
              <w:topLinePunct w:val="0"/>
              <w:bidi w:val="0"/>
              <w:spacing w:line="400" w:lineRule="exact"/>
              <w:rPr>
                <w:rFonts w:hint="eastAsia" w:ascii="宋体" w:hAnsi="宋体" w:cs="宋体"/>
                <w:color w:val="auto"/>
                <w:szCs w:val="21"/>
                <w:highlight w:val="none"/>
              </w:rPr>
            </w:pPr>
            <w:bookmarkStart w:id="67" w:name="_13.3"/>
            <w:bookmarkEnd w:id="67"/>
          </w:p>
        </w:tc>
        <w:tc>
          <w:tcPr>
            <w:tcW w:w="8175" w:type="dxa"/>
            <w:tcBorders>
              <w:top w:val="single" w:color="auto" w:sz="4" w:space="0"/>
              <w:left w:val="single" w:color="auto" w:sz="4" w:space="0"/>
              <w:bottom w:val="single" w:color="auto" w:sz="4" w:space="0"/>
              <w:right w:val="single" w:color="auto" w:sz="4" w:space="0"/>
            </w:tcBorders>
            <w:noWrap w:val="0"/>
            <w:vAlign w:val="center"/>
          </w:tcPr>
          <w:p w14:paraId="06E30D18">
            <w:pPr>
              <w:keepNext w:val="0"/>
              <w:keepLines w:val="0"/>
              <w:pageBreakBefore w:val="0"/>
              <w:widowControl w:val="0"/>
              <w:kinsoku/>
              <w:overflowPunct/>
              <w:topLinePunct w:val="0"/>
              <w:bidi w:val="0"/>
              <w:snapToGrid w:val="0"/>
              <w:spacing w:line="400" w:lineRule="exact"/>
              <w:rPr>
                <w:rFonts w:hint="eastAsia" w:ascii="宋体" w:hAnsi="宋体" w:cs="宋体"/>
                <w:b/>
                <w:color w:val="auto"/>
                <w:szCs w:val="21"/>
                <w:highlight w:val="none"/>
              </w:rPr>
            </w:pPr>
            <w:r>
              <w:rPr>
                <w:rFonts w:hint="eastAsia" w:ascii="宋体" w:hAnsi="宋体" w:cs="宋体"/>
                <w:b/>
                <w:color w:val="auto"/>
                <w:kern w:val="0"/>
                <w:szCs w:val="21"/>
                <w:highlight w:val="none"/>
              </w:rPr>
              <w:t>商务及技术文件</w:t>
            </w:r>
            <w:r>
              <w:rPr>
                <w:rFonts w:hint="eastAsia" w:ascii="宋体" w:hAnsi="宋体" w:cs="宋体"/>
                <w:b/>
                <w:color w:val="auto"/>
                <w:szCs w:val="21"/>
                <w:highlight w:val="none"/>
              </w:rPr>
              <w:t>：</w:t>
            </w:r>
          </w:p>
          <w:p w14:paraId="39AB28D5">
            <w:pPr>
              <w:pStyle w:val="34"/>
              <w:keepNext w:val="0"/>
              <w:keepLines w:val="0"/>
              <w:pageBreakBefore w:val="0"/>
              <w:widowControl w:val="0"/>
              <w:kinsoku/>
              <w:overflowPunct/>
              <w:topLinePunct w:val="0"/>
              <w:bidi w:val="0"/>
              <w:spacing w:line="400" w:lineRule="exact"/>
              <w:ind w:firstLine="422"/>
              <w:rPr>
                <w:rFonts w:hint="eastAsia" w:hAnsi="宋体" w:cs="宋体"/>
                <w:color w:val="auto"/>
                <w:szCs w:val="21"/>
                <w:highlight w:val="none"/>
              </w:rPr>
            </w:pPr>
            <w:r>
              <w:rPr>
                <w:rFonts w:hint="eastAsia" w:hAnsi="宋体" w:cs="宋体"/>
                <w:color w:val="auto"/>
                <w:szCs w:val="21"/>
                <w:highlight w:val="none"/>
              </w:rPr>
              <w:t>商务文件：</w:t>
            </w:r>
          </w:p>
          <w:p w14:paraId="2441BE8C">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1.无串通投标行为的承诺函（格式后附）；（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0559400B">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2.投标保证金缴纳证明；（</w:t>
            </w:r>
            <w:r>
              <w:rPr>
                <w:rFonts w:hint="eastAsia" w:ascii="宋体" w:hAnsi="宋体" w:cs="宋体"/>
                <w:b/>
                <w:bCs/>
                <w:color w:val="auto"/>
                <w:szCs w:val="21"/>
                <w:highlight w:val="none"/>
              </w:rPr>
              <w:t>必须提供</w:t>
            </w:r>
            <w:r>
              <w:rPr>
                <w:rFonts w:hint="eastAsia" w:ascii="宋体" w:hAnsi="宋体" w:cs="宋体"/>
                <w:b/>
                <w:color w:val="auto"/>
                <w:szCs w:val="21"/>
                <w:highlight w:val="none"/>
              </w:rPr>
              <w:t>，否则按无效投标处理</w:t>
            </w:r>
            <w:r>
              <w:rPr>
                <w:rFonts w:hint="eastAsia" w:ascii="宋体" w:hAnsi="宋体" w:cs="宋体"/>
                <w:color w:val="auto"/>
                <w:szCs w:val="21"/>
                <w:highlight w:val="none"/>
              </w:rPr>
              <w:t>）</w:t>
            </w:r>
          </w:p>
          <w:p w14:paraId="1203AD82">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339C9EF">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4.授权委托书及委托代理人有效身份证正反面复印件（格式后附）；（</w:t>
            </w:r>
            <w:r>
              <w:rPr>
                <w:rFonts w:hint="eastAsia" w:ascii="宋体" w:hAnsi="宋体" w:cs="宋体"/>
                <w:b/>
                <w:color w:val="auto"/>
                <w:szCs w:val="21"/>
                <w:highlight w:val="none"/>
              </w:rPr>
              <w:t>委托时必须提供，否则按无效投标处理</w:t>
            </w:r>
            <w:r>
              <w:rPr>
                <w:rFonts w:hint="eastAsia" w:ascii="宋体" w:hAnsi="宋体" w:cs="宋体"/>
                <w:color w:val="auto"/>
                <w:szCs w:val="21"/>
                <w:highlight w:val="none"/>
              </w:rPr>
              <w:t>）</w:t>
            </w:r>
          </w:p>
          <w:p w14:paraId="4F797B93">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5.商务要求偏离表（格式后附）；（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2C326ADD">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6.售后服务承诺（格式自拟）；（</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2685789C">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7.投标人情况介绍（格式自拟）；（如有请提供）</w:t>
            </w:r>
          </w:p>
          <w:p w14:paraId="184AECAF">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8.投标人业绩证明材料（格式后附）；（如有请提供）</w:t>
            </w:r>
          </w:p>
          <w:p w14:paraId="38E17BF4">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9.除招标文件规定必须提供以外，投标人认为需要提供的其他证明材料（格式自拟）。（投标人根据“第二章 采购需求”及“第四章 评标方法及评标标准”提供有关证明材料）。（如有请提供）</w:t>
            </w:r>
          </w:p>
          <w:p w14:paraId="7135FC05">
            <w:pPr>
              <w:pStyle w:val="34"/>
              <w:keepNext w:val="0"/>
              <w:keepLines w:val="0"/>
              <w:pageBreakBefore w:val="0"/>
              <w:widowControl w:val="0"/>
              <w:kinsoku/>
              <w:overflowPunct/>
              <w:topLinePunct w:val="0"/>
              <w:bidi w:val="0"/>
              <w:spacing w:line="400" w:lineRule="exact"/>
              <w:ind w:firstLine="422"/>
              <w:rPr>
                <w:rFonts w:hint="eastAsia" w:hAnsi="宋体" w:cs="宋体"/>
                <w:color w:val="auto"/>
                <w:szCs w:val="21"/>
                <w:highlight w:val="none"/>
              </w:rPr>
            </w:pPr>
            <w:r>
              <w:rPr>
                <w:rFonts w:hint="eastAsia" w:hAnsi="宋体" w:cs="宋体"/>
                <w:color w:val="auto"/>
                <w:szCs w:val="21"/>
                <w:highlight w:val="none"/>
              </w:rPr>
              <w:t>技术文件：</w:t>
            </w:r>
          </w:p>
          <w:p w14:paraId="2712632C">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1.技术要求偏离表（格式后附）；（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88FDA9C">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2.服务实施方案（格式自拟）；（</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42A5EE40">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3.项目实施人员一览表（格式后附）；（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ED37F35">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4.投标人对本项目的合理化建议和改进措施（格式自拟）；（如有请提供）</w:t>
            </w:r>
          </w:p>
          <w:p w14:paraId="34E7B298">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5.除招标文件规定必须提供以外，投标人认为需要提供的其他证明材料（格式自拟）。（投标人根据“第二章 采购需求”及“第四章 评标方法及评标标准”提供有关证明材料）。（如有请提供）</w:t>
            </w:r>
          </w:p>
          <w:p w14:paraId="633B5B7A">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注：1.以上标明“必须提供”的材料的，必须加盖投标人电子签章，否则按无效投标处理；</w:t>
            </w:r>
          </w:p>
          <w:p w14:paraId="1704DD7F">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2.联合体投标时，盖章处须加盖联合体牵头人电子签章</w:t>
            </w:r>
            <w:r>
              <w:rPr>
                <w:rFonts w:hint="eastAsia" w:ascii="宋体" w:hAnsi="宋体" w:cs="宋体"/>
                <w:b/>
                <w:bCs/>
                <w:color w:val="auto"/>
                <w:szCs w:val="21"/>
                <w:highlight w:val="none"/>
                <w:lang w:eastAsia="zh-CN"/>
              </w:rPr>
              <w:t>，在</w:t>
            </w:r>
            <w:r>
              <w:rPr>
                <w:rFonts w:hint="eastAsia" w:ascii="宋体" w:hAnsi="宋体" w:cs="宋体"/>
                <w:b/>
                <w:bCs/>
                <w:color w:val="auto"/>
                <w:szCs w:val="21"/>
                <w:highlight w:val="none"/>
              </w:rPr>
              <w:t>规定签字处签字（或者电子签名），否则</w:t>
            </w:r>
            <w:r>
              <w:rPr>
                <w:rFonts w:hint="eastAsia" w:ascii="宋体" w:hAnsi="宋体" w:cs="宋体"/>
                <w:b/>
                <w:bCs/>
                <w:color w:val="auto"/>
                <w:szCs w:val="21"/>
                <w:highlight w:val="none"/>
                <w:lang w:eastAsia="zh-CN"/>
              </w:rPr>
              <w:t>投标文件</w:t>
            </w:r>
            <w:r>
              <w:rPr>
                <w:rFonts w:hint="eastAsia" w:ascii="宋体" w:hAnsi="宋体" w:cs="宋体"/>
                <w:b/>
                <w:bCs/>
                <w:color w:val="auto"/>
                <w:szCs w:val="21"/>
                <w:highlight w:val="none"/>
              </w:rPr>
              <w:t>按无效处理。</w:t>
            </w:r>
          </w:p>
        </w:tc>
      </w:tr>
      <w:tr w14:paraId="4D0FC8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90707B1">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68" w:name="_13.4"/>
            <w:bookmarkEnd w:id="68"/>
            <w:bookmarkStart w:id="69" w:name="_13.5"/>
            <w:bookmarkEnd w:id="69"/>
            <w:bookmarkStart w:id="70" w:name="_16.2"/>
            <w:bookmarkEnd w:id="70"/>
            <w:r>
              <w:rPr>
                <w:rFonts w:hint="eastAsia" w:ascii="宋体" w:hAnsi="宋体" w:cs="宋体"/>
                <w:color w:val="auto"/>
                <w:szCs w:val="21"/>
                <w:highlight w:val="none"/>
              </w:rPr>
              <w:t>16</w:t>
            </w:r>
            <w:bookmarkStart w:id="71" w:name="_Hlt19693758"/>
            <w:bookmarkStart w:id="72" w:name="_Hlt19194066"/>
            <w:bookmarkStart w:id="73" w:name="_Hlt19693759"/>
            <w:bookmarkStart w:id="74" w:name="_Hlt19194067"/>
            <w:r>
              <w:rPr>
                <w:rFonts w:hint="eastAsia" w:ascii="宋体" w:hAnsi="宋体" w:cs="宋体"/>
                <w:color w:val="auto"/>
                <w:szCs w:val="21"/>
                <w:highlight w:val="none"/>
              </w:rPr>
              <w:t>.</w:t>
            </w:r>
            <w:bookmarkEnd w:id="71"/>
            <w:bookmarkEnd w:id="72"/>
            <w:bookmarkEnd w:id="73"/>
            <w:bookmarkEnd w:id="74"/>
            <w:r>
              <w:rPr>
                <w:rFonts w:hint="eastAsia" w:ascii="宋体" w:hAnsi="宋体" w:cs="宋体"/>
                <w:color w:val="auto"/>
                <w:szCs w:val="21"/>
                <w:highlight w:val="none"/>
              </w:rPr>
              <w:t>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F78D957">
            <w:pPr>
              <w:keepNext w:val="0"/>
              <w:keepLines w:val="0"/>
              <w:pageBreakBefore w:val="0"/>
              <w:widowControl w:val="0"/>
              <w:kinsoku/>
              <w:overflowPunct/>
              <w:topLinePunct w:val="0"/>
              <w:bidi w:val="0"/>
              <w:snapToGrid w:val="0"/>
              <w:spacing w:line="400" w:lineRule="exact"/>
              <w:rPr>
                <w:rFonts w:hint="eastAsia" w:ascii="宋体" w:hAnsi="宋体" w:cs="宋体"/>
                <w:b/>
                <w:i/>
                <w:color w:val="auto"/>
                <w:szCs w:val="21"/>
                <w:highlight w:val="none"/>
              </w:rPr>
            </w:pPr>
            <w:r>
              <w:rPr>
                <w:rFonts w:hint="eastAsia" w:ascii="宋体" w:hAnsi="宋体" w:cs="宋体"/>
                <w:color w:val="auto"/>
                <w:szCs w:val="21"/>
                <w:highlight w:val="none"/>
              </w:rPr>
              <w:t>投标报价是履行合同的最终价格。</w:t>
            </w:r>
          </w:p>
        </w:tc>
      </w:tr>
      <w:tr w14:paraId="5F47EE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C16EBD9">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75" w:name="_17.1"/>
            <w:bookmarkEnd w:id="75"/>
            <w:r>
              <w:rPr>
                <w:rFonts w:hint="eastAsia" w:ascii="宋体" w:hAnsi="宋体" w:cs="宋体"/>
                <w:color w:val="auto"/>
                <w:szCs w:val="21"/>
                <w:highlight w:val="none"/>
              </w:rPr>
              <w:t>17.2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F550635">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投标有效期：自投标截止之日起</w:t>
            </w:r>
            <w:r>
              <w:rPr>
                <w:rFonts w:hint="eastAsia" w:ascii="宋体" w:hAnsi="宋体" w:cs="宋体"/>
                <w:color w:val="auto"/>
                <w:szCs w:val="21"/>
                <w:highlight w:val="none"/>
                <w:u w:val="single"/>
              </w:rPr>
              <w:t>90</w:t>
            </w:r>
            <w:r>
              <w:rPr>
                <w:rFonts w:hint="eastAsia" w:ascii="宋体" w:hAnsi="宋体" w:cs="宋体"/>
                <w:color w:val="auto"/>
                <w:szCs w:val="21"/>
                <w:highlight w:val="none"/>
              </w:rPr>
              <w:t>日。</w:t>
            </w:r>
          </w:p>
        </w:tc>
      </w:tr>
      <w:tr w14:paraId="4D8B6C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12354A1F">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76" w:name="_18"/>
            <w:bookmarkEnd w:id="76"/>
            <w:r>
              <w:rPr>
                <w:rFonts w:hint="eastAsia" w:ascii="宋体" w:hAnsi="宋体" w:cs="宋体"/>
                <w:color w:val="auto"/>
                <w:szCs w:val="21"/>
                <w:highlight w:val="none"/>
              </w:rPr>
              <w:t>18.1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BB3EAF1">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本项目不收取投标保证金。</w:t>
            </w:r>
          </w:p>
          <w:p w14:paraId="6CA94960">
            <w:pPr>
              <w:keepNext w:val="0"/>
              <w:keepLines w:val="0"/>
              <w:pageBreakBefore w:val="0"/>
              <w:widowControl w:val="0"/>
              <w:kinsoku/>
              <w:overflowPunct/>
              <w:topLinePunct w:val="0"/>
              <w:bidi w:val="0"/>
              <w:snapToGrid w:val="0"/>
              <w:spacing w:line="40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本项目收取投标保证金，具体规定</w:t>
            </w:r>
            <w:r>
              <w:rPr>
                <w:rFonts w:hint="eastAsia" w:ascii="宋体" w:hAnsi="宋体" w:eastAsia="宋体" w:cs="宋体"/>
                <w:color w:val="auto"/>
                <w:szCs w:val="21"/>
                <w:highlight w:val="none"/>
                <w:lang w:val="en-US" w:eastAsia="zh-CN"/>
              </w:rPr>
              <w:t>如下：</w:t>
            </w:r>
          </w:p>
          <w:p w14:paraId="20CB0DA3">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投标保证金人民币 </w:t>
            </w:r>
            <w:r>
              <w:rPr>
                <w:rFonts w:hint="eastAsia" w:ascii="宋体" w:hAnsi="宋体" w:cs="宋体"/>
                <w:color w:val="auto"/>
                <w:szCs w:val="21"/>
                <w:highlight w:val="none"/>
                <w:lang w:val="en-US" w:eastAsia="zh-CN"/>
              </w:rPr>
              <w:t>70000</w:t>
            </w:r>
            <w:r>
              <w:rPr>
                <w:rFonts w:hint="eastAsia" w:ascii="宋体" w:hAnsi="宋体" w:eastAsia="宋体" w:cs="宋体"/>
                <w:color w:val="auto"/>
                <w:szCs w:val="21"/>
                <w:highlight w:val="none"/>
                <w:lang w:val="en-US" w:eastAsia="zh-CN"/>
              </w:rPr>
              <w:t>.00</w:t>
            </w:r>
            <w:r>
              <w:rPr>
                <w:rFonts w:hint="eastAsia" w:ascii="宋体" w:hAnsi="宋体" w:eastAsia="宋体" w:cs="宋体"/>
                <w:color w:val="auto"/>
                <w:szCs w:val="21"/>
                <w:highlight w:val="none"/>
              </w:rPr>
              <w:t>元。</w:t>
            </w:r>
          </w:p>
          <w:p w14:paraId="111E441F">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的交纳方式：银行转账、支票、汇票、本票或者金融、担保机构出具的保函（包含电子保函），禁止采用现钞方式。采用银行转账方式的，在投标截止时间前从投标人账户交至指定账户并且到账【开户银行：招商银行南宁分行营业部，开户名称：</w:t>
            </w:r>
            <w:r>
              <w:rPr>
                <w:rFonts w:hint="eastAsia" w:ascii="宋体" w:hAnsi="宋体" w:eastAsia="宋体" w:cs="宋体"/>
                <w:color w:val="auto"/>
                <w:szCs w:val="21"/>
                <w:highlight w:val="none"/>
                <w:lang w:eastAsia="zh-CN"/>
              </w:rPr>
              <w:t>广西建设工程机电设备招标中心有限公司</w:t>
            </w:r>
            <w:r>
              <w:rPr>
                <w:rFonts w:hint="eastAsia" w:ascii="宋体" w:hAnsi="宋体" w:eastAsia="宋体" w:cs="宋体"/>
                <w:color w:val="auto"/>
                <w:szCs w:val="21"/>
                <w:highlight w:val="none"/>
              </w:rPr>
              <w:t>，银行账号：</w:t>
            </w:r>
            <w:r>
              <w:rPr>
                <w:rFonts w:hint="eastAsia" w:ascii="宋体" w:hAnsi="宋体" w:cs="宋体"/>
                <w:color w:val="auto"/>
                <w:szCs w:val="21"/>
                <w:highlight w:val="none"/>
              </w:rPr>
              <w:t>7719  0142  3310  201</w:t>
            </w:r>
            <w:r>
              <w:rPr>
                <w:rFonts w:hint="eastAsia" w:ascii="宋体" w:hAnsi="宋体" w:eastAsia="宋体" w:cs="宋体"/>
                <w:color w:val="auto"/>
                <w:szCs w:val="21"/>
                <w:highlight w:val="none"/>
              </w:rPr>
              <w:t>】；采用支票、汇票、本票或者保函等方式的，在投标截止时间前，投标人必须递交单独密封的支票、汇票、本票或者保函原件。否则视为无效投标保证金。</w:t>
            </w:r>
          </w:p>
          <w:p w14:paraId="4527E659">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相关要求：</w:t>
            </w:r>
          </w:p>
          <w:p w14:paraId="44C6F645">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1.投标保证金采用银行转账交纳方式的，在投标截止时间前交至指定账户并且到账，投标人应将银行转账底单的复印件作为投标保证金提交凭证，放置于商务及技术文件中，</w:t>
            </w:r>
            <w:r>
              <w:rPr>
                <w:rFonts w:hint="eastAsia" w:ascii="宋体" w:hAnsi="宋体" w:eastAsia="宋体" w:cs="宋体"/>
                <w:b/>
                <w:bCs/>
                <w:color w:val="auto"/>
                <w:szCs w:val="21"/>
                <w:highlight w:val="none"/>
                <w:lang w:val="en-US" w:eastAsia="zh-CN"/>
              </w:rPr>
              <w:t>否则投标无效</w:t>
            </w:r>
            <w:r>
              <w:rPr>
                <w:rFonts w:hint="eastAsia" w:ascii="宋体" w:hAnsi="宋体" w:eastAsia="宋体" w:cs="宋体"/>
                <w:color w:val="auto"/>
                <w:szCs w:val="21"/>
                <w:highlight w:val="none"/>
                <w:lang w:val="en-US" w:eastAsia="zh-CN"/>
              </w:rPr>
              <w:t>。</w:t>
            </w:r>
          </w:p>
          <w:p w14:paraId="49BBA4C5">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2.投标保证金采用支票、汇票、本票或者</w:t>
            </w:r>
            <w:r>
              <w:rPr>
                <w:rFonts w:hint="eastAsia" w:ascii="宋体" w:hAnsi="宋体" w:cs="宋体"/>
                <w:color w:val="auto"/>
                <w:szCs w:val="21"/>
                <w:highlight w:val="none"/>
                <w:lang w:eastAsia="zh-CN"/>
              </w:rPr>
              <w:t>金融、担保机构</w:t>
            </w:r>
            <w:r>
              <w:rPr>
                <w:rFonts w:hint="eastAsia" w:ascii="宋体" w:hAnsi="宋体" w:eastAsia="宋体" w:cs="宋体"/>
                <w:color w:val="auto"/>
                <w:szCs w:val="21"/>
                <w:highlight w:val="none"/>
              </w:rPr>
              <w:t>出具的保函（包含电子保函）交纳方式的，投标人应将支票、汇票、本票或者</w:t>
            </w:r>
            <w:r>
              <w:rPr>
                <w:rFonts w:hint="eastAsia" w:ascii="宋体" w:hAnsi="宋体" w:cs="宋体"/>
                <w:color w:val="auto"/>
                <w:szCs w:val="21"/>
                <w:highlight w:val="none"/>
                <w:lang w:eastAsia="zh-CN"/>
              </w:rPr>
              <w:t>金融、担保机构</w:t>
            </w:r>
            <w:r>
              <w:rPr>
                <w:rFonts w:hint="eastAsia" w:ascii="宋体" w:hAnsi="宋体" w:eastAsia="宋体" w:cs="宋体"/>
                <w:color w:val="auto"/>
                <w:szCs w:val="21"/>
                <w:highlight w:val="none"/>
              </w:rPr>
              <w:t>出具的保函（包含电子保函）的复印件作为投标保证金提交凭证，放置于商务及技术文件中，</w:t>
            </w:r>
            <w:r>
              <w:rPr>
                <w:rFonts w:hint="eastAsia" w:ascii="宋体" w:hAnsi="宋体" w:eastAsia="宋体" w:cs="宋体"/>
                <w:b/>
                <w:bCs/>
                <w:color w:val="auto"/>
                <w:szCs w:val="21"/>
                <w:highlight w:val="none"/>
              </w:rPr>
              <w:t>否则投标无效</w:t>
            </w:r>
            <w:r>
              <w:rPr>
                <w:rFonts w:hint="eastAsia" w:ascii="宋体" w:hAnsi="宋体" w:eastAsia="宋体" w:cs="宋体"/>
                <w:color w:val="auto"/>
                <w:szCs w:val="21"/>
                <w:highlight w:val="none"/>
              </w:rPr>
              <w:t>。投标人必须在投标截止时间前采用现场或邮寄方式（现场提交地址：广西壮族自治区公共资源交易中心（广西南宁市青秀区</w:t>
            </w:r>
            <w:r>
              <w:rPr>
                <w:rFonts w:hint="eastAsia" w:ascii="宋体" w:hAnsi="宋体" w:eastAsia="宋体" w:cs="宋体"/>
                <w:color w:val="auto"/>
                <w:szCs w:val="21"/>
                <w:highlight w:val="none"/>
                <w:lang w:eastAsia="zh-CN"/>
              </w:rPr>
              <w:t>星湖路22号开标楼</w:t>
            </w:r>
            <w:r>
              <w:rPr>
                <w:rFonts w:hint="eastAsia" w:ascii="宋体" w:hAnsi="宋体" w:eastAsia="宋体" w:cs="宋体"/>
                <w:color w:val="auto"/>
                <w:szCs w:val="21"/>
                <w:highlight w:val="none"/>
              </w:rPr>
              <w:t>）（具体根据开标当日电子屏幕显示的安排）；邮寄地址：</w:t>
            </w:r>
            <w:r>
              <w:rPr>
                <w:rFonts w:hint="eastAsia" w:ascii="宋体" w:hAnsi="宋体" w:eastAsia="宋体" w:cs="宋体"/>
                <w:color w:val="auto"/>
                <w:szCs w:val="21"/>
                <w:highlight w:val="none"/>
                <w:lang w:eastAsia="zh-CN"/>
              </w:rPr>
              <w:t>南宁市青秀区枫林路18号广西国控集团（枫林路办公区）裙楼三层</w:t>
            </w:r>
            <w:r>
              <w:rPr>
                <w:rFonts w:hint="eastAsia" w:ascii="宋体" w:hAnsi="宋体" w:eastAsia="宋体" w:cs="宋体"/>
                <w:color w:val="auto"/>
                <w:szCs w:val="21"/>
                <w:highlight w:val="none"/>
              </w:rPr>
              <w:t>，收件人：</w:t>
            </w:r>
            <w:r>
              <w:rPr>
                <w:rFonts w:hint="eastAsia" w:ascii="宋体" w:hAnsi="宋体" w:cs="宋体"/>
                <w:color w:val="auto"/>
                <w:szCs w:val="21"/>
                <w:highlight w:val="none"/>
                <w:lang w:val="en-US" w:eastAsia="zh-CN"/>
              </w:rPr>
              <w:t>吴兴红 刘风</w:t>
            </w:r>
            <w:r>
              <w:rPr>
                <w:rFonts w:hint="eastAsia" w:ascii="宋体" w:hAnsi="宋体" w:eastAsia="宋体" w:cs="宋体"/>
                <w:color w:val="auto"/>
                <w:szCs w:val="21"/>
                <w:highlight w:val="none"/>
              </w:rPr>
              <w:t>，联系方式：0771-</w:t>
            </w:r>
            <w:r>
              <w:rPr>
                <w:rFonts w:hint="eastAsia" w:ascii="宋体" w:hAnsi="宋体" w:cs="宋体"/>
                <w:color w:val="auto"/>
                <w:szCs w:val="21"/>
                <w:highlight w:val="none"/>
                <w:lang w:val="en-US" w:eastAsia="zh-CN"/>
              </w:rPr>
              <w:t>2807659</w:t>
            </w:r>
            <w:r>
              <w:rPr>
                <w:rFonts w:hint="eastAsia" w:ascii="宋体" w:hAnsi="宋体" w:eastAsia="宋体" w:cs="宋体"/>
                <w:color w:val="auto"/>
                <w:szCs w:val="21"/>
                <w:highlight w:val="none"/>
              </w:rPr>
              <w:t>）将单独密封的支票、汇票、本票或者</w:t>
            </w:r>
            <w:r>
              <w:rPr>
                <w:rFonts w:hint="eastAsia" w:ascii="宋体" w:hAnsi="宋体" w:cs="宋体"/>
                <w:color w:val="auto"/>
                <w:szCs w:val="21"/>
                <w:highlight w:val="none"/>
                <w:lang w:eastAsia="zh-CN"/>
              </w:rPr>
              <w:t>金融、担保机构</w:t>
            </w:r>
            <w:r>
              <w:rPr>
                <w:rFonts w:hint="eastAsia" w:ascii="宋体" w:hAnsi="宋体" w:eastAsia="宋体" w:cs="宋体"/>
                <w:color w:val="auto"/>
                <w:szCs w:val="21"/>
                <w:highlight w:val="none"/>
              </w:rPr>
              <w:t>出具的保函原件提交给采购人或者采购代理机构，未按时提交的，投标无效，由采购人或者采购代理机构向投标人出具回执（邮寄方式的除外），并妥善保管。</w:t>
            </w:r>
          </w:p>
          <w:p w14:paraId="3517BA14">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投标人为联合体的，可以由联合体中的一方或者多方共同交纳投标保证金，其交纳的保证金对联合体各方均具有约束力。</w:t>
            </w:r>
          </w:p>
          <w:p w14:paraId="52DDF9C2">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备注： </w:t>
            </w:r>
          </w:p>
          <w:p w14:paraId="1F7BCBAD">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1.投标保证金在投标截止时间后提交的，或者不按规定交纳方式交纳的，或者未足额交纳的（包含保函额度不足的），视为无效投标保证金。</w:t>
            </w:r>
          </w:p>
          <w:p w14:paraId="538F5FD2">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2.投标人采用现钞方式或者从个人账户（自然人投标除外）转出的投标保证金，视为无效投标保证金。</w:t>
            </w:r>
          </w:p>
          <w:p w14:paraId="669E88BD">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3.支票、汇票或者本票出现无效或者背书情形的，视为无效投标保证金。</w:t>
            </w:r>
          </w:p>
          <w:p w14:paraId="333D2EF4">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4.保函有效期低于投标有效期的，视为无效投标保证金。</w:t>
            </w:r>
          </w:p>
          <w:p w14:paraId="14EA8EE1">
            <w:pPr>
              <w:keepNext w:val="0"/>
              <w:keepLines w:val="0"/>
              <w:pageBreakBefore w:val="0"/>
              <w:widowControl w:val="0"/>
              <w:kinsoku/>
              <w:overflowPunct/>
              <w:topLinePunct w:val="0"/>
              <w:bidi w:val="0"/>
              <w:snapToGrid w:val="0"/>
              <w:spacing w:line="400" w:lineRule="exact"/>
              <w:ind w:firstLine="422" w:firstLineChars="200"/>
              <w:rPr>
                <w:rFonts w:hint="eastAsia"/>
                <w:color w:val="auto"/>
                <w:highlight w:val="none"/>
              </w:rPr>
            </w:pPr>
            <w:r>
              <w:rPr>
                <w:rFonts w:hint="eastAsia" w:ascii="宋体" w:hAnsi="宋体" w:eastAsia="宋体" w:cs="宋体"/>
                <w:b/>
                <w:bCs/>
                <w:color w:val="auto"/>
                <w:szCs w:val="21"/>
                <w:highlight w:val="none"/>
              </w:rPr>
              <w:t>5.采用</w:t>
            </w:r>
            <w:r>
              <w:rPr>
                <w:rFonts w:hint="eastAsia" w:ascii="宋体" w:hAnsi="宋体" w:cs="宋体"/>
                <w:b/>
                <w:bCs/>
                <w:color w:val="auto"/>
                <w:szCs w:val="21"/>
                <w:highlight w:val="none"/>
                <w:lang w:eastAsia="zh-CN"/>
              </w:rPr>
              <w:t>金融、担保机构</w:t>
            </w:r>
            <w:r>
              <w:rPr>
                <w:rFonts w:hint="eastAsia" w:ascii="宋体" w:hAnsi="宋体" w:eastAsia="宋体" w:cs="宋体"/>
                <w:b/>
                <w:bCs/>
                <w:color w:val="auto"/>
                <w:szCs w:val="21"/>
                <w:highlight w:val="none"/>
              </w:rPr>
              <w:t>出具保函的，必须为无条件保函，否则视为无效投标保证金。</w:t>
            </w:r>
          </w:p>
        </w:tc>
      </w:tr>
      <w:tr w14:paraId="5D48B2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099C088B">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77" w:name="_19.2"/>
            <w:bookmarkEnd w:id="77"/>
            <w:bookmarkStart w:id="78" w:name="_21.1"/>
            <w:bookmarkEnd w:id="78"/>
            <w:r>
              <w:rPr>
                <w:rFonts w:hint="eastAsia" w:ascii="宋体" w:hAnsi="宋体" w:cs="宋体"/>
                <w:color w:val="auto"/>
                <w:szCs w:val="21"/>
                <w:highlight w:val="none"/>
              </w:rPr>
              <w:t>20</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F9A5327">
            <w:pPr>
              <w:keepNext w:val="0"/>
              <w:keepLines w:val="0"/>
              <w:pageBreakBefore w:val="0"/>
              <w:widowControl w:val="0"/>
              <w:kinsoku/>
              <w:overflowPunct/>
              <w:topLinePunct w:val="0"/>
              <w:autoSpaceDE w:val="0"/>
              <w:autoSpaceDN w:val="0"/>
              <w:bidi w:val="0"/>
              <w:adjustRightIn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 xml:space="preserve">本项目不接受电子备份投标文件 </w:t>
            </w:r>
          </w:p>
        </w:tc>
      </w:tr>
      <w:tr w14:paraId="226853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20A227B3">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21.1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D25B2FA">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1.提交投标文件截止时间：详见招标公告</w:t>
            </w:r>
          </w:p>
          <w:p w14:paraId="65E211C6">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2.投标地点：详见招标公告</w:t>
            </w:r>
          </w:p>
        </w:tc>
      </w:tr>
      <w:tr w14:paraId="635B73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7002200">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79" w:name="_23"/>
            <w:bookmarkEnd w:id="79"/>
            <w:r>
              <w:rPr>
                <w:rFonts w:hint="eastAsia" w:ascii="宋体" w:hAnsi="宋体" w:cs="宋体"/>
                <w:color w:val="auto"/>
                <w:szCs w:val="21"/>
                <w:highlight w:val="none"/>
              </w:rPr>
              <w:t>23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4B5310D">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1.开标时间：详见招标公告</w:t>
            </w:r>
          </w:p>
          <w:p w14:paraId="2B5B0703">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2.开标地点：详见招标公告</w:t>
            </w:r>
          </w:p>
        </w:tc>
      </w:tr>
      <w:tr w14:paraId="05FCA7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0A5FA3B3">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24.3</w:t>
            </w:r>
            <w:r>
              <w:rPr>
                <w:rFonts w:hint="eastAsia" w:ascii="宋体" w:hAnsi="宋体" w:cs="宋体"/>
                <w:color w:val="auto"/>
                <w:szCs w:val="21"/>
                <w:highlight w:val="none"/>
                <w:lang w:eastAsia="zh-CN"/>
              </w:rPr>
              <w:t>(</w:t>
            </w: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61A13DE">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电子投标文件解密时间：</w:t>
            </w:r>
            <w:r>
              <w:rPr>
                <w:rFonts w:hint="eastAsia" w:ascii="宋体" w:hAnsi="宋体" w:cs="宋体"/>
                <w:color w:val="auto"/>
                <w:szCs w:val="21"/>
                <w:highlight w:val="none"/>
                <w:u w:val="single"/>
              </w:rPr>
              <w:t>30</w:t>
            </w:r>
            <w:r>
              <w:rPr>
                <w:rFonts w:hint="eastAsia" w:ascii="宋体" w:hAnsi="宋体" w:cs="宋体"/>
                <w:color w:val="auto"/>
                <w:szCs w:val="21"/>
                <w:highlight w:val="none"/>
              </w:rPr>
              <w:t>分钟</w:t>
            </w:r>
          </w:p>
        </w:tc>
      </w:tr>
      <w:tr w14:paraId="19E783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6B661365">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0" w:name="_25.3"/>
            <w:bookmarkEnd w:id="80"/>
            <w:r>
              <w:rPr>
                <w:rFonts w:hint="eastAsia" w:ascii="宋体" w:hAnsi="宋体" w:cs="宋体"/>
                <w:color w:val="auto"/>
                <w:szCs w:val="21"/>
                <w:highlight w:val="none"/>
              </w:rPr>
              <w:t>25.3</w:t>
            </w:r>
            <w:r>
              <w:rPr>
                <w:rFonts w:hint="eastAsia" w:ascii="宋体" w:hAnsi="宋体" w:cs="宋体"/>
                <w:color w:val="auto"/>
                <w:szCs w:val="21"/>
                <w:highlight w:val="none"/>
                <w:lang w:eastAsia="zh-CN"/>
              </w:rPr>
              <w:t>(</w:t>
            </w: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A4C4BBD">
            <w:pPr>
              <w:keepNext w:val="0"/>
              <w:keepLines w:val="0"/>
              <w:pageBreakBefore w:val="0"/>
              <w:widowControl w:val="0"/>
              <w:kinsoku/>
              <w:wordWrap w:val="0"/>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73F6E07C">
            <w:pPr>
              <w:keepNext w:val="0"/>
              <w:keepLines w:val="0"/>
              <w:pageBreakBefore w:val="0"/>
              <w:widowControl w:val="0"/>
              <w:kinsoku/>
              <w:wordWrap w:val="0"/>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查询渠道：“信用中国”网站（www.creditchina.gov.cn）、中国政府采购网（www.ccgp.gov.cn）。</w:t>
            </w:r>
          </w:p>
          <w:p w14:paraId="0DF5D742">
            <w:pPr>
              <w:keepNext w:val="0"/>
              <w:keepLines w:val="0"/>
              <w:pageBreakBefore w:val="0"/>
              <w:widowControl w:val="0"/>
              <w:kinsoku/>
              <w:wordWrap w:val="0"/>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信用查询截止时点：资格审查结束前</w:t>
            </w:r>
          </w:p>
          <w:p w14:paraId="300430C4">
            <w:pPr>
              <w:keepNext w:val="0"/>
              <w:keepLines w:val="0"/>
              <w:pageBreakBefore w:val="0"/>
              <w:widowControl w:val="0"/>
              <w:kinsoku/>
              <w:wordWrap w:val="0"/>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查询记录和证据留存方式：在查询网站中直接截图查询记录，截图</w:t>
            </w:r>
            <w:r>
              <w:rPr>
                <w:rFonts w:hint="eastAsia" w:ascii="宋体" w:hAnsi="宋体" w:cs="宋体"/>
                <w:color w:val="auto"/>
                <w:szCs w:val="21"/>
                <w:highlight w:val="none"/>
                <w:lang w:eastAsia="zh-CN"/>
              </w:rPr>
              <w:t>作为</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）作为附件上传保存。</w:t>
            </w:r>
          </w:p>
          <w:p w14:paraId="2CA40456">
            <w:pPr>
              <w:keepNext w:val="0"/>
              <w:keepLines w:val="0"/>
              <w:pageBreakBefore w:val="0"/>
              <w:widowControl w:val="0"/>
              <w:kinsoku/>
              <w:wordWrap w:val="0"/>
              <w:overflowPunct/>
              <w:topLinePunct w:val="0"/>
              <w:bidi w:val="0"/>
              <w:snapToGrid w:val="0"/>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或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02C815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22B1B66C">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1" w:name="_26"/>
            <w:bookmarkEnd w:id="81"/>
            <w:r>
              <w:rPr>
                <w:rFonts w:hint="eastAsia" w:ascii="宋体" w:hAnsi="宋体" w:cs="宋体"/>
                <w:color w:val="auto"/>
                <w:szCs w:val="21"/>
                <w:highlight w:val="none"/>
              </w:rPr>
              <w:t>26.1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C48AA8D">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评标委员会的人数：</w:t>
            </w:r>
            <w:r>
              <w:rPr>
                <w:rFonts w:hint="eastAsia" w:ascii="宋体" w:hAnsi="宋体" w:cs="宋体"/>
                <w:color w:val="auto"/>
                <w:szCs w:val="21"/>
                <w:highlight w:val="none"/>
                <w:u w:val="single"/>
              </w:rPr>
              <w:t>5</w:t>
            </w:r>
            <w:r>
              <w:rPr>
                <w:rFonts w:hint="eastAsia" w:ascii="宋体" w:hAnsi="宋体" w:cs="宋体"/>
                <w:color w:val="auto"/>
                <w:szCs w:val="21"/>
                <w:highlight w:val="none"/>
              </w:rPr>
              <w:t>人</w:t>
            </w:r>
          </w:p>
        </w:tc>
      </w:tr>
      <w:tr w14:paraId="4F4667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58C55735">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2" w:name="_28.3"/>
            <w:bookmarkEnd w:id="82"/>
            <w:r>
              <w:rPr>
                <w:rFonts w:hint="eastAsia" w:ascii="宋体" w:hAnsi="宋体" w:cs="宋体"/>
                <w:color w:val="auto"/>
                <w:szCs w:val="21"/>
                <w:highlight w:val="none"/>
              </w:rPr>
              <w:t>29.1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E16028F">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评标方法：综合评分法</w:t>
            </w:r>
          </w:p>
        </w:tc>
      </w:tr>
      <w:tr w14:paraId="4B5138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525ED93A">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3" w:name="_29.2.2（2）"/>
            <w:bookmarkEnd w:id="83"/>
            <w:r>
              <w:rPr>
                <w:rFonts w:hint="eastAsia" w:ascii="宋体" w:hAnsi="宋体" w:cs="宋体"/>
                <w:color w:val="auto"/>
                <w:szCs w:val="21"/>
                <w:highlight w:val="none"/>
              </w:rPr>
              <w:t>29.2</w:t>
            </w:r>
          </w:p>
        </w:tc>
        <w:tc>
          <w:tcPr>
            <w:tcW w:w="8175" w:type="dxa"/>
            <w:tcBorders>
              <w:top w:val="single" w:color="auto" w:sz="4" w:space="0"/>
              <w:left w:val="single" w:color="auto" w:sz="4" w:space="0"/>
              <w:right w:val="single" w:color="auto" w:sz="4" w:space="0"/>
            </w:tcBorders>
            <w:noWrap w:val="0"/>
            <w:vAlign w:val="center"/>
          </w:tcPr>
          <w:p w14:paraId="0C50B9CC">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p w14:paraId="75063D16">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tc>
      </w:tr>
      <w:tr w14:paraId="46149E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right w:val="single" w:color="auto" w:sz="4" w:space="0"/>
            </w:tcBorders>
            <w:noWrap w:val="0"/>
            <w:vAlign w:val="center"/>
          </w:tcPr>
          <w:p w14:paraId="0ABDFAC2">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29.3</w:t>
            </w:r>
          </w:p>
        </w:tc>
        <w:tc>
          <w:tcPr>
            <w:tcW w:w="8175" w:type="dxa"/>
            <w:tcBorders>
              <w:top w:val="single" w:color="auto" w:sz="4" w:space="0"/>
              <w:left w:val="single" w:color="auto" w:sz="4" w:space="0"/>
              <w:right w:val="single" w:color="auto" w:sz="4" w:space="0"/>
            </w:tcBorders>
            <w:noWrap w:val="0"/>
            <w:vAlign w:val="center"/>
          </w:tcPr>
          <w:p w14:paraId="77B4DC60">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中标候选人推荐数量：</w:t>
            </w:r>
            <w:r>
              <w:rPr>
                <w:rFonts w:hint="eastAsia" w:ascii="宋体" w:hAnsi="宋体" w:cs="宋体"/>
                <w:color w:val="auto"/>
                <w:szCs w:val="21"/>
                <w:highlight w:val="none"/>
                <w:u w:val="single"/>
              </w:rPr>
              <w:t>3</w:t>
            </w:r>
            <w:r>
              <w:rPr>
                <w:rFonts w:hint="eastAsia" w:ascii="宋体" w:hAnsi="宋体" w:cs="宋体"/>
                <w:color w:val="auto"/>
                <w:szCs w:val="21"/>
                <w:highlight w:val="none"/>
              </w:rPr>
              <w:t>名</w:t>
            </w:r>
          </w:p>
        </w:tc>
      </w:tr>
      <w:tr w14:paraId="73BB1D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B620233">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30.1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E8FCF55">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采用综合评分法的采购项目，采购人确定中标人时，出现中标候选人并列的情形，采购人按</w:t>
            </w:r>
            <w:r>
              <w:rPr>
                <w:rFonts w:hint="eastAsia" w:ascii="宋体" w:hAnsi="宋体" w:cs="宋体"/>
                <w:color w:val="auto"/>
                <w:szCs w:val="21"/>
                <w:highlight w:val="none"/>
                <w:lang w:eastAsia="zh-CN"/>
              </w:rPr>
              <w:t>以下</w:t>
            </w:r>
            <w:r>
              <w:rPr>
                <w:rFonts w:hint="eastAsia" w:ascii="宋体" w:hAnsi="宋体" w:cs="宋体"/>
                <w:color w:val="auto"/>
                <w:szCs w:val="21"/>
                <w:highlight w:val="none"/>
              </w:rPr>
              <w:t>方式确定中标人：</w:t>
            </w:r>
            <w:r>
              <w:rPr>
                <w:rFonts w:hint="eastAsia" w:ascii="宋体" w:hAnsi="宋体" w:cs="宋体"/>
                <w:iCs/>
                <w:color w:val="auto"/>
                <w:szCs w:val="21"/>
                <w:highlight w:val="none"/>
              </w:rPr>
              <w:t>依次按投标报价低的优先、投标报价评分得分高的优先、服务方案评分高的顺序确定；按上述方式无法确定的，由采购人随机抽取。</w:t>
            </w:r>
          </w:p>
        </w:tc>
      </w:tr>
      <w:tr w14:paraId="3EA13E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4ED2AF5F">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4" w:name="_39.1"/>
            <w:bookmarkEnd w:id="84"/>
            <w:r>
              <w:rPr>
                <w:rFonts w:hint="eastAsia" w:ascii="宋体" w:hAnsi="宋体" w:cs="宋体"/>
                <w:color w:val="auto"/>
                <w:szCs w:val="21"/>
                <w:highlight w:val="none"/>
              </w:rPr>
              <w:t>35.1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B53C132">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本项目不收取履约保证金。</w:t>
            </w:r>
          </w:p>
          <w:p w14:paraId="6DF9F499">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eastAsia="宋体" w:cs="宋体"/>
                <w:iCs/>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本项目收取履约保证金</w:t>
            </w:r>
            <w:r>
              <w:rPr>
                <w:rFonts w:hint="eastAsia" w:ascii="宋体" w:hAnsi="宋体" w:cs="宋体"/>
                <w:color w:val="auto"/>
                <w:szCs w:val="21"/>
                <w:highlight w:val="none"/>
                <w:lang w:eastAsia="zh-CN"/>
              </w:rPr>
              <w:t>：</w:t>
            </w:r>
            <w:r>
              <w:rPr>
                <w:rFonts w:hint="eastAsia" w:ascii="宋体" w:hAnsi="宋体" w:cs="宋体"/>
                <w:color w:val="auto"/>
                <w:szCs w:val="21"/>
                <w:highlight w:val="none"/>
              </w:rPr>
              <w:t>具体规定详见第</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章《</w:t>
            </w:r>
            <w:r>
              <w:rPr>
                <w:rFonts w:hint="eastAsia" w:ascii="宋体" w:hAnsi="宋体" w:cs="宋体"/>
                <w:color w:val="auto"/>
                <w:szCs w:val="21"/>
                <w:highlight w:val="none"/>
                <w:lang w:val="en-US" w:eastAsia="zh-CN"/>
              </w:rPr>
              <w:t>采购需求</w:t>
            </w:r>
            <w:r>
              <w:rPr>
                <w:rFonts w:hint="eastAsia" w:ascii="宋体" w:hAnsi="宋体" w:cs="宋体"/>
                <w:color w:val="auto"/>
                <w:szCs w:val="21"/>
                <w:highlight w:val="none"/>
              </w:rPr>
              <w:t>》的“</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商务要求</w:t>
            </w:r>
            <w:r>
              <w:rPr>
                <w:rFonts w:hint="eastAsia" w:ascii="宋体" w:hAnsi="宋体" w:cs="宋体"/>
                <w:color w:val="auto"/>
                <w:szCs w:val="21"/>
                <w:highlight w:val="none"/>
              </w:rPr>
              <w:t>”的“</w:t>
            </w:r>
            <w:r>
              <w:rPr>
                <w:rFonts w:hint="eastAsia" w:ascii="宋体" w:hAnsi="宋体" w:cs="宋体"/>
                <w:color w:val="auto"/>
                <w:szCs w:val="21"/>
                <w:highlight w:val="none"/>
                <w:lang w:val="en-US" w:eastAsia="zh-CN"/>
              </w:rPr>
              <w:t>履约</w:t>
            </w:r>
            <w:r>
              <w:rPr>
                <w:rFonts w:hint="eastAsia" w:ascii="宋体" w:hAnsi="宋体" w:cs="宋体"/>
                <w:color w:val="auto"/>
                <w:szCs w:val="21"/>
                <w:highlight w:val="none"/>
              </w:rPr>
              <w:t>保证金”的要求。</w:t>
            </w:r>
          </w:p>
          <w:p w14:paraId="3FC5D345">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b/>
                <w:iCs/>
                <w:color w:val="auto"/>
                <w:szCs w:val="21"/>
                <w:highlight w:val="none"/>
              </w:rPr>
            </w:pPr>
            <w:r>
              <w:rPr>
                <w:rFonts w:hint="eastAsia" w:ascii="宋体" w:hAnsi="宋体" w:cs="宋体"/>
                <w:b/>
                <w:iCs/>
                <w:color w:val="auto"/>
                <w:szCs w:val="21"/>
                <w:highlight w:val="none"/>
              </w:rPr>
              <w:t>备注：</w:t>
            </w:r>
          </w:p>
          <w:p w14:paraId="2C016298">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b/>
                <w:iCs/>
                <w:color w:val="auto"/>
                <w:szCs w:val="21"/>
                <w:highlight w:val="none"/>
              </w:rPr>
            </w:pPr>
            <w:r>
              <w:rPr>
                <w:rFonts w:hint="eastAsia" w:ascii="宋体" w:hAnsi="宋体" w:cs="宋体"/>
                <w:b/>
                <w:iCs/>
                <w:color w:val="auto"/>
                <w:szCs w:val="21"/>
                <w:highlight w:val="none"/>
              </w:rPr>
              <w:t>1. 根据《广西壮族自治区财政厅关于贯彻落实政府采购优化营商环境百日攻坚行动方案的通知》（桂财采〔2020〕49号）规定、广西壮族自治区财政厅关于规范政府采购货物和服务项目保证金管理的通知（桂财规〔2022〕8号 ）和《广西壮族自治区财政厅关于持续优化政府采购营商环境推动高质量发展的通知》（桂财采〔2024〕55 号），采购文件要求中标或者中标人提交履约保证金的，履约保证金数额不得超过政府采购合同金额的5%，对中小企业收取的履约保证金数额不得超过政府采购合同金额的2%。采购人可根据供应商的资信等情况减免履约保证金。</w:t>
            </w:r>
          </w:p>
          <w:p w14:paraId="7006006F">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b/>
                <w:iCs/>
                <w:color w:val="auto"/>
                <w:szCs w:val="21"/>
                <w:highlight w:val="none"/>
              </w:rPr>
            </w:pPr>
            <w:r>
              <w:rPr>
                <w:rFonts w:hint="eastAsia" w:ascii="宋体" w:hAnsi="宋体" w:cs="宋体"/>
                <w:b/>
                <w:iCs/>
                <w:color w:val="auto"/>
                <w:szCs w:val="21"/>
                <w:highlight w:val="none"/>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7B67E638">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b/>
                <w:iCs/>
                <w:color w:val="auto"/>
                <w:szCs w:val="21"/>
                <w:highlight w:val="none"/>
              </w:rPr>
            </w:pPr>
            <w:r>
              <w:rPr>
                <w:rFonts w:hint="eastAsia" w:ascii="宋体" w:hAnsi="宋体" w:cs="宋体"/>
                <w:b/>
                <w:iCs/>
                <w:color w:val="auto"/>
                <w:szCs w:val="21"/>
                <w:highlight w:val="none"/>
              </w:rPr>
              <w:t>3.采用</w:t>
            </w:r>
            <w:r>
              <w:rPr>
                <w:rFonts w:hint="eastAsia" w:ascii="宋体" w:hAnsi="宋体" w:cs="宋体"/>
                <w:b/>
                <w:iCs/>
                <w:color w:val="auto"/>
                <w:szCs w:val="21"/>
                <w:highlight w:val="none"/>
                <w:lang w:eastAsia="zh-CN"/>
              </w:rPr>
              <w:t>金融、担保机构</w:t>
            </w:r>
            <w:r>
              <w:rPr>
                <w:rFonts w:hint="eastAsia" w:ascii="宋体" w:hAnsi="宋体" w:cs="宋体"/>
                <w:b/>
                <w:iCs/>
                <w:color w:val="auto"/>
                <w:szCs w:val="21"/>
                <w:highlight w:val="none"/>
              </w:rPr>
              <w:t>出具的保函的，必须为无条件保函，否则不予签订合同。</w:t>
            </w:r>
          </w:p>
          <w:p w14:paraId="0049B8F5">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b/>
                <w:iCs/>
                <w:color w:val="auto"/>
                <w:szCs w:val="21"/>
                <w:highlight w:val="none"/>
              </w:rPr>
              <w:t>4.投标人为联合体的，由联合体其中一方按规定提交的履约保证金，视为有效履约保证金。</w:t>
            </w:r>
          </w:p>
        </w:tc>
      </w:tr>
      <w:tr w14:paraId="446AAA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623872F1">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5" w:name="_40.1"/>
            <w:bookmarkEnd w:id="85"/>
            <w:r>
              <w:rPr>
                <w:rFonts w:hint="eastAsia" w:ascii="宋体" w:hAnsi="宋体" w:cs="宋体"/>
                <w:color w:val="auto"/>
                <w:szCs w:val="21"/>
                <w:highlight w:val="none"/>
              </w:rPr>
              <w:t>36.1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BB42C73">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签订合同携带的证明材料：</w:t>
            </w:r>
          </w:p>
          <w:p w14:paraId="0170AE7D">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52377092">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249540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48DDC1A">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38.2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10EA4CB">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接收质疑函方式：以书面形式</w:t>
            </w:r>
          </w:p>
          <w:p w14:paraId="02D26039">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质疑联系部门及联系方式：</w:t>
            </w:r>
            <w:r>
              <w:rPr>
                <w:rFonts w:hint="eastAsia" w:ascii="宋体" w:hAnsi="宋体" w:cs="宋体"/>
                <w:color w:val="auto"/>
                <w:szCs w:val="21"/>
                <w:highlight w:val="none"/>
                <w:lang w:eastAsia="zh-CN"/>
              </w:rPr>
              <w:t>广西建设工程机电设备招标中心有限公司</w:t>
            </w: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0771-5824250</w:t>
            </w:r>
            <w:r>
              <w:rPr>
                <w:rFonts w:hint="eastAsia" w:ascii="宋体" w:hAnsi="宋体" w:cs="宋体"/>
                <w:color w:val="auto"/>
                <w:szCs w:val="21"/>
                <w:highlight w:val="none"/>
              </w:rPr>
              <w:t>，通讯地址：</w:t>
            </w:r>
            <w:r>
              <w:rPr>
                <w:rFonts w:hint="eastAsia" w:ascii="宋体" w:hAnsi="宋体" w:cs="宋体"/>
                <w:color w:val="auto"/>
                <w:szCs w:val="21"/>
                <w:highlight w:val="none"/>
                <w:lang w:eastAsia="zh-CN"/>
              </w:rPr>
              <w:t>广西建设工程机电设备招标中心有限公司</w:t>
            </w:r>
            <w:r>
              <w:rPr>
                <w:rFonts w:hint="eastAsia" w:ascii="宋体" w:hAnsi="宋体" w:cs="宋体"/>
                <w:color w:val="auto"/>
                <w:szCs w:val="21"/>
                <w:highlight w:val="none"/>
              </w:rPr>
              <w:t>（</w:t>
            </w:r>
            <w:r>
              <w:rPr>
                <w:rFonts w:hint="eastAsia" w:ascii="宋体" w:hAnsi="宋体" w:cs="宋体"/>
                <w:color w:val="auto"/>
                <w:szCs w:val="21"/>
                <w:highlight w:val="none"/>
                <w:lang w:eastAsia="zh-CN"/>
              </w:rPr>
              <w:t>广西南宁市青秀区枫林路18号广西国控大厦（枫林路办公区）裙楼三楼</w:t>
            </w:r>
            <w:r>
              <w:rPr>
                <w:rFonts w:hint="eastAsia" w:ascii="宋体" w:hAnsi="宋体" w:cs="宋体"/>
                <w:color w:val="auto"/>
                <w:szCs w:val="21"/>
                <w:highlight w:val="none"/>
              </w:rPr>
              <w:t>）</w:t>
            </w:r>
          </w:p>
          <w:p w14:paraId="23CC7032">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业务时间：工作日每天上午8时30分到12时00分，下午</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0分到</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0分。</w:t>
            </w:r>
          </w:p>
        </w:tc>
      </w:tr>
      <w:tr w14:paraId="667B2F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5A253F9A">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6" w:name="_42"/>
            <w:bookmarkEnd w:id="86"/>
            <w:bookmarkStart w:id="87" w:name="_41"/>
            <w:bookmarkEnd w:id="87"/>
            <w:bookmarkStart w:id="88" w:name="_Hlt17709148"/>
            <w:r>
              <w:rPr>
                <w:rFonts w:hint="eastAsia" w:ascii="宋体" w:hAnsi="宋体" w:cs="宋体"/>
                <w:color w:val="auto"/>
                <w:szCs w:val="21"/>
                <w:highlight w:val="none"/>
              </w:rPr>
              <w:t>3</w:t>
            </w:r>
            <w:bookmarkEnd w:id="88"/>
            <w:r>
              <w:rPr>
                <w:rFonts w:hint="eastAsia" w:ascii="宋体" w:hAnsi="宋体" w:cs="宋体"/>
                <w:color w:val="auto"/>
                <w:szCs w:val="21"/>
                <w:highlight w:val="none"/>
              </w:rPr>
              <w:t>9.1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86EAEF5">
            <w:pPr>
              <w:pStyle w:val="20"/>
              <w:keepNext w:val="0"/>
              <w:keepLines w:val="0"/>
              <w:pageBreakBefore w:val="0"/>
              <w:widowControl w:val="0"/>
              <w:kinsoku/>
              <w:overflowPunct/>
              <w:topLinePunct w:val="0"/>
              <w:bidi w:val="0"/>
              <w:snapToGrid w:val="0"/>
              <w:spacing w:line="400" w:lineRule="exact"/>
              <w:rPr>
                <w:rFonts w:hint="eastAsia" w:hAnsi="宋体" w:cs="宋体"/>
                <w:color w:val="auto"/>
                <w:highlight w:val="none"/>
              </w:rPr>
            </w:pPr>
            <w:r>
              <w:rPr>
                <w:rFonts w:hint="eastAsia" w:hAnsi="宋体" w:cs="宋体"/>
                <w:color w:val="auto"/>
                <w:highlight w:val="none"/>
              </w:rPr>
              <w:t>1.采购代理费支付方式：本项目代理服务费由</w:t>
            </w:r>
            <w:r>
              <w:rPr>
                <w:rFonts w:hint="eastAsia" w:hAnsi="宋体" w:cs="宋体"/>
                <w:color w:val="auto"/>
                <w:highlight w:val="none"/>
                <w:u w:val="single"/>
              </w:rPr>
              <w:t>中标人</w:t>
            </w:r>
            <w:r>
              <w:rPr>
                <w:rFonts w:hint="eastAsia" w:hAnsi="宋体" w:cs="宋体"/>
                <w:color w:val="auto"/>
                <w:highlight w:val="none"/>
              </w:rPr>
              <w:t>一次性向采购代理机构支付。</w:t>
            </w:r>
          </w:p>
          <w:p w14:paraId="7E4B3B7C">
            <w:pPr>
              <w:pStyle w:val="20"/>
              <w:keepNext w:val="0"/>
              <w:keepLines w:val="0"/>
              <w:pageBreakBefore w:val="0"/>
              <w:widowControl w:val="0"/>
              <w:kinsoku/>
              <w:overflowPunct/>
              <w:topLinePunct w:val="0"/>
              <w:bidi w:val="0"/>
              <w:snapToGrid w:val="0"/>
              <w:spacing w:line="400" w:lineRule="exact"/>
              <w:rPr>
                <w:rFonts w:hint="eastAsia" w:hAnsi="宋体" w:cs="宋体"/>
                <w:color w:val="auto"/>
                <w:highlight w:val="none"/>
              </w:rPr>
            </w:pPr>
            <w:r>
              <w:rPr>
                <w:rFonts w:hint="eastAsia" w:hAnsi="宋体" w:cs="宋体"/>
                <w:color w:val="auto"/>
                <w:highlight w:val="none"/>
              </w:rPr>
              <w:t>2.采购代理费收取标准：</w:t>
            </w:r>
          </w:p>
          <w:p w14:paraId="00730FF7">
            <w:pPr>
              <w:pStyle w:val="20"/>
              <w:keepNext w:val="0"/>
              <w:keepLines w:val="0"/>
              <w:pageBreakBefore w:val="0"/>
              <w:widowControl w:val="0"/>
              <w:kinsoku/>
              <w:overflowPunct/>
              <w:topLinePunct w:val="0"/>
              <w:bidi w:val="0"/>
              <w:snapToGrid w:val="0"/>
              <w:spacing w:line="400" w:lineRule="exact"/>
              <w:rPr>
                <w:rFonts w:hint="eastAsia" w:hAnsi="宋体" w:cs="宋体"/>
                <w:color w:val="auto"/>
                <w:highlight w:val="none"/>
              </w:rPr>
            </w:pPr>
            <w:r>
              <w:rPr>
                <w:rFonts w:hint="eastAsia" w:hAnsi="宋体" w:cs="宋体"/>
                <w:color w:val="auto"/>
                <w:highlight w:val="none"/>
              </w:rPr>
              <w:t>以</w:t>
            </w:r>
            <w:r>
              <w:rPr>
                <w:rFonts w:hint="eastAsia" w:hAnsi="宋体" w:cs="宋体"/>
                <w:color w:val="auto"/>
                <w:highlight w:val="none"/>
                <w:lang w:val="en-US" w:eastAsia="zh-CN"/>
              </w:rPr>
              <w:t>本项目预算金额</w:t>
            </w:r>
            <w:r>
              <w:rPr>
                <w:rFonts w:hint="eastAsia" w:hAnsi="宋体" w:cs="宋体"/>
                <w:color w:val="auto"/>
                <w:highlight w:val="none"/>
              </w:rPr>
              <w:t>为计费额，按本须知正文第39.1条规定的收费计算标准（服务类）采用差额定率累进法计算出收费基准价格</w:t>
            </w:r>
            <w:r>
              <w:rPr>
                <w:rFonts w:hint="eastAsia" w:hAnsi="宋体" w:cs="宋体"/>
                <w:color w:val="auto"/>
                <w:highlight w:val="none"/>
                <w:lang w:val="en-US" w:eastAsia="zh-CN"/>
              </w:rPr>
              <w:t>下浮20%</w:t>
            </w:r>
            <w:r>
              <w:rPr>
                <w:rFonts w:hint="eastAsia" w:hAnsi="宋体" w:cs="宋体"/>
                <w:color w:val="auto"/>
                <w:highlight w:val="none"/>
              </w:rPr>
              <w:t>，采购代理收费以收费</w:t>
            </w:r>
            <w:r>
              <w:rPr>
                <w:rFonts w:hint="eastAsia" w:hAnsi="宋体" w:cs="宋体"/>
                <w:color w:val="auto"/>
                <w:highlight w:val="none"/>
                <w:lang w:val="en-US" w:eastAsia="zh-CN"/>
              </w:rPr>
              <w:t>标准</w:t>
            </w:r>
            <w:r>
              <w:rPr>
                <w:rFonts w:hint="eastAsia" w:hAnsi="宋体" w:cs="宋体"/>
                <w:color w:val="auto"/>
                <w:highlight w:val="none"/>
              </w:rPr>
              <w:t>收取。</w:t>
            </w:r>
          </w:p>
          <w:p w14:paraId="4D02C444">
            <w:pPr>
              <w:keepNext w:val="0"/>
              <w:keepLines w:val="0"/>
              <w:pageBreakBefore w:val="0"/>
              <w:widowControl w:val="0"/>
              <w:kinsoku/>
              <w:overflowPunct/>
              <w:topLinePunct w:val="0"/>
              <w:bidi w:val="0"/>
              <w:snapToGrid w:val="0"/>
              <w:spacing w:line="400" w:lineRule="exac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3.账户名称：</w:t>
            </w:r>
            <w:r>
              <w:rPr>
                <w:rFonts w:hint="eastAsia" w:ascii="宋体" w:hAnsi="宋体" w:cs="宋体"/>
                <w:color w:val="auto"/>
                <w:kern w:val="0"/>
                <w:szCs w:val="21"/>
                <w:highlight w:val="none"/>
                <w:lang w:eastAsia="zh-CN"/>
              </w:rPr>
              <w:t>广西建设工程机电设备招标中心有限公司</w:t>
            </w:r>
          </w:p>
          <w:p w14:paraId="56642821">
            <w:pPr>
              <w:pStyle w:val="20"/>
              <w:keepNext w:val="0"/>
              <w:keepLines w:val="0"/>
              <w:pageBreakBefore w:val="0"/>
              <w:widowControl w:val="0"/>
              <w:kinsoku/>
              <w:overflowPunct/>
              <w:topLinePunct w:val="0"/>
              <w:bidi w:val="0"/>
              <w:snapToGrid w:val="0"/>
              <w:spacing w:line="400" w:lineRule="exact"/>
              <w:rPr>
                <w:rFonts w:hint="eastAsia" w:hAnsi="宋体" w:cs="宋体"/>
                <w:color w:val="auto"/>
                <w:highlight w:val="none"/>
                <w:lang w:eastAsia="zh-CN"/>
              </w:rPr>
            </w:pPr>
            <w:r>
              <w:rPr>
                <w:rFonts w:hint="eastAsia" w:hAnsi="宋体" w:cs="宋体"/>
                <w:color w:val="auto"/>
                <w:highlight w:val="none"/>
              </w:rPr>
              <w:t>银行账号：7719  0142  3310  201</w:t>
            </w:r>
          </w:p>
          <w:p w14:paraId="3D79656B">
            <w:pPr>
              <w:pStyle w:val="20"/>
              <w:keepNext w:val="0"/>
              <w:keepLines w:val="0"/>
              <w:pageBreakBefore w:val="0"/>
              <w:widowControl w:val="0"/>
              <w:kinsoku/>
              <w:overflowPunct/>
              <w:topLinePunct w:val="0"/>
              <w:bidi w:val="0"/>
              <w:snapToGrid w:val="0"/>
              <w:spacing w:line="400" w:lineRule="exact"/>
              <w:rPr>
                <w:rFonts w:hint="eastAsia" w:hAnsi="宋体" w:cs="宋体"/>
                <w:color w:val="auto"/>
                <w:highlight w:val="none"/>
              </w:rPr>
            </w:pPr>
            <w:r>
              <w:rPr>
                <w:rFonts w:hint="eastAsia" w:hAnsi="宋体" w:cs="宋体"/>
                <w:color w:val="auto"/>
                <w:highlight w:val="none"/>
              </w:rPr>
              <w:t>开户银行：</w:t>
            </w:r>
            <w:r>
              <w:rPr>
                <w:rFonts w:hint="eastAsia" w:hAnsi="宋体" w:cs="宋体"/>
                <w:color w:val="auto"/>
                <w:highlight w:val="none"/>
                <w:lang w:eastAsia="zh-CN"/>
              </w:rPr>
              <w:t>招商银行南宁分行营业部</w:t>
            </w:r>
          </w:p>
        </w:tc>
      </w:tr>
      <w:tr w14:paraId="794073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14012CB0">
            <w:pPr>
              <w:keepNext w:val="0"/>
              <w:keepLines w:val="0"/>
              <w:pageBreakBefore w:val="0"/>
              <w:widowControl w:val="0"/>
              <w:kinsoku/>
              <w:overflowPunct/>
              <w:topLinePunct w:val="0"/>
              <w:bidi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40.1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94CAAB1">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4A5C64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E1D6AC1">
            <w:pPr>
              <w:keepNext w:val="0"/>
              <w:keepLines w:val="0"/>
              <w:pageBreakBefore w:val="0"/>
              <w:widowControl w:val="0"/>
              <w:kinsoku/>
              <w:overflowPunct/>
              <w:topLinePunct w:val="0"/>
              <w:bidi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40.2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3A1CDA4">
            <w:pPr>
              <w:pStyle w:val="20"/>
              <w:keepNext w:val="0"/>
              <w:keepLines w:val="0"/>
              <w:pageBreakBefore w:val="0"/>
              <w:widowControl w:val="0"/>
              <w:kinsoku/>
              <w:overflowPunct/>
              <w:topLinePunct w:val="0"/>
              <w:bidi w:val="0"/>
              <w:snapToGrid w:val="0"/>
              <w:spacing w:line="400" w:lineRule="exact"/>
              <w:rPr>
                <w:rFonts w:hint="eastAsia" w:hAnsi="宋体" w:cs="宋体"/>
                <w:bCs/>
                <w:color w:val="auto"/>
                <w:highlight w:val="none"/>
              </w:rPr>
            </w:pPr>
            <w:r>
              <w:rPr>
                <w:rFonts w:hint="eastAsia" w:hAnsi="宋体" w:cs="宋体"/>
                <w:bCs/>
                <w:color w:val="auto"/>
                <w:highlight w:val="none"/>
              </w:rPr>
              <w:t>1.本招标文件中描述投标人的“公章”是指根据我国对公章的管理规定</w:t>
            </w:r>
            <w:r>
              <w:rPr>
                <w:rFonts w:hint="eastAsia" w:hAnsi="宋体" w:cs="宋体"/>
                <w:bCs/>
                <w:color w:val="auto"/>
                <w:highlight w:val="none"/>
                <w:lang w:eastAsia="zh-CN"/>
              </w:rPr>
              <w:t>，使</w:t>
            </w:r>
            <w:r>
              <w:rPr>
                <w:rFonts w:hint="eastAsia" w:hAnsi="宋体" w:cs="宋体"/>
                <w:bCs/>
                <w:color w:val="auto"/>
                <w:highlight w:val="none"/>
              </w:rPr>
              <w:t>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721E505C">
            <w:pPr>
              <w:pStyle w:val="20"/>
              <w:keepNext w:val="0"/>
              <w:keepLines w:val="0"/>
              <w:pageBreakBefore w:val="0"/>
              <w:widowControl w:val="0"/>
              <w:kinsoku/>
              <w:overflowPunct/>
              <w:topLinePunct w:val="0"/>
              <w:bidi w:val="0"/>
              <w:snapToGrid w:val="0"/>
              <w:spacing w:line="400" w:lineRule="exact"/>
              <w:rPr>
                <w:rFonts w:hint="eastAsia" w:hAnsi="宋体" w:cs="宋体"/>
                <w:bCs/>
                <w:color w:val="auto"/>
                <w:highlight w:val="none"/>
              </w:rPr>
            </w:pPr>
            <w:r>
              <w:rPr>
                <w:rFonts w:hint="eastAsia" w:hAnsi="宋体" w:cs="宋体"/>
                <w:bCs/>
                <w:color w:val="auto"/>
                <w:highlight w:val="none"/>
              </w:rPr>
              <w:t>2.本招标文件所称的“</w:t>
            </w:r>
            <w:r>
              <w:rPr>
                <w:rFonts w:hint="eastAsia" w:hAnsi="宋体" w:cs="宋体"/>
                <w:color w:val="auto"/>
                <w:highlight w:val="none"/>
              </w:rPr>
              <w:t>电子签章</w:t>
            </w:r>
            <w:r>
              <w:rPr>
                <w:rFonts w:hint="eastAsia" w:hAnsi="宋体" w:cs="宋体"/>
                <w:color w:val="auto"/>
                <w:highlight w:val="none"/>
                <w:lang w:eastAsia="zh-CN"/>
              </w:rPr>
              <w:t>”“</w:t>
            </w:r>
            <w:r>
              <w:rPr>
                <w:rFonts w:hint="eastAsia" w:hAnsi="宋体" w:cs="宋体"/>
                <w:bCs/>
                <w:color w:val="auto"/>
                <w:highlight w:val="none"/>
              </w:rPr>
              <w:t>电子签名”</w:t>
            </w:r>
            <w:r>
              <w:rPr>
                <w:rFonts w:hint="eastAsia" w:hAnsi="宋体" w:cs="宋体"/>
                <w:color w:val="auto"/>
                <w:highlight w:val="none"/>
              </w:rPr>
              <w:t>，是指经广西政府采购云平台认可的CA认证的电子签名数据为表现形式的印章，可用于签署电子投标文件，电子印章与实物印章具有同等法律效力，不因其采用电子化表现形式而否定其法律效力。</w:t>
            </w:r>
          </w:p>
          <w:p w14:paraId="49F6D7F8">
            <w:pPr>
              <w:pStyle w:val="20"/>
              <w:keepNext w:val="0"/>
              <w:keepLines w:val="0"/>
              <w:pageBreakBefore w:val="0"/>
              <w:widowControl w:val="0"/>
              <w:kinsoku/>
              <w:overflowPunct/>
              <w:topLinePunct w:val="0"/>
              <w:bidi w:val="0"/>
              <w:snapToGrid w:val="0"/>
              <w:spacing w:line="400" w:lineRule="exact"/>
              <w:rPr>
                <w:rFonts w:hint="eastAsia" w:hAnsi="宋体" w:cs="宋体"/>
                <w:bCs/>
                <w:color w:val="auto"/>
                <w:highlight w:val="none"/>
              </w:rPr>
            </w:pPr>
            <w:r>
              <w:rPr>
                <w:rFonts w:hint="eastAsia" w:hAnsi="宋体" w:cs="宋体"/>
                <w:bCs/>
                <w:color w:val="auto"/>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348E441A">
            <w:pPr>
              <w:pStyle w:val="20"/>
              <w:keepNext w:val="0"/>
              <w:keepLines w:val="0"/>
              <w:pageBreakBefore w:val="0"/>
              <w:widowControl w:val="0"/>
              <w:kinsoku/>
              <w:overflowPunct/>
              <w:topLinePunct w:val="0"/>
              <w:bidi w:val="0"/>
              <w:snapToGrid w:val="0"/>
              <w:spacing w:line="400" w:lineRule="exact"/>
              <w:rPr>
                <w:rFonts w:hint="eastAsia" w:hAnsi="宋体" w:cs="宋体"/>
                <w:bCs/>
                <w:color w:val="auto"/>
                <w:highlight w:val="none"/>
              </w:rPr>
            </w:pPr>
            <w:r>
              <w:rPr>
                <w:rFonts w:hint="eastAsia" w:hAnsi="宋体" w:cs="宋体"/>
                <w:bCs/>
                <w:color w:val="auto"/>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409FEE3B">
            <w:pPr>
              <w:keepNext w:val="0"/>
              <w:keepLines w:val="0"/>
              <w:pageBreakBefore w:val="0"/>
              <w:widowControl w:val="0"/>
              <w:kinsoku/>
              <w:overflowPunct/>
              <w:topLinePunct w:val="0"/>
              <w:bidi w:val="0"/>
              <w:spacing w:line="400" w:lineRule="exact"/>
              <w:jc w:val="left"/>
              <w:rPr>
                <w:rFonts w:hint="eastAsia" w:ascii="宋体" w:hAnsi="宋体" w:cs="宋体"/>
                <w:color w:val="auto"/>
                <w:szCs w:val="21"/>
                <w:highlight w:val="none"/>
              </w:rPr>
            </w:pPr>
            <w:r>
              <w:rPr>
                <w:rFonts w:hint="eastAsia" w:ascii="宋体" w:hAnsi="宋体" w:cs="宋体"/>
                <w:bCs/>
                <w:color w:val="auto"/>
                <w:szCs w:val="21"/>
                <w:highlight w:val="none"/>
              </w:rPr>
              <w:t>5.</w:t>
            </w:r>
            <w:r>
              <w:rPr>
                <w:rFonts w:hint="eastAsia" w:ascii="宋体" w:hAnsi="宋体" w:cs="宋体"/>
                <w:bCs/>
                <w:color w:val="auto"/>
                <w:kern w:val="0"/>
                <w:szCs w:val="21"/>
                <w:highlight w:val="none"/>
              </w:rPr>
              <w:t>本招标文件所称的“以上”“以下”“以内”“届满”，包括本数；所称的“不满”“超过”“以外”，不包括本数。</w:t>
            </w:r>
          </w:p>
        </w:tc>
      </w:tr>
    </w:tbl>
    <w:p w14:paraId="3511F2AF">
      <w:pPr>
        <w:snapToGrid w:val="0"/>
        <w:rPr>
          <w:rFonts w:hint="eastAsia" w:ascii="宋体" w:hAnsi="宋体" w:cs="宋体"/>
          <w:color w:val="auto"/>
          <w:sz w:val="24"/>
          <w:szCs w:val="20"/>
          <w:highlight w:val="none"/>
        </w:rPr>
      </w:pPr>
    </w:p>
    <w:p w14:paraId="4A043A76">
      <w:pPr>
        <w:snapToGrid w:val="0"/>
        <w:rPr>
          <w:rFonts w:hint="eastAsia" w:ascii="宋体" w:hAnsi="宋体" w:cs="宋体"/>
          <w:color w:val="auto"/>
          <w:sz w:val="24"/>
          <w:szCs w:val="20"/>
          <w:highlight w:val="none"/>
        </w:rPr>
      </w:pPr>
    </w:p>
    <w:p w14:paraId="5E3E2D1E">
      <w:pPr>
        <w:pStyle w:val="3"/>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89" w:name="_Toc4106"/>
      <w:bookmarkStart w:id="90" w:name="_Toc21607"/>
      <w:bookmarkStart w:id="91" w:name="_Toc978"/>
      <w:r>
        <w:rPr>
          <w:rFonts w:hint="eastAsia" w:ascii="宋体" w:hAnsi="宋体" w:eastAsia="宋体" w:cs="宋体"/>
          <w:color w:val="auto"/>
          <w:highlight w:val="none"/>
        </w:rPr>
        <w:t>投标人须知正文</w:t>
      </w:r>
      <w:bookmarkEnd w:id="89"/>
      <w:bookmarkEnd w:id="90"/>
      <w:bookmarkEnd w:id="91"/>
    </w:p>
    <w:p w14:paraId="17599EA7">
      <w:pPr>
        <w:pStyle w:val="4"/>
        <w:keepNext w:val="0"/>
        <w:keepLines w:val="0"/>
        <w:jc w:val="center"/>
        <w:rPr>
          <w:rFonts w:hint="eastAsia" w:ascii="宋体" w:hAnsi="宋体" w:cs="宋体"/>
          <w:color w:val="auto"/>
          <w:highlight w:val="none"/>
        </w:rPr>
      </w:pPr>
      <w:bookmarkStart w:id="92" w:name="_Toc7551"/>
      <w:bookmarkStart w:id="93" w:name="_Toc1149"/>
      <w:r>
        <w:rPr>
          <w:rFonts w:hint="eastAsia" w:ascii="宋体" w:hAnsi="宋体" w:cs="宋体"/>
          <w:color w:val="auto"/>
          <w:highlight w:val="none"/>
        </w:rPr>
        <w:t>一、总  则</w:t>
      </w:r>
      <w:bookmarkEnd w:id="92"/>
      <w:bookmarkEnd w:id="93"/>
    </w:p>
    <w:p w14:paraId="0C0D356B">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94" w:name="_Toc254970527"/>
      <w:bookmarkStart w:id="95" w:name="_Toc254970668"/>
      <w:r>
        <w:rPr>
          <w:rFonts w:hint="eastAsia" w:ascii="宋体" w:hAnsi="宋体" w:cs="宋体"/>
          <w:b/>
          <w:color w:val="auto"/>
          <w:sz w:val="24"/>
          <w:highlight w:val="none"/>
        </w:rPr>
        <w:t>1.适用范围</w:t>
      </w:r>
      <w:bookmarkEnd w:id="94"/>
      <w:bookmarkEnd w:id="95"/>
    </w:p>
    <w:p w14:paraId="09EB9DE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066DB934">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cs="宋体"/>
          <w:color w:val="auto"/>
          <w:spacing w:val="-6"/>
          <w:szCs w:val="21"/>
          <w:highlight w:val="none"/>
        </w:rPr>
        <w:t>另有规定的，从其规定）。</w:t>
      </w:r>
    </w:p>
    <w:p w14:paraId="4672B6BB">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96" w:name="_Toc254970528"/>
      <w:bookmarkStart w:id="97" w:name="_Toc254970669"/>
      <w:r>
        <w:rPr>
          <w:rFonts w:hint="eastAsia" w:ascii="宋体" w:hAnsi="宋体" w:cs="宋体"/>
          <w:b/>
          <w:color w:val="auto"/>
          <w:sz w:val="24"/>
          <w:highlight w:val="none"/>
        </w:rPr>
        <w:t>2.定义</w:t>
      </w:r>
      <w:bookmarkEnd w:id="96"/>
      <w:bookmarkEnd w:id="97"/>
    </w:p>
    <w:p w14:paraId="666508B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5BD8CCD5">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2.2“采购代理机构”是指政府采购集中采购机构和集中采购机构以外的采购代理机构。</w:t>
      </w:r>
    </w:p>
    <w:p w14:paraId="0C76233B">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2F513BA7">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2.4“投标人”是指响应招标、参加投标竞争的法人、其他组织或者自然人。</w:t>
      </w:r>
    </w:p>
    <w:p w14:paraId="040F3B8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2.5“服务”是指除货物和工程以外的其他政府采购对象。</w:t>
      </w:r>
    </w:p>
    <w:p w14:paraId="32BA998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1AD7301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2.7“实质性要求”是指招标文件中已经指明不满足则投标无效的条款，或者不能负偏离的条款，或者采购需求中带“▲”的条款。</w:t>
      </w:r>
    </w:p>
    <w:p w14:paraId="738BC92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2.8“正偏离”，是指投标文件对招标文件“采购需求”中有关条款作出的响应优于条款要求并有利于采购人的情形。</w:t>
      </w:r>
    </w:p>
    <w:p w14:paraId="3F864629">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2.9“负偏离”，是指投标文件对招标文件“采购需求”中有关条款作出的响应不满足条款要求，导致采购人要求不能得到满足的情形。</w:t>
      </w:r>
    </w:p>
    <w:p w14:paraId="5F5659C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bookmarkStart w:id="98" w:name="_Toc254970670"/>
      <w:bookmarkStart w:id="99" w:name="_Toc254970529"/>
    </w:p>
    <w:p w14:paraId="16B82872">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w:t>
      </w:r>
      <w:bookmarkEnd w:id="98"/>
      <w:bookmarkEnd w:id="99"/>
      <w:r>
        <w:rPr>
          <w:rFonts w:hint="eastAsia" w:ascii="宋体" w:hAnsi="宋体" w:cs="宋体"/>
          <w:b/>
          <w:color w:val="auto"/>
          <w:sz w:val="24"/>
          <w:highlight w:val="none"/>
        </w:rPr>
        <w:t>投标人的资格要求</w:t>
      </w:r>
    </w:p>
    <w:p w14:paraId="0076576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投标人的资格要求详见“投标人须知前附表”。</w:t>
      </w:r>
    </w:p>
    <w:p w14:paraId="64AA85B8">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00" w:name="_Toc254970671"/>
      <w:bookmarkStart w:id="101" w:name="_Toc254970530"/>
      <w:r>
        <w:rPr>
          <w:rFonts w:hint="eastAsia" w:ascii="宋体" w:hAnsi="宋体" w:cs="宋体"/>
          <w:b/>
          <w:color w:val="auto"/>
          <w:sz w:val="24"/>
          <w:highlight w:val="none"/>
        </w:rPr>
        <w:t>4.投标委托</w:t>
      </w:r>
      <w:bookmarkEnd w:id="100"/>
      <w:bookmarkEnd w:id="101"/>
    </w:p>
    <w:p w14:paraId="7123526C">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投标人代表参加投标活动过程中必须携带个人有效身份证件。如投标人代表不是法定代表人，须持有授权委托书（按第六章要求格式填写）。</w:t>
      </w:r>
    </w:p>
    <w:p w14:paraId="2A6B9B7E">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02" w:name="_5.投标费用"/>
      <w:bookmarkEnd w:id="102"/>
      <w:bookmarkStart w:id="103" w:name="_Toc254970672"/>
      <w:bookmarkStart w:id="104" w:name="_Toc254970531"/>
      <w:r>
        <w:rPr>
          <w:rFonts w:hint="eastAsia" w:ascii="宋体" w:hAnsi="宋体" w:cs="宋体"/>
          <w:b/>
          <w:color w:val="auto"/>
          <w:sz w:val="24"/>
          <w:highlight w:val="none"/>
        </w:rPr>
        <w:t>5.投标费用</w:t>
      </w:r>
      <w:bookmarkEnd w:id="103"/>
      <w:bookmarkEnd w:id="104"/>
    </w:p>
    <w:p w14:paraId="1978905B">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580DBCDA">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6.联合体投标</w:t>
      </w:r>
    </w:p>
    <w:p w14:paraId="382C641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5770C09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6.2如接受联合体投标，联合体投标要求详见“投标人须知前附表”。</w:t>
      </w:r>
    </w:p>
    <w:p w14:paraId="6A48C9B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bCs/>
          <w:color w:val="auto"/>
          <w:szCs w:val="21"/>
          <w:highlight w:val="none"/>
        </w:rPr>
        <w:t>6.3</w:t>
      </w:r>
      <w:r>
        <w:rPr>
          <w:rFonts w:hint="eastAsia" w:ascii="宋体" w:hAnsi="宋体" w:cs="宋体"/>
          <w:color w:val="auto"/>
          <w:szCs w:val="21"/>
          <w:highlight w:val="none"/>
        </w:rPr>
        <w:t>根据《政府采购促进中小企业发展管理办法》（财库〔2020〕46号）第九条第二款、《财政部关于进一步加大政府采购支持中小企业力度的通知》（财库〔2022〕19号）和《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w:t>
      </w:r>
    </w:p>
    <w:p w14:paraId="233EBD9B">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7.转包与分包</w:t>
      </w:r>
    </w:p>
    <w:p w14:paraId="273E8FC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05" w:name="_Toc254970532"/>
      <w:bookmarkStart w:id="106" w:name="_Toc254970673"/>
      <w:r>
        <w:rPr>
          <w:rFonts w:hint="eastAsia" w:ascii="宋体" w:hAnsi="宋体" w:cs="宋体"/>
          <w:color w:val="auto"/>
          <w:szCs w:val="21"/>
          <w:highlight w:val="none"/>
        </w:rPr>
        <w:t>7.1本项目不允许转包。</w:t>
      </w:r>
    </w:p>
    <w:p w14:paraId="18F2B83F">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0369C11A">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73A244FE">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8.特别说明</w:t>
      </w:r>
      <w:bookmarkEnd w:id="105"/>
      <w:bookmarkEnd w:id="106"/>
    </w:p>
    <w:p w14:paraId="19A37F5E">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8.1如果本招标文件要求提供投标人或制造商的资格、信誉、荣誉、业绩与企业认证等材料的，资格、信誉、荣誉、业绩与企业认证等必须为投标人或者制造商所拥有或自身获得 。</w:t>
      </w:r>
    </w:p>
    <w:p w14:paraId="0300925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8.2投标人应仔细阅读招标文件的所有内容，按照招标文件的要求提交投标文件，并对所提供的全部资料的真实性承担法律责任。</w:t>
      </w:r>
    </w:p>
    <w:p w14:paraId="35BF2EC5">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2D7A2FFA">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9.回避与串通投标</w:t>
      </w:r>
    </w:p>
    <w:p w14:paraId="56744409">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9.1在政府采购活动中，采购人员及相关人员与供应商有下列利害关系之一的，应当回避：</w:t>
      </w:r>
    </w:p>
    <w:p w14:paraId="259CF2C6">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429BAA6E">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63AD26E7">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4F8A4E7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012F9B84">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4823B727">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0A90314">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9.2有下列情形之一的视为投标人相互串通投标，投标文件将被视为无效：</w:t>
      </w:r>
    </w:p>
    <w:p w14:paraId="60C8838A">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（1）不同投标人的投标文件由同一单位或者个人编制；或者不同投标人报名的IP地址一致的；或者编制标书硬件设备CPU编号、硬盘编号、网卡地址一致的情况。</w:t>
      </w:r>
    </w:p>
    <w:p w14:paraId="387920DD">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（2）不同投标人委托同一单位或者个人办理投标事宜；</w:t>
      </w:r>
    </w:p>
    <w:p w14:paraId="6E80BB6D">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（3）不同的投标人的投标文件载明的项目管理员为同一个人；</w:t>
      </w:r>
    </w:p>
    <w:p w14:paraId="4CAC407B">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（4）不同投标人的投标文件异常一致或者投标报价呈规律性差异；</w:t>
      </w:r>
    </w:p>
    <w:p w14:paraId="5FEB2692">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（5）不同投标人的投标文件相互混装；</w:t>
      </w:r>
    </w:p>
    <w:p w14:paraId="0DC653CA">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（6）不同投标人的投标保证金从同一单位或者个人账户转出。</w:t>
      </w:r>
    </w:p>
    <w:p w14:paraId="5C9BFABA">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9.3供应商有下列情形之一的，属于恶意串通行为，将报同级监督管理部门：</w:t>
      </w:r>
    </w:p>
    <w:p w14:paraId="165A6AA7">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（1）供应商直接或者间接从采购人或者采购代理机构处获得其他供应商的相关信息并修改其投标文件或者响应文件；</w:t>
      </w:r>
    </w:p>
    <w:p w14:paraId="1B84547A">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（2）供应商按照采购人或者采购代理机构的授意撤换、修改投标文件或者响应文件；</w:t>
      </w:r>
    </w:p>
    <w:p w14:paraId="4601723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（3）供应商之间协商报价、技术方案等投标文件或者响应文件的实质性内容；</w:t>
      </w:r>
    </w:p>
    <w:p w14:paraId="3678E17B">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418DFCB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16328F7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（6）供应商之间商定部分供应商放弃参加政府采购活动或者放弃中标；</w:t>
      </w:r>
    </w:p>
    <w:p w14:paraId="4B9AB9E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（7）供应商与采购人或者采购代理机构之间、供应商相互之间，为谋求特定供应商中标或者排斥其他供应商的其他串通行为。</w:t>
      </w:r>
    </w:p>
    <w:p w14:paraId="3D6EDF4B">
      <w:pPr>
        <w:pStyle w:val="4"/>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bookmarkStart w:id="107" w:name="_Toc30666"/>
      <w:bookmarkStart w:id="108" w:name="_Toc16733"/>
      <w:bookmarkStart w:id="109" w:name="_Toc254970534"/>
      <w:bookmarkStart w:id="110" w:name="_Toc254970675"/>
      <w:r>
        <w:rPr>
          <w:rFonts w:hint="eastAsia" w:ascii="宋体" w:hAnsi="宋体" w:cs="宋体"/>
          <w:color w:val="auto"/>
          <w:highlight w:val="none"/>
        </w:rPr>
        <w:t>二、招标文件</w:t>
      </w:r>
      <w:bookmarkEnd w:id="107"/>
      <w:bookmarkEnd w:id="108"/>
      <w:bookmarkEnd w:id="109"/>
      <w:bookmarkEnd w:id="110"/>
    </w:p>
    <w:p w14:paraId="41975FEB">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10.招标文件的组成</w:t>
      </w:r>
    </w:p>
    <w:p w14:paraId="134B26CC">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（1）招标公告；</w:t>
      </w:r>
    </w:p>
    <w:p w14:paraId="651B0D2D">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（2）采购需求； </w:t>
      </w:r>
    </w:p>
    <w:p w14:paraId="42E37866">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（3）投标人须知；</w:t>
      </w:r>
    </w:p>
    <w:p w14:paraId="242C0376">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（4）评标方法及评标标准；</w:t>
      </w:r>
    </w:p>
    <w:p w14:paraId="31965BBC">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（5）拟签订的合同文本；</w:t>
      </w:r>
    </w:p>
    <w:p w14:paraId="3307642A">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（6）投标文件格式。</w:t>
      </w:r>
    </w:p>
    <w:p w14:paraId="7F528976">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11.招标文件的澄清、修改 、现场考察和答疑会</w:t>
      </w:r>
    </w:p>
    <w:p w14:paraId="26C3C9FA">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3D67C274">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2C41A84">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highlight w:val="none"/>
        </w:rPr>
      </w:pPr>
      <w:r>
        <w:rPr>
          <w:rFonts w:hint="eastAsia" w:hAnsi="宋体" w:cs="宋体"/>
          <w:color w:val="auto"/>
          <w:highlight w:val="none"/>
        </w:rPr>
        <w:t>11.2</w:t>
      </w:r>
      <w:bookmarkStart w:id="111" w:name="_Hlk53134511"/>
      <w:r>
        <w:rPr>
          <w:rFonts w:hint="eastAsia" w:hAnsi="宋体" w:cs="宋体"/>
          <w:color w:val="auto"/>
          <w:highlight w:val="none"/>
        </w:rPr>
        <w:t>采购人或者采购代理机构可以在招标文件提供期限截止后，组织已获取招标文件的潜在投标人现场考察或者召开开标前答疑会，具体详见“投标人须知前附表”。</w:t>
      </w:r>
      <w:bookmarkEnd w:id="111"/>
      <w:bookmarkStart w:id="112" w:name="_Toc254970535"/>
      <w:bookmarkStart w:id="113" w:name="_Toc28609"/>
      <w:bookmarkStart w:id="114" w:name="_Toc254970676"/>
      <w:bookmarkStart w:id="115" w:name="_Toc11493"/>
    </w:p>
    <w:p w14:paraId="006B37D6">
      <w:pPr>
        <w:pStyle w:val="4"/>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r>
        <w:rPr>
          <w:rFonts w:hint="eastAsia" w:ascii="宋体" w:hAnsi="宋体" w:cs="宋体"/>
          <w:color w:val="auto"/>
          <w:highlight w:val="none"/>
        </w:rPr>
        <w:t>三、投标文件的编制</w:t>
      </w:r>
      <w:bookmarkEnd w:id="112"/>
      <w:bookmarkEnd w:id="113"/>
      <w:bookmarkEnd w:id="114"/>
      <w:bookmarkEnd w:id="115"/>
    </w:p>
    <w:p w14:paraId="257EBF73">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16" w:name="_Toc254970677"/>
      <w:bookmarkStart w:id="117" w:name="_Toc254970536"/>
      <w:r>
        <w:rPr>
          <w:rFonts w:hint="eastAsia" w:ascii="宋体" w:hAnsi="宋体" w:cs="宋体"/>
          <w:b/>
          <w:color w:val="auto"/>
          <w:sz w:val="24"/>
          <w:highlight w:val="none"/>
        </w:rPr>
        <w:t>12.投标文件的编制原则</w:t>
      </w:r>
    </w:p>
    <w:p w14:paraId="6F453839">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投标人必须按照招标文件的要求编制投标文件。投标文件必须对招标文件提出的要求和条件作出明确响应。</w:t>
      </w:r>
    </w:p>
    <w:p w14:paraId="1CBBC0D0">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13.投标文件的组成</w:t>
      </w:r>
      <w:bookmarkEnd w:id="116"/>
      <w:bookmarkEnd w:id="117"/>
    </w:p>
    <w:p w14:paraId="6747DF45">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投标文件由报价文件、资格证明文件、商务及技术文件三部分组成。</w:t>
      </w:r>
    </w:p>
    <w:p w14:paraId="60B2AB7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18" w:name="_13.1报价文件:_具体材料见“投标人须知前附表”。"/>
      <w:bookmarkEnd w:id="118"/>
      <w:r>
        <w:rPr>
          <w:rFonts w:hint="eastAsia" w:ascii="宋体" w:hAnsi="宋体" w:cs="宋体"/>
          <w:color w:val="auto"/>
          <w:szCs w:val="21"/>
          <w:highlight w:val="none"/>
        </w:rPr>
        <w:t>（1）报价文件：具体材料见“投标人须知前附表”。</w:t>
      </w:r>
    </w:p>
    <w:p w14:paraId="5817511C">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19" w:name="_13.2资格证明文件：具体材料见“投标人须知前附表”。"/>
      <w:bookmarkEnd w:id="119"/>
      <w:r>
        <w:rPr>
          <w:rFonts w:hint="eastAsia" w:ascii="宋体" w:hAnsi="宋体" w:cs="宋体"/>
          <w:color w:val="auto"/>
          <w:szCs w:val="21"/>
          <w:highlight w:val="none"/>
        </w:rPr>
        <w:t>（2）资格证明文件：具体材料见“投标人须知前附表”。</w:t>
      </w:r>
    </w:p>
    <w:p w14:paraId="5049788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20" w:name="_13.3商务文件:_具体材料见“投标人须知前附表”。"/>
      <w:bookmarkEnd w:id="120"/>
      <w:r>
        <w:rPr>
          <w:rFonts w:hint="eastAsia" w:ascii="宋体" w:hAnsi="宋体" w:cs="宋体"/>
          <w:color w:val="auto"/>
          <w:szCs w:val="21"/>
          <w:highlight w:val="none"/>
        </w:rPr>
        <w:t>（3）商务及技术文件：具体材料见“投标人须知前附表”。</w:t>
      </w:r>
    </w:p>
    <w:p w14:paraId="26D7F1B4">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21" w:name="_13.4技术文件：具体材料见“投标人须知前附表”。"/>
      <w:bookmarkEnd w:id="121"/>
      <w:bookmarkStart w:id="122" w:name="_13.5投标文件电子版：具体材料见“投标人须知前附表”。"/>
      <w:bookmarkEnd w:id="122"/>
      <w:bookmarkStart w:id="123" w:name="_Toc254970678"/>
      <w:bookmarkStart w:id="124" w:name="_Toc254970537"/>
      <w:r>
        <w:rPr>
          <w:rFonts w:hint="eastAsia" w:ascii="宋体" w:hAnsi="宋体" w:cs="宋体"/>
          <w:b/>
          <w:color w:val="auto"/>
          <w:sz w:val="24"/>
          <w:highlight w:val="none"/>
        </w:rPr>
        <w:t>14.投标文件的语言及计量</w:t>
      </w:r>
      <w:bookmarkEnd w:id="123"/>
      <w:bookmarkEnd w:id="124"/>
    </w:p>
    <w:p w14:paraId="248E6BB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14.1语言文字</w:t>
      </w:r>
    </w:p>
    <w:p w14:paraId="49B52B0C">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5A80555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14.2投标计量单位</w:t>
      </w:r>
    </w:p>
    <w:p w14:paraId="5778B15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招标文件已有明确规定的，使用招标文件规定的计量单位；招标文件没有规定的，应采用中华人民共和国法定计量单位，货币种类为人民币，</w:t>
      </w:r>
      <w:r>
        <w:rPr>
          <w:rFonts w:hint="eastAsia" w:ascii="宋体" w:hAnsi="宋体" w:cs="宋体"/>
          <w:b/>
          <w:color w:val="auto"/>
          <w:szCs w:val="21"/>
          <w:highlight w:val="none"/>
        </w:rPr>
        <w:t>否则视同未响应</w:t>
      </w:r>
      <w:r>
        <w:rPr>
          <w:rFonts w:hint="eastAsia" w:ascii="宋体" w:hAnsi="宋体" w:cs="宋体"/>
          <w:color w:val="auto"/>
          <w:szCs w:val="21"/>
          <w:highlight w:val="none"/>
        </w:rPr>
        <w:t>。</w:t>
      </w:r>
    </w:p>
    <w:p w14:paraId="511003CC">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15.投标的风险</w:t>
      </w:r>
    </w:p>
    <w:p w14:paraId="32ABA358">
      <w:pPr>
        <w:pStyle w:val="20"/>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hAnsi="宋体" w:cs="宋体"/>
          <w:color w:val="auto"/>
          <w:highlight w:val="none"/>
        </w:rPr>
      </w:pPr>
      <w:r>
        <w:rPr>
          <w:rFonts w:hint="eastAsia" w:hAnsi="宋体" w:cs="宋体"/>
          <w:color w:val="auto"/>
          <w:highlight w:val="none"/>
        </w:rPr>
        <w:t>投标人没有按照招标文件要求提供全部资料，或者投标人没有对招标文件作出实质性响应是投标人的风险，并可能导致其投标被拒绝。</w:t>
      </w:r>
    </w:p>
    <w:p w14:paraId="1311A135">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25" w:name="_Toc254970538"/>
      <w:bookmarkStart w:id="126" w:name="_Toc254970679"/>
      <w:r>
        <w:rPr>
          <w:rFonts w:hint="eastAsia" w:ascii="宋体" w:hAnsi="宋体" w:cs="宋体"/>
          <w:b/>
          <w:color w:val="auto"/>
          <w:sz w:val="24"/>
          <w:highlight w:val="none"/>
        </w:rPr>
        <w:t>16.投标报价</w:t>
      </w:r>
      <w:bookmarkEnd w:id="125"/>
      <w:bookmarkEnd w:id="126"/>
    </w:p>
    <w:p w14:paraId="5742FE07">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16.1投标报价应按“第六章　投标文件格式”中“开标一览表”格式填写。</w:t>
      </w:r>
    </w:p>
    <w:p w14:paraId="77BEDAB6">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27" w:name="_16.2投标报价具体定义见投标人须知前附表。"/>
      <w:bookmarkEnd w:id="127"/>
      <w:r>
        <w:rPr>
          <w:rFonts w:hint="eastAsia" w:ascii="宋体" w:hAnsi="宋体" w:cs="宋体"/>
          <w:color w:val="auto"/>
          <w:szCs w:val="21"/>
          <w:highlight w:val="none"/>
        </w:rPr>
        <w:t>16.2投标报价具体包括内容详见“投标人须知前附表”。</w:t>
      </w:r>
    </w:p>
    <w:p w14:paraId="2CC064BB">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16.3投标人必须就所投每个分标的全部内容分别作完整唯一总价报价，不得存在漏项报价；投标人必须就所投分标的单项内容作唯一报价。</w:t>
      </w:r>
    </w:p>
    <w:p w14:paraId="624C4415">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17.投标有效期</w:t>
      </w:r>
    </w:p>
    <w:p w14:paraId="0CE24A9C">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28" w:name="_17.1投标有效期应按“投标人须知中的前附表”规定的期限。"/>
      <w:bookmarkEnd w:id="128"/>
      <w:r>
        <w:rPr>
          <w:rFonts w:hint="eastAsia" w:ascii="宋体" w:hAnsi="宋体" w:cs="宋体"/>
          <w:color w:val="auto"/>
          <w:szCs w:val="21"/>
          <w:highlight w:val="none"/>
        </w:rPr>
        <w:t>17.1投标有效期是指为保证采购人有足够的时间在开标后完成评标、定标、合同签订等工作而要求投标人提交的投标文件在一定时间内保持有效的期限。</w:t>
      </w:r>
    </w:p>
    <w:p w14:paraId="589DB525">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17.2</w:t>
      </w:r>
      <w:bookmarkStart w:id="129" w:name="_Toc254970540"/>
      <w:bookmarkStart w:id="130" w:name="_Toc254970681"/>
      <w:r>
        <w:rPr>
          <w:rFonts w:hint="eastAsia" w:ascii="宋体" w:hAnsi="宋体" w:cs="宋体"/>
          <w:color w:val="auto"/>
          <w:szCs w:val="21"/>
          <w:highlight w:val="none"/>
        </w:rPr>
        <w:t xml:space="preserve"> 投标有效期应按招标文件规定的期限作出承诺，具体详见“投标人须知前附表”。</w:t>
      </w:r>
      <w:r>
        <w:rPr>
          <w:rFonts w:hint="eastAsia" w:ascii="宋体" w:hAnsi="宋体" w:cs="宋体"/>
          <w:b/>
          <w:color w:val="auto"/>
          <w:szCs w:val="21"/>
          <w:highlight w:val="none"/>
        </w:rPr>
        <w:t>承诺的投标有效期低于招标文件规定期限的，按无效投标处理</w:t>
      </w:r>
      <w:r>
        <w:rPr>
          <w:rFonts w:hint="eastAsia" w:ascii="宋体" w:hAnsi="宋体" w:cs="宋体"/>
          <w:color w:val="auto"/>
          <w:szCs w:val="21"/>
          <w:highlight w:val="none"/>
        </w:rPr>
        <w:t>。</w:t>
      </w:r>
    </w:p>
    <w:p w14:paraId="2317B284">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17.3投标人的投标文件在投标有效期内均保持有效。</w:t>
      </w:r>
      <w:bookmarkEnd w:id="129"/>
      <w:bookmarkEnd w:id="130"/>
    </w:p>
    <w:p w14:paraId="14EDC6D2">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31" w:name="_18.投标保证金"/>
      <w:bookmarkEnd w:id="131"/>
      <w:bookmarkStart w:id="132" w:name="_Toc254970682"/>
      <w:bookmarkStart w:id="133" w:name="_Toc254970541"/>
      <w:r>
        <w:rPr>
          <w:rFonts w:hint="eastAsia" w:ascii="宋体" w:hAnsi="宋体" w:cs="宋体"/>
          <w:b/>
          <w:color w:val="auto"/>
          <w:sz w:val="24"/>
          <w:highlight w:val="none"/>
        </w:rPr>
        <w:t>18.投标保证金</w:t>
      </w:r>
      <w:bookmarkEnd w:id="132"/>
      <w:bookmarkEnd w:id="133"/>
    </w:p>
    <w:p w14:paraId="7A7D4CB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18.1投标人须按“投标人须知前附表” 的规定提交投标保证金。</w:t>
      </w:r>
    </w:p>
    <w:p w14:paraId="095CC2A7">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18.2投标保证金的退还</w:t>
      </w:r>
    </w:p>
    <w:p w14:paraId="5257FC6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未中标人的投标保证金自中标通知书发出之日起5个工作日内退还；中标人的投标保证金自政府采购合同签订之日起5个工作日内退还。 </w:t>
      </w:r>
    </w:p>
    <w:p w14:paraId="550B77B8">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18.3除逾期退还投标保证金和终止招标的情形以外，投标保证金不计息。</w:t>
      </w:r>
    </w:p>
    <w:p w14:paraId="696C6E66">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18.4投标人有下列情形之一的，投标保证金将不予退还：</w:t>
      </w:r>
    </w:p>
    <w:p w14:paraId="0FC1605C">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（1）投标人在投标有效期内撤销投标文件的；</w:t>
      </w:r>
    </w:p>
    <w:p w14:paraId="327CB22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（2）未按规定提交履约保证金的；</w:t>
      </w:r>
    </w:p>
    <w:p w14:paraId="384192F9">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（3）投标人在投标过程中弄虚作假，提供虚假材料的；</w:t>
      </w:r>
    </w:p>
    <w:p w14:paraId="1D627B14">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（4）中标人无正当理由不与采购人签订合同的；</w:t>
      </w:r>
    </w:p>
    <w:p w14:paraId="29339C47">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34" w:name="_Toc254970542"/>
      <w:bookmarkStart w:id="135" w:name="_Toc254970683"/>
      <w:r>
        <w:rPr>
          <w:rFonts w:hint="eastAsia" w:ascii="宋体" w:hAnsi="宋体" w:cs="宋体"/>
          <w:color w:val="auto"/>
          <w:szCs w:val="21"/>
          <w:highlight w:val="none"/>
        </w:rPr>
        <w:t>（5）投标人出现本章第9.2、9.3情形的；</w:t>
      </w:r>
    </w:p>
    <w:p w14:paraId="5261AACF">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bookmarkEnd w:id="134"/>
    <w:bookmarkEnd w:id="135"/>
    <w:p w14:paraId="435466BF">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19.投标文件的编制</w:t>
      </w:r>
    </w:p>
    <w:p w14:paraId="1EDB1B5B">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19.1投标人应先安装“广西政府采购云电子投标客户端”（请自行前往广西政府采购云平台进行下载），并按照本项目招标文件规定的格式和顺序和广西政府采购云平台的要求编制并加密。投标文件内容不完整、编排混乱导致投标文件被误读、漏读或者查找不到相关内容的，由此引发的后果由投标人承担。</w:t>
      </w:r>
    </w:p>
    <w:p w14:paraId="1D14EB3B">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bookmarkStart w:id="136" w:name="_19.2投标文件应按报价文件、资格证明文件、商务文件、技术文件分别编制"/>
      <w:bookmarkEnd w:id="136"/>
      <w:r>
        <w:rPr>
          <w:rFonts w:hint="eastAsia" w:hAnsi="宋体" w:cs="宋体"/>
          <w:color w:val="auto"/>
          <w:highlight w:val="none"/>
        </w:rPr>
        <w:t>19.2为确保网上操作合法、有效和安全，投标人应当在投标截止时间前完成在广西政府采购云平台的身份认证，确保在电子投标过程中能够对相关数据电文进行加密和使用电子签章。</w:t>
      </w:r>
    </w:p>
    <w:p w14:paraId="26D22E91">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19.3投标文件须由投标人在规定位置签字（或者电子签名）、盖章（具体以投标人须知前附表或投标文件格式规定为准），</w:t>
      </w:r>
      <w:r>
        <w:rPr>
          <w:rFonts w:hint="eastAsia" w:hAnsi="宋体" w:cs="宋体"/>
          <w:b/>
          <w:color w:val="auto"/>
          <w:highlight w:val="none"/>
        </w:rPr>
        <w:t>否则按无效投标处理</w:t>
      </w:r>
      <w:r>
        <w:rPr>
          <w:rFonts w:hint="eastAsia" w:hAnsi="宋体" w:cs="宋体"/>
          <w:color w:val="auto"/>
          <w:highlight w:val="none"/>
        </w:rPr>
        <w:t>。</w:t>
      </w:r>
    </w:p>
    <w:p w14:paraId="255D0DD7">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hAnsi="宋体" w:cs="宋体"/>
          <w:b/>
          <w:color w:val="auto"/>
          <w:highlight w:val="none"/>
        </w:rPr>
        <w:t>否则按无效投标处理</w:t>
      </w:r>
      <w:r>
        <w:rPr>
          <w:rFonts w:hint="eastAsia" w:hAnsi="宋体" w:cs="宋体"/>
          <w:color w:val="auto"/>
          <w:highlight w:val="none"/>
        </w:rPr>
        <w:t>。</w:t>
      </w:r>
    </w:p>
    <w:p w14:paraId="2899E2E7">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2BD84CEC">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20.电子备份投标文件</w:t>
      </w:r>
    </w:p>
    <w:p w14:paraId="5139DED1">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电子备份投标文件是指通过“广西政府采购云电子投标客户端”在线编制生成且后缀名为“bfbs”的文件，是否接受电子备份投标文件详见“投标人须知前附表”。</w:t>
      </w:r>
    </w:p>
    <w:p w14:paraId="5810D0F6">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21.投标文件的提交</w:t>
      </w:r>
    </w:p>
    <w:p w14:paraId="567ACB68">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b/>
          <w:color w:val="auto"/>
          <w:highlight w:val="none"/>
        </w:rPr>
      </w:pPr>
      <w:bookmarkStart w:id="137" w:name="_21.1投标人必须在“投标人须知中的前附表”规定的投标文件接收时间和投"/>
      <w:bookmarkEnd w:id="137"/>
      <w:r>
        <w:rPr>
          <w:rFonts w:hint="eastAsia" w:ascii="宋体" w:hAnsi="宋体" w:cs="宋体"/>
          <w:bCs/>
          <w:color w:val="auto"/>
          <w:szCs w:val="21"/>
          <w:highlight w:val="none"/>
        </w:rPr>
        <w:t>21.1投标人必须在“投标人须知前附表”规定的</w:t>
      </w:r>
      <w:r>
        <w:rPr>
          <w:rFonts w:hint="eastAsia" w:ascii="宋体" w:hAnsi="宋体" w:cs="宋体"/>
          <w:color w:val="auto"/>
          <w:szCs w:val="21"/>
          <w:highlight w:val="none"/>
        </w:rPr>
        <w:t>提交投标文件截止时间前将</w:t>
      </w:r>
      <w:r>
        <w:rPr>
          <w:rFonts w:hint="eastAsia" w:ascii="宋体" w:hAnsi="宋体" w:cs="宋体"/>
          <w:bCs/>
          <w:color w:val="auto"/>
          <w:szCs w:val="21"/>
          <w:highlight w:val="none"/>
        </w:rPr>
        <w:t>电子投标文件提交至投标地点。电子投标文件应在制作完成后，在投标截止时间前通过有效数字证书（CA认证锁）进行电子签章、加密，然后通过网络将加密的电子投标文件递交至</w:t>
      </w:r>
      <w:r>
        <w:rPr>
          <w:rFonts w:hint="eastAsia" w:ascii="宋体" w:hAnsi="宋体" w:cs="宋体"/>
          <w:b/>
          <w:color w:val="auto"/>
          <w:szCs w:val="21"/>
          <w:highlight w:val="none"/>
        </w:rPr>
        <w:t>广西政府采购云平台</w:t>
      </w:r>
      <w:r>
        <w:rPr>
          <w:rFonts w:hint="eastAsia" w:ascii="宋体" w:hAnsi="宋体" w:cs="宋体"/>
          <w:bCs/>
          <w:color w:val="auto"/>
          <w:szCs w:val="21"/>
          <w:highlight w:val="none"/>
        </w:rPr>
        <w:t>。</w:t>
      </w:r>
    </w:p>
    <w:p w14:paraId="248AA6D4">
      <w:pPr>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0"/>
          <w:highlight w:val="none"/>
        </w:rPr>
      </w:pPr>
      <w:r>
        <w:rPr>
          <w:rFonts w:hint="eastAsia" w:ascii="宋体" w:hAnsi="宋体" w:cs="宋体"/>
          <w:b/>
          <w:color w:val="auto"/>
          <w:szCs w:val="21"/>
          <w:highlight w:val="none"/>
        </w:rPr>
        <w:t>21.2未在规定时间内提交或者未按照招标文件要求加密的电子投标文件，广西政府采购云平台将拒收。</w:t>
      </w:r>
    </w:p>
    <w:p w14:paraId="72751E4F">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22. 投标文件的补充、修改、撤回与退回</w:t>
      </w:r>
    </w:p>
    <w:p w14:paraId="78204329">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bookmarkStart w:id="138" w:name="_Toc254970543"/>
      <w:bookmarkStart w:id="139" w:name="_Toc254970684"/>
      <w:r>
        <w:rPr>
          <w:rFonts w:hint="eastAsia" w:ascii="宋体" w:hAnsi="宋体" w:cs="宋体"/>
          <w:color w:val="auto"/>
          <w:szCs w:val="21"/>
          <w:highlight w:val="none"/>
        </w:rPr>
        <w:t>22.1</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auto"/>
          <w:szCs w:val="21"/>
          <w:highlight w:val="none"/>
        </w:rPr>
        <w:t>（补充、修改或者撤回方式可登录</w:t>
      </w:r>
      <w:r>
        <w:rPr>
          <w:rFonts w:hint="eastAsia" w:ascii="宋体" w:hAnsi="宋体" w:cs="宋体"/>
          <w:color w:val="auto"/>
          <w:kern w:val="0"/>
          <w:szCs w:val="21"/>
          <w:highlight w:val="none"/>
        </w:rPr>
        <w:t>广西政府采购云平台，</w:t>
      </w:r>
      <w:r>
        <w:rPr>
          <w:rFonts w:hint="eastAsia" w:ascii="宋体" w:hAnsi="宋体" w:cs="宋体"/>
          <w:color w:val="auto"/>
          <w:szCs w:val="21"/>
          <w:highlight w:val="none"/>
        </w:rPr>
        <w:t>依次进入“服务中心”中查看 “电子投标文件制作与投送教程”）</w:t>
      </w:r>
    </w:p>
    <w:bookmarkEnd w:id="138"/>
    <w:bookmarkEnd w:id="139"/>
    <w:p w14:paraId="5C6258C2">
      <w:pPr>
        <w:pStyle w:val="79"/>
        <w:keepNext w:val="0"/>
        <w:keepLines w:val="0"/>
        <w:pageBreakBefore w:val="0"/>
        <w:widowControl w:val="0"/>
        <w:kinsoku/>
        <w:wordWrap/>
        <w:overflowPunct/>
        <w:topLinePunct w:val="0"/>
        <w:autoSpaceDE/>
        <w:autoSpaceDN/>
        <w:bidi w:val="0"/>
        <w:spacing w:before="0" w:line="400" w:lineRule="exact"/>
        <w:ind w:firstLine="42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22.2广西政府采购云平台收到投标文件后向供应商发出确认回执通知。在投标截止时间前，除供应商补充、修改或者撤回投标文件外，任何单位和个人不得解密或提取投标文件。</w:t>
      </w:r>
    </w:p>
    <w:p w14:paraId="1FA24D3E">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22.3在投标截止时间后，采购人和采购代理机构对已提交的投标文件概不退回。</w:t>
      </w:r>
    </w:p>
    <w:p w14:paraId="47CC2BB7">
      <w:pPr>
        <w:pStyle w:val="4"/>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bookmarkStart w:id="140" w:name="_Toc23160"/>
      <w:bookmarkStart w:id="141" w:name="_Toc254970544"/>
      <w:bookmarkStart w:id="142" w:name="_Toc21393"/>
      <w:bookmarkStart w:id="143" w:name="_Toc254970685"/>
      <w:r>
        <w:rPr>
          <w:rFonts w:hint="eastAsia" w:ascii="宋体" w:hAnsi="宋体" w:cs="宋体"/>
          <w:color w:val="auto"/>
          <w:highlight w:val="none"/>
        </w:rPr>
        <w:t>四、开  标</w:t>
      </w:r>
      <w:bookmarkEnd w:id="140"/>
      <w:bookmarkEnd w:id="141"/>
      <w:bookmarkEnd w:id="142"/>
      <w:bookmarkEnd w:id="143"/>
    </w:p>
    <w:p w14:paraId="73810255">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44" w:name="_23.开标时间和地点"/>
      <w:bookmarkEnd w:id="144"/>
      <w:r>
        <w:rPr>
          <w:rFonts w:hint="eastAsia" w:ascii="宋体" w:hAnsi="宋体" w:cs="宋体"/>
          <w:b/>
          <w:color w:val="auto"/>
          <w:sz w:val="24"/>
          <w:highlight w:val="none"/>
        </w:rPr>
        <w:t>23.开标时间和地点</w:t>
      </w:r>
    </w:p>
    <w:p w14:paraId="7A8E3E13">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bCs/>
          <w:color w:val="auto"/>
          <w:highlight w:val="none"/>
        </w:rPr>
      </w:pPr>
      <w:r>
        <w:rPr>
          <w:rFonts w:hint="eastAsia" w:ascii="宋体" w:hAnsi="宋体" w:cs="宋体"/>
          <w:bCs/>
          <w:color w:val="auto"/>
          <w:highlight w:val="none"/>
        </w:rPr>
        <w:t>开标时间及地点详见“投标人须知前附表”</w:t>
      </w:r>
    </w:p>
    <w:p w14:paraId="538D78E9">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24.开标程序</w:t>
      </w:r>
    </w:p>
    <w:p w14:paraId="78D3AD80">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24.1提交投标文件截止时间止，投标人不足3家的，不得开标。</w:t>
      </w:r>
    </w:p>
    <w:p w14:paraId="0405C432">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24.2采购代理机构将按照招标文件规定的时间通过广西政府采购云平台组织线上开标活动，所有供应商均应当准时在线参加，投标人因未在线参加开标而导致投标文件无法按时解密等一切后果由投标人自己承担。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3E3AFB87">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24.3开标程序</w:t>
      </w:r>
    </w:p>
    <w:p w14:paraId="028493F4">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（1）解密电子投标文件。广西政府采购云平台按开标时间自动提取所有投标文件。采购代理机构依托广西政府采购云平台向各投标人发出电子加密投标文件【开始解密】通知，由投标人按</w:t>
      </w:r>
      <w:r>
        <w:rPr>
          <w:rFonts w:hint="eastAsia" w:ascii="宋体" w:hAnsi="宋体" w:cs="宋体"/>
          <w:bCs/>
          <w:color w:val="auto"/>
          <w:szCs w:val="21"/>
          <w:highlight w:val="none"/>
        </w:rPr>
        <w:t>“投标人须知前附表”</w:t>
      </w:r>
      <w:r>
        <w:rPr>
          <w:rFonts w:hint="eastAsia" w:ascii="宋体" w:hAnsi="宋体" w:cs="宋体"/>
          <w:color w:val="auto"/>
          <w:highlight w:val="none"/>
        </w:rPr>
        <w:t>规定的时间内自行进行投标文件解密。投标人的法定代表人或其委托代理人须凭加密时所用的CA锁准时登录到广西政府采购云平台电子开标大厅签到并对电子投标文件解密。</w:t>
      </w:r>
      <w:r>
        <w:rPr>
          <w:rFonts w:hint="eastAsia" w:ascii="宋体" w:hAnsi="宋体" w:cs="宋体"/>
          <w:b/>
          <w:color w:val="auto"/>
          <w:highlight w:val="none"/>
        </w:rPr>
        <w:t>投标人未在规定的时间内解密投标文件或者解密失败的，</w:t>
      </w:r>
      <w:r>
        <w:rPr>
          <w:rFonts w:hint="eastAsia" w:ascii="宋体" w:hAnsi="宋体" w:cs="宋体"/>
          <w:b/>
          <w:color w:val="auto"/>
          <w:szCs w:val="21"/>
          <w:highlight w:val="none"/>
        </w:rPr>
        <w:t>投标人的投标文件作无效处理</w:t>
      </w:r>
      <w:r>
        <w:rPr>
          <w:rFonts w:hint="eastAsia" w:ascii="宋体" w:hAnsi="宋体" w:cs="宋体"/>
          <w:b/>
          <w:color w:val="auto"/>
          <w:highlight w:val="none"/>
        </w:rPr>
        <w:t>。</w:t>
      </w:r>
    </w:p>
    <w:p w14:paraId="29319E2C">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（2）电子唱标。投标文件解密结束，宣布的内容均在广西政府采购云平台远程开标大厅展示，具体详见</w:t>
      </w:r>
      <w:r>
        <w:rPr>
          <w:rFonts w:hint="eastAsia" w:ascii="宋体" w:hAnsi="宋体" w:cs="宋体"/>
          <w:bCs/>
          <w:color w:val="auto"/>
          <w:highlight w:val="none"/>
        </w:rPr>
        <w:t>“投标人须知前附表”</w:t>
      </w:r>
      <w:r>
        <w:rPr>
          <w:rFonts w:hint="eastAsia" w:ascii="宋体" w:hAnsi="宋体" w:cs="宋体"/>
          <w:color w:val="auto"/>
          <w:highlight w:val="none"/>
        </w:rPr>
        <w:t>；</w:t>
      </w:r>
    </w:p>
    <w:p w14:paraId="5F7FDD8D">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3DE394A0">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22B68C63">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（5）开标结束。</w:t>
      </w:r>
    </w:p>
    <w:p w14:paraId="12F212B6">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特别说明：如遇广西政府采购云平台电子化开标或评审程序调整的，按调整后执行。</w:t>
      </w:r>
    </w:p>
    <w:p w14:paraId="6216E219">
      <w:pPr>
        <w:pStyle w:val="20"/>
        <w:keepNext w:val="0"/>
        <w:keepLines w:val="0"/>
        <w:pageBreakBefore w:val="0"/>
        <w:widowControl w:val="0"/>
        <w:kinsoku/>
        <w:wordWrap/>
        <w:overflowPunct/>
        <w:topLinePunct w:val="0"/>
        <w:autoSpaceDE/>
        <w:autoSpaceDN/>
        <w:bidi w:val="0"/>
        <w:snapToGrid w:val="0"/>
        <w:spacing w:line="400" w:lineRule="exact"/>
        <w:ind w:left="689" w:leftChars="228" w:hanging="210" w:hangingChars="100"/>
        <w:textAlignment w:val="auto"/>
        <w:rPr>
          <w:rFonts w:hint="eastAsia" w:hAnsi="宋体" w:cs="宋体"/>
          <w:color w:val="auto"/>
          <w:highlight w:val="none"/>
        </w:rPr>
      </w:pPr>
    </w:p>
    <w:p w14:paraId="12813B01">
      <w:pPr>
        <w:pStyle w:val="4"/>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bookmarkStart w:id="145" w:name="_Toc6086"/>
      <w:bookmarkStart w:id="146" w:name="_Toc2525"/>
      <w:r>
        <w:rPr>
          <w:rFonts w:hint="eastAsia" w:ascii="宋体" w:hAnsi="宋体" w:cs="宋体"/>
          <w:color w:val="auto"/>
          <w:highlight w:val="none"/>
        </w:rPr>
        <w:t>五、资格审查</w:t>
      </w:r>
      <w:bookmarkEnd w:id="145"/>
      <w:bookmarkEnd w:id="146"/>
    </w:p>
    <w:p w14:paraId="289AF81C">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25.资格审查</w:t>
      </w:r>
    </w:p>
    <w:p w14:paraId="3E5B307B">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25.1开标结束后，采购人或者采购代理机构通过电子开评标系统依据招标文件对电子投标文件进行线上资格审查。</w:t>
      </w:r>
    </w:p>
    <w:p w14:paraId="6955CF84">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25.2资格审查标准为本招标文件中载明对投标人资格要求的条件。本项目资格审查采用合格制，凡符合招标文件规定的投标人资格要求的投标人均通过资格审查。</w:t>
      </w:r>
    </w:p>
    <w:p w14:paraId="7FE6F496">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bookmarkStart w:id="147" w:name="_25.3_投标人有下列情形之一的，资格审查不通过而导致其投标无效："/>
      <w:bookmarkEnd w:id="147"/>
      <w:r>
        <w:rPr>
          <w:rFonts w:hint="eastAsia" w:hAnsi="宋体" w:cs="宋体"/>
          <w:b/>
          <w:color w:val="auto"/>
          <w:highlight w:val="none"/>
        </w:rPr>
        <w:t>25.3 投标人有下列情形之一的，资格审查不通过，作无效投标处理：</w:t>
      </w:r>
    </w:p>
    <w:p w14:paraId="31490B9D">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（1）不具备招标文件中规定的资格要求的；</w:t>
      </w:r>
    </w:p>
    <w:p w14:paraId="6B29C480">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04794699">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5A29CF83">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（4）投标文件中的资格证明文件缺少任一项“投标人须知前附表”资格证明文件规定“必须提供”的文件资料的；</w:t>
      </w:r>
    </w:p>
    <w:p w14:paraId="6913C552">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（5）投标文件中的资格证明文件出现任一项不符合“投标人须知前附表”资格证明文件规定“必须提供”的文件资料要求或者无效的。</w:t>
      </w:r>
    </w:p>
    <w:p w14:paraId="0D874E26">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25.4合格投标人不足3家的，不得评标。</w:t>
      </w:r>
    </w:p>
    <w:p w14:paraId="724ADAC2">
      <w:pPr>
        <w:pStyle w:val="20"/>
        <w:keepNext w:val="0"/>
        <w:keepLines w:val="0"/>
        <w:pageBreakBefore w:val="0"/>
        <w:widowControl w:val="0"/>
        <w:kinsoku/>
        <w:wordWrap/>
        <w:overflowPunct/>
        <w:topLinePunct w:val="0"/>
        <w:autoSpaceDE/>
        <w:autoSpaceDN/>
        <w:bidi w:val="0"/>
        <w:snapToGrid w:val="0"/>
        <w:spacing w:line="400" w:lineRule="exact"/>
        <w:ind w:left="689" w:leftChars="228" w:hanging="210" w:hangingChars="100"/>
        <w:textAlignment w:val="auto"/>
        <w:rPr>
          <w:rFonts w:hint="eastAsia" w:hAnsi="宋体" w:cs="宋体"/>
          <w:color w:val="auto"/>
          <w:highlight w:val="none"/>
        </w:rPr>
      </w:pPr>
    </w:p>
    <w:p w14:paraId="74BB3ECD">
      <w:pPr>
        <w:pStyle w:val="4"/>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bookmarkStart w:id="148" w:name="_Toc17386"/>
      <w:bookmarkStart w:id="149" w:name="_Toc31107"/>
      <w:r>
        <w:rPr>
          <w:rFonts w:hint="eastAsia" w:ascii="宋体" w:hAnsi="宋体" w:cs="宋体"/>
          <w:color w:val="auto"/>
          <w:highlight w:val="none"/>
        </w:rPr>
        <w:t>六、评  标</w:t>
      </w:r>
      <w:bookmarkEnd w:id="148"/>
      <w:bookmarkEnd w:id="149"/>
    </w:p>
    <w:p w14:paraId="6DE7B94D">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50" w:name="_26.组建评标委员会"/>
      <w:bookmarkEnd w:id="150"/>
      <w:r>
        <w:rPr>
          <w:rFonts w:hint="eastAsia" w:ascii="宋体" w:hAnsi="宋体" w:cs="宋体"/>
          <w:b/>
          <w:color w:val="auto"/>
          <w:sz w:val="24"/>
          <w:highlight w:val="none"/>
        </w:rPr>
        <w:t>26.组建评标委员会</w:t>
      </w:r>
    </w:p>
    <w:p w14:paraId="0DBF5CC5">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26.1评标委员会由采购人代表和评审专家组成，具体人数详见“投标人须知前附表”，其中评审专家不得少于成员总数的三分之二。</w:t>
      </w:r>
    </w:p>
    <w:p w14:paraId="47A6CAC1">
      <w:pPr>
        <w:pStyle w:val="20"/>
        <w:keepNext w:val="0"/>
        <w:keepLines w:val="0"/>
        <w:pageBreakBefore w:val="0"/>
        <w:widowControl w:val="0"/>
        <w:kinsoku/>
        <w:wordWrap/>
        <w:overflowPunct/>
        <w:topLinePunct w:val="0"/>
        <w:autoSpaceDE/>
        <w:autoSpaceDN/>
        <w:bidi w:val="0"/>
        <w:snapToGrid w:val="0"/>
        <w:spacing w:line="400" w:lineRule="exact"/>
        <w:ind w:left="2" w:leftChars="1" w:firstLine="420" w:firstLineChars="200"/>
        <w:textAlignment w:val="auto"/>
        <w:rPr>
          <w:rFonts w:hint="eastAsia" w:hAnsi="宋体" w:cs="宋体"/>
          <w:color w:val="auto"/>
          <w:highlight w:val="none"/>
        </w:rPr>
      </w:pPr>
      <w:r>
        <w:rPr>
          <w:rFonts w:hint="eastAsia" w:hAnsi="宋体" w:cs="宋体"/>
          <w:color w:val="auto"/>
          <w:highlight w:val="none"/>
        </w:rPr>
        <w:t>26.2参加过采购项目前期咨询论证的专家，不得参加该采购项目的评审活动。</w:t>
      </w:r>
    </w:p>
    <w:p w14:paraId="406F62DD">
      <w:pPr>
        <w:pStyle w:val="20"/>
        <w:keepNext w:val="0"/>
        <w:keepLines w:val="0"/>
        <w:pageBreakBefore w:val="0"/>
        <w:widowControl w:val="0"/>
        <w:kinsoku/>
        <w:wordWrap/>
        <w:overflowPunct/>
        <w:topLinePunct w:val="0"/>
        <w:autoSpaceDE/>
        <w:autoSpaceDN/>
        <w:bidi w:val="0"/>
        <w:snapToGrid w:val="0"/>
        <w:spacing w:line="400" w:lineRule="exact"/>
        <w:ind w:left="2" w:leftChars="1" w:firstLine="420" w:firstLineChars="200"/>
        <w:textAlignment w:val="auto"/>
        <w:rPr>
          <w:rFonts w:hint="eastAsia" w:hAnsi="宋体" w:cs="宋体"/>
          <w:color w:val="auto"/>
          <w:highlight w:val="none"/>
        </w:rPr>
      </w:pPr>
      <w:r>
        <w:rPr>
          <w:rFonts w:hint="eastAsia" w:hAnsi="宋体" w:cs="宋体"/>
          <w:color w:val="auto"/>
          <w:highlight w:val="none"/>
        </w:rPr>
        <w:t>26.3</w:t>
      </w:r>
      <w:r>
        <w:rPr>
          <w:rFonts w:hint="eastAsia" w:hAnsi="宋体" w:cs="宋体"/>
          <w:bCs/>
          <w:color w:val="auto"/>
          <w:highlight w:val="none"/>
        </w:rPr>
        <w:t>采购代理机构应当基于广西政府采购云平台抽（选）取评审专家。</w:t>
      </w:r>
    </w:p>
    <w:p w14:paraId="53DB810F">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27.评标的依据</w:t>
      </w:r>
    </w:p>
    <w:p w14:paraId="1568A986">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评标委员会以“第四章 评标方法和评标标准”为依据对投标文件进行评审，没有规定的方法、评审因素和标准，不作为评标依据。</w:t>
      </w:r>
    </w:p>
    <w:p w14:paraId="6909F8B7">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28.评标原则</w:t>
      </w:r>
    </w:p>
    <w:p w14:paraId="74726114">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28.1评标原则。评标委员</w:t>
      </w:r>
      <w:r>
        <w:rPr>
          <w:rFonts w:hint="eastAsia" w:hAnsi="宋体" w:cs="宋体"/>
          <w:color w:val="auto"/>
          <w:highlight w:val="none"/>
          <w:lang w:eastAsia="zh-CN"/>
        </w:rPr>
        <w:t>会在</w:t>
      </w:r>
      <w:r>
        <w:rPr>
          <w:rFonts w:hint="eastAsia" w:hAnsi="宋体" w:cs="宋体"/>
          <w:color w:val="auto"/>
          <w:highlight w:val="none"/>
        </w:rPr>
        <w:t>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24885F5C">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28.2</w:t>
      </w:r>
      <w:bookmarkStart w:id="151" w:name="_28.3评标方法。本项目将按须知前附表规定的评标办法进行评标，具体评标"/>
      <w:bookmarkEnd w:id="151"/>
      <w:r>
        <w:rPr>
          <w:rFonts w:hint="eastAsia" w:hAnsi="宋体" w:cs="宋体"/>
          <w:color w:val="auto"/>
          <w:highlight w:val="none"/>
        </w:rPr>
        <w:t>评委表决。评标委员会成员对需要共同认定的事项存在争议的，应当按照少数服从多数的原则作出结论。</w:t>
      </w:r>
    </w:p>
    <w:p w14:paraId="656B9447">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748BE91C">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28.4评标过程的监控。本项目电子评标过程实行网上留痕、全程录音、录像监控，</w:t>
      </w:r>
      <w:r>
        <w:rPr>
          <w:rFonts w:hint="eastAsia" w:hAnsi="宋体" w:cs="宋体"/>
          <w:b/>
          <w:color w:val="auto"/>
          <w:highlight w:val="none"/>
        </w:rPr>
        <w:t>投标人在评标过程中所进行的试图影响评标结果的不公正活动，可能导致其投标按无效处理。</w:t>
      </w:r>
    </w:p>
    <w:p w14:paraId="524A827F">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29.评标方法及中标候选人推荐</w:t>
      </w:r>
    </w:p>
    <w:p w14:paraId="06EDD41B">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29.1本项目的评标方法详见“投标人须知前附表”。</w:t>
      </w:r>
    </w:p>
    <w:p w14:paraId="71CAACF5">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29.2 商务/技术要求允许负偏离的条款数详见“投标人须知前附表”。</w:t>
      </w:r>
    </w:p>
    <w:p w14:paraId="547F447A">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29.3 中标候选人推荐数量详见“投标人须知前附表”。</w:t>
      </w:r>
    </w:p>
    <w:p w14:paraId="31BFB10A">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29.4 电子交易活动的中止。采购过程中出现以下情形，导致电子交易平台无法正常运行，或者无法保证电子交易的公平、公正和安全时，采购代理机构可以中止电子交易活动：</w:t>
      </w:r>
    </w:p>
    <w:p w14:paraId="33D4D5F8">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（1）电子交易平台发生故障而无法登录访问的；</w:t>
      </w:r>
    </w:p>
    <w:p w14:paraId="7FC35AB8">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（2）电子交易平台应用或数据库出现错误，不能进行正常操作的；</w:t>
      </w:r>
    </w:p>
    <w:p w14:paraId="4D9DEE9A">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（3）电子交易平台发现严重安全漏洞，有潜在泄密危险的；</w:t>
      </w:r>
    </w:p>
    <w:p w14:paraId="4CC4F7F1">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（4）病毒发作导致不能进行正常操作的；</w:t>
      </w:r>
    </w:p>
    <w:p w14:paraId="4054FDD5">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（5）其他无法保证电子交易的公平、公正和安全的情况。</w:t>
      </w:r>
    </w:p>
    <w:p w14:paraId="22BC1D89">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27385C7B">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29.5出现下列情形之一的，应予废标：</w:t>
      </w:r>
    </w:p>
    <w:p w14:paraId="33A72C01">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（1）符合专业条件的供应商或者对招标文件作实质响应的供应商不足三家的；</w:t>
      </w:r>
    </w:p>
    <w:p w14:paraId="1CE5D6C5">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（2）出现影响采购公正的违法、违规行为的；</w:t>
      </w:r>
    </w:p>
    <w:p w14:paraId="41F3C68D">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（3）投标人的报价均超过了采购预算，采购人不能支付的；</w:t>
      </w:r>
    </w:p>
    <w:p w14:paraId="4747A3EF">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（4）因重大变故，采购任务取消的。</w:t>
      </w:r>
    </w:p>
    <w:p w14:paraId="367CCCAF">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废标后，采购人应当将废标理由通知所有投标人。</w:t>
      </w:r>
    </w:p>
    <w:p w14:paraId="67F71B9C">
      <w:pPr>
        <w:pStyle w:val="20"/>
        <w:keepNext w:val="0"/>
        <w:keepLines w:val="0"/>
        <w:pageBreakBefore w:val="0"/>
        <w:widowControl w:val="0"/>
        <w:kinsoku/>
        <w:wordWrap/>
        <w:overflowPunct/>
        <w:topLinePunct w:val="0"/>
        <w:autoSpaceDE/>
        <w:autoSpaceDN/>
        <w:bidi w:val="0"/>
        <w:snapToGrid w:val="0"/>
        <w:spacing w:line="400" w:lineRule="exact"/>
        <w:textAlignment w:val="auto"/>
        <w:rPr>
          <w:rFonts w:hint="eastAsia" w:hAnsi="宋体" w:cs="宋体"/>
          <w:color w:val="auto"/>
          <w:highlight w:val="none"/>
        </w:rPr>
      </w:pPr>
    </w:p>
    <w:p w14:paraId="573DFF78">
      <w:pPr>
        <w:pStyle w:val="4"/>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bookmarkStart w:id="152" w:name="_Toc254970687"/>
      <w:bookmarkStart w:id="153" w:name="_Toc254970546"/>
      <w:bookmarkStart w:id="154" w:name="_Toc3006"/>
      <w:bookmarkStart w:id="155" w:name="_Toc12517"/>
      <w:r>
        <w:rPr>
          <w:rFonts w:hint="eastAsia" w:ascii="宋体" w:hAnsi="宋体" w:cs="宋体"/>
          <w:color w:val="auto"/>
          <w:highlight w:val="none"/>
        </w:rPr>
        <w:t>七、</w:t>
      </w:r>
      <w:bookmarkEnd w:id="152"/>
      <w:bookmarkEnd w:id="153"/>
      <w:r>
        <w:rPr>
          <w:rFonts w:hint="eastAsia" w:ascii="宋体" w:hAnsi="宋体" w:cs="宋体"/>
          <w:color w:val="auto"/>
          <w:highlight w:val="none"/>
        </w:rPr>
        <w:t>中标和合同</w:t>
      </w:r>
      <w:bookmarkEnd w:id="154"/>
      <w:bookmarkEnd w:id="155"/>
    </w:p>
    <w:p w14:paraId="6BF8658D">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30 确定中标人</w:t>
      </w:r>
    </w:p>
    <w:p w14:paraId="2C3A82AE">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551A2423">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30.2采购人在收到评标报告5个工作日内未按评标报告推荐的中标候选人顺序确定中标人，又不能说明合法理由的，视同按评标报告推荐的顺序确定排名第一的中标候选人为中标人。</w:t>
      </w:r>
    </w:p>
    <w:p w14:paraId="1940977E">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31.结果公告</w:t>
      </w:r>
    </w:p>
    <w:p w14:paraId="2DC3DC52">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26059115">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以上信息查询记录及相关证据与招标文件一并保存。</w:t>
      </w:r>
    </w:p>
    <w:p w14:paraId="08E54565">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31.2中标供应商享受《政府采购促进中小企业发展管理办法》（财库〔2020〕46号）规定的中小企业扶持政策的，采购人、采购代理机构应当随中标结果公开中标供应商的《中小企业声明函》。</w:t>
      </w:r>
    </w:p>
    <w:p w14:paraId="1A632F9A">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32.发出中标通知书</w:t>
      </w:r>
    </w:p>
    <w:p w14:paraId="5DE3BF8B">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65616176">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33.无义务解释未中标原因</w:t>
      </w:r>
    </w:p>
    <w:p w14:paraId="0D53BEB1">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采购代理机构无义务向未中标的投标人解释未中标原因。</w:t>
      </w:r>
    </w:p>
    <w:p w14:paraId="6AF92610">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34.合同授予标准</w:t>
      </w:r>
    </w:p>
    <w:p w14:paraId="10D49525">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合同将授予被确定实质上响应招标文件要求，具备履行合同能力的中标人。</w:t>
      </w:r>
    </w:p>
    <w:p w14:paraId="767ECB45">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35.履约保证金</w:t>
      </w:r>
    </w:p>
    <w:p w14:paraId="0958F31A">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bookmarkStart w:id="156" w:name="_39.1中标人须于签订合同前按本须知前附表规定的金额转账或电汇到指定账"/>
      <w:bookmarkEnd w:id="156"/>
      <w:r>
        <w:rPr>
          <w:rFonts w:hint="eastAsia" w:hAnsi="宋体" w:cs="宋体"/>
          <w:color w:val="auto"/>
          <w:highlight w:val="none"/>
        </w:rPr>
        <w:t>35.1 履约保证金的金额、提交方式、缴纳期限、退付的时间和条件详见 “投标人须知前附表”。中标人未按规定提交履约保证金的，视为拒绝与采购人签订合同。</w:t>
      </w:r>
    </w:p>
    <w:p w14:paraId="5C240071">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35.2在履约保证金退还日期前，若中标人的开户名称、开户银行、账号有变动的，请以书面形式通知履约保证金收取单位，否则由此产生的后果由中标人自行承担。</w:t>
      </w:r>
    </w:p>
    <w:p w14:paraId="69A409F2">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36.签订合同</w:t>
      </w:r>
    </w:p>
    <w:p w14:paraId="3EA926A2">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bookmarkStart w:id="157" w:name="_40.1投标人接到中标通知书后，按须知前附表规定向采购人出示相关资格证"/>
      <w:bookmarkEnd w:id="157"/>
      <w:r>
        <w:rPr>
          <w:rFonts w:hint="eastAsia" w:hAnsi="宋体" w:cs="宋体"/>
          <w:color w:val="auto"/>
          <w:highlight w:val="none"/>
        </w:rPr>
        <w:t>36.1签订电子采购合同：中标人领取电子中标通知书后，在规定的日期、时间、地点，由法定代表人或其授权代表与采购人代表签订电子采购合同。如中标人为联合体的，由联合体成员各方法定代表人或其授权代表与采购人代表签订合同。</w:t>
      </w:r>
    </w:p>
    <w:p w14:paraId="7C07752B">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线下签订纸质合同：投标人领取中标通知书后，按“投标人须知前附表”规定向采购人出示相关证明材料，经采购人核验合格后方可签订合同。</w:t>
      </w:r>
    </w:p>
    <w:p w14:paraId="77B24E2C">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36.2签订合同时间：按中标通知书规定的时间与采购人签订合同。</w:t>
      </w:r>
    </w:p>
    <w:p w14:paraId="6732A856">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36.3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06A2E396">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2D7EB33">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62A49CC5">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36.6如签订合同并生效后，供应商无故拒绝或延期，除按照合同条款处理外，将承担相应的法律责任。</w:t>
      </w:r>
    </w:p>
    <w:p w14:paraId="274F8EF5">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36.7政府采购合同履行中，采购人需追加与合同标的相同的货物、工程或者服务的，在不改变合同其他条款的前提下，可以与供应商协商签订补充合同，但所有补充合同的采购金额不得超过原合同采购金额的10%。</w:t>
      </w:r>
    </w:p>
    <w:p w14:paraId="5DDF5495">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58" w:name="_41.政府采购合同公告"/>
      <w:bookmarkEnd w:id="158"/>
      <w:r>
        <w:rPr>
          <w:rFonts w:hint="eastAsia" w:ascii="宋体" w:hAnsi="宋体" w:cs="宋体"/>
          <w:b/>
          <w:color w:val="auto"/>
          <w:sz w:val="24"/>
          <w:highlight w:val="none"/>
        </w:rPr>
        <w:t>37.政府采购合同公告</w:t>
      </w:r>
    </w:p>
    <w:p w14:paraId="1996147E">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3D53FF96">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38.询问、质疑和投诉</w:t>
      </w:r>
    </w:p>
    <w:p w14:paraId="5C20676D">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38.1供应商对政府采购活动事项有疑问的，可以向采购人提出询问，采购人或者采购代理机构应当在3个工作日内对供应商依法提出的询问作出答复，但答复的内容不得涉及商业秘密。</w:t>
      </w:r>
    </w:p>
    <w:p w14:paraId="681706C5">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w:t>
      </w:r>
    </w:p>
    <w:p w14:paraId="7AF4E692">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（1）对可以质疑的招标文件提出质疑的，为收到招标文件之日或者招标文件公告期限届满之日；</w:t>
      </w:r>
    </w:p>
    <w:p w14:paraId="5C050CB6">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（2）对采购过程提出质疑的，为各采购程序环节结束之日；</w:t>
      </w:r>
    </w:p>
    <w:p w14:paraId="66C8D935">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color w:val="auto"/>
          <w:highlight w:val="none"/>
        </w:rPr>
        <w:t>（3）对中标结果提出质疑的，为中标结果公告期限届满之日。</w:t>
      </w:r>
    </w:p>
    <w:p w14:paraId="6B50EC3E">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bookmarkStart w:id="159" w:name="_9.2质疑、投诉应当采用书面形式，质疑函、投诉书均应明确阐述招标文件、"/>
      <w:bookmarkEnd w:id="159"/>
      <w:r>
        <w:rPr>
          <w:rFonts w:hint="eastAsia" w:hAnsi="宋体" w:cs="宋体"/>
          <w:color w:val="auto"/>
          <w:highlight w:val="none"/>
        </w:rPr>
        <w:t>38.3供应商提出质疑应当提交质疑函和必要的证明材料，针对同一采购程序环节的质疑必须在法定质疑期内一次性提出。质疑函应当包括下列内容（质疑函格式后附）：</w:t>
      </w:r>
    </w:p>
    <w:p w14:paraId="4037BD8A">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（1）供应商的姓名或者名称、地址、邮编、联系人及联系电话；</w:t>
      </w:r>
    </w:p>
    <w:p w14:paraId="45208407">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（2）质疑项目的名称、编号；</w:t>
      </w:r>
    </w:p>
    <w:p w14:paraId="1861633B">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（3）具体、明确的质疑事项和与质疑事项相关的请求；</w:t>
      </w:r>
    </w:p>
    <w:p w14:paraId="002FF58C">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（4）事实依据；</w:t>
      </w:r>
    </w:p>
    <w:p w14:paraId="261E70F6">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（5）必要的法律依据；</w:t>
      </w:r>
    </w:p>
    <w:p w14:paraId="54C7FB37">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（6）提出质疑的日期。</w:t>
      </w:r>
    </w:p>
    <w:p w14:paraId="41C61BD1">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供应商为自然人的，应当由本人签字；供应商为法人或者其他组织的，应当由法定代表人、主要负责人，或者其委托代理人签字或者盖章，并加盖公章。</w:t>
      </w:r>
    </w:p>
    <w:p w14:paraId="27776883">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38.4采购人、采购代理机构认为供应商质疑不成立，或者成立但未对中标结果构成影响的，继续开展采购活动；认为供应商质疑成立且影响或者可能影响中标结果的，按照下列情况处理：</w:t>
      </w:r>
    </w:p>
    <w:p w14:paraId="5EA7CF28">
      <w:pPr>
        <w:pStyle w:val="20"/>
        <w:keepNext w:val="0"/>
        <w:keepLines w:val="0"/>
        <w:pageBreakBefore w:val="0"/>
        <w:widowControl w:val="0"/>
        <w:kinsoku/>
        <w:wordWrap/>
        <w:overflowPunct/>
        <w:topLinePunct w:val="0"/>
        <w:autoSpaceDE/>
        <w:autoSpaceDN/>
        <w:bidi w:val="0"/>
        <w:snapToGrid w:val="0"/>
        <w:spacing w:line="400" w:lineRule="exact"/>
        <w:textAlignment w:val="auto"/>
        <w:rPr>
          <w:rFonts w:hint="eastAsia" w:hAnsi="宋体" w:cs="宋体"/>
          <w:bCs/>
          <w:color w:val="auto"/>
          <w:highlight w:val="none"/>
        </w:rPr>
      </w:pPr>
      <w:r>
        <w:rPr>
          <w:rFonts w:hint="eastAsia" w:hAnsi="宋体" w:cs="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4C5DDBF9">
      <w:pPr>
        <w:pStyle w:val="20"/>
        <w:keepNext w:val="0"/>
        <w:keepLines w:val="0"/>
        <w:pageBreakBefore w:val="0"/>
        <w:widowControl w:val="0"/>
        <w:kinsoku/>
        <w:wordWrap/>
        <w:overflowPunct/>
        <w:topLinePunct w:val="0"/>
        <w:autoSpaceDE/>
        <w:autoSpaceDN/>
        <w:bidi w:val="0"/>
        <w:snapToGrid w:val="0"/>
        <w:spacing w:line="400" w:lineRule="exact"/>
        <w:textAlignment w:val="auto"/>
        <w:rPr>
          <w:rFonts w:hint="eastAsia" w:hAnsi="宋体" w:cs="宋体"/>
          <w:bCs/>
          <w:color w:val="auto"/>
          <w:highlight w:val="none"/>
        </w:rPr>
      </w:pPr>
      <w:r>
        <w:rPr>
          <w:rFonts w:hint="eastAsia" w:hAnsi="宋体" w:cs="宋体"/>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062AB6C3">
      <w:pPr>
        <w:pStyle w:val="20"/>
        <w:keepNext w:val="0"/>
        <w:keepLines w:val="0"/>
        <w:pageBreakBefore w:val="0"/>
        <w:widowControl w:val="0"/>
        <w:kinsoku/>
        <w:wordWrap/>
        <w:overflowPunct/>
        <w:topLinePunct w:val="0"/>
        <w:autoSpaceDE/>
        <w:autoSpaceDN/>
        <w:bidi w:val="0"/>
        <w:snapToGrid w:val="0"/>
        <w:spacing w:line="400" w:lineRule="exact"/>
        <w:ind w:firstLine="420"/>
        <w:textAlignment w:val="auto"/>
        <w:rPr>
          <w:rFonts w:hint="eastAsia" w:hAnsi="宋体" w:cs="宋体"/>
          <w:bCs/>
          <w:color w:val="auto"/>
          <w:highlight w:val="none"/>
        </w:rPr>
      </w:pPr>
      <w:r>
        <w:rPr>
          <w:rFonts w:hint="eastAsia" w:hAnsi="宋体" w:cs="宋体"/>
          <w:bCs/>
          <w:color w:val="auto"/>
          <w:highlight w:val="none"/>
        </w:rPr>
        <w:t>质疑答复导致中标结果改变的，采购人或者采购代理机构应当将有关情况书面报告本级财政部门。</w:t>
      </w:r>
    </w:p>
    <w:p w14:paraId="10B88192">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F23577E">
      <w:pPr>
        <w:pStyle w:val="4"/>
        <w:keepNext w:val="0"/>
        <w:keepLines w:val="0"/>
        <w:pageBreakBefore w:val="0"/>
        <w:widowControl w:val="0"/>
        <w:kinsoku/>
        <w:wordWrap/>
        <w:overflowPunct/>
        <w:topLinePunct w:val="0"/>
        <w:autoSpaceDE/>
        <w:autoSpaceDN/>
        <w:bidi w:val="0"/>
        <w:spacing w:before="240" w:after="240" w:line="400" w:lineRule="exact"/>
        <w:jc w:val="center"/>
        <w:textAlignment w:val="auto"/>
        <w:rPr>
          <w:rFonts w:hint="eastAsia" w:ascii="宋体" w:hAnsi="宋体" w:cs="宋体"/>
          <w:color w:val="auto"/>
          <w:highlight w:val="none"/>
        </w:rPr>
      </w:pPr>
      <w:bookmarkStart w:id="160" w:name="_八、其他事项"/>
      <w:bookmarkEnd w:id="160"/>
      <w:bookmarkStart w:id="161" w:name="_Toc17072"/>
      <w:bookmarkStart w:id="162" w:name="_Toc24956"/>
      <w:r>
        <w:rPr>
          <w:rFonts w:hint="eastAsia" w:ascii="宋体" w:hAnsi="宋体" w:cs="宋体"/>
          <w:color w:val="auto"/>
          <w:highlight w:val="none"/>
        </w:rPr>
        <w:t>八、其他事项</w:t>
      </w:r>
      <w:bookmarkEnd w:id="161"/>
      <w:bookmarkEnd w:id="162"/>
    </w:p>
    <w:p w14:paraId="026748E5">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63" w:name="_42.代理服务费"/>
      <w:bookmarkEnd w:id="163"/>
      <w:r>
        <w:rPr>
          <w:rFonts w:hint="eastAsia" w:ascii="宋体" w:hAnsi="宋体" w:cs="宋体"/>
          <w:b/>
          <w:color w:val="auto"/>
          <w:sz w:val="24"/>
          <w:highlight w:val="none"/>
        </w:rPr>
        <w:t>39.代理服务费</w:t>
      </w:r>
    </w:p>
    <w:p w14:paraId="50060917">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39.1代理服务费收取标准参照国家发展计划委员会《招标代理服务费管理暂行办法》（计价格</w:t>
      </w:r>
      <w:r>
        <w:rPr>
          <w:rFonts w:hint="eastAsia" w:hAnsi="宋体" w:cs="宋体"/>
          <w:color w:val="auto"/>
          <w:highlight w:val="none"/>
          <w:lang w:eastAsia="zh-CN"/>
        </w:rPr>
        <w:t>〔2002〕1980号</w:t>
      </w:r>
      <w:r>
        <w:rPr>
          <w:rFonts w:hint="eastAsia" w:hAnsi="宋体" w:cs="宋体"/>
          <w:color w:val="auto"/>
          <w:highlight w:val="none"/>
        </w:rPr>
        <w:t>、《国家发展改革委关于降低部分建设项目收费标准规范收费行为等有关问题的通知》（发改价格</w:t>
      </w:r>
      <w:r>
        <w:rPr>
          <w:rFonts w:hint="eastAsia" w:hAnsi="宋体" w:cs="宋体"/>
          <w:color w:val="auto"/>
          <w:highlight w:val="none"/>
          <w:lang w:eastAsia="zh-CN"/>
        </w:rPr>
        <w:t>〔2011〕534号</w:t>
      </w:r>
      <w:r>
        <w:rPr>
          <w:rFonts w:hint="eastAsia" w:hAnsi="宋体" w:cs="宋体"/>
          <w:color w:val="auto"/>
          <w:highlight w:val="none"/>
        </w:rPr>
        <w:t>）收费标准（服务类）下浮20%向供应商收取，供应商为联合体的，可以由联合体中的一方或者多方共同交纳代理服务费。代理服务费缴费账户详见“投标人须知前附表”。</w:t>
      </w:r>
    </w:p>
    <w:p w14:paraId="30AC7468">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代理服务费收取标准附表：</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97"/>
        <w:gridCol w:w="1719"/>
        <w:gridCol w:w="1747"/>
        <w:gridCol w:w="1453"/>
      </w:tblGrid>
      <w:tr w14:paraId="6053D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tcBorders>
              <w:tl2br w:val="single" w:color="auto" w:sz="4" w:space="0"/>
            </w:tcBorders>
            <w:noWrap w:val="0"/>
            <w:vAlign w:val="center"/>
          </w:tcPr>
          <w:p w14:paraId="6B6FF0A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费率</w:t>
            </w:r>
          </w:p>
          <w:p w14:paraId="319B9DC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中标金额</w:t>
            </w:r>
          </w:p>
        </w:tc>
        <w:tc>
          <w:tcPr>
            <w:tcW w:w="1009" w:type="pct"/>
            <w:noWrap w:val="0"/>
            <w:vAlign w:val="center"/>
          </w:tcPr>
          <w:p w14:paraId="13A69782">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货物招标</w:t>
            </w:r>
          </w:p>
        </w:tc>
        <w:tc>
          <w:tcPr>
            <w:tcW w:w="1026" w:type="pct"/>
            <w:noWrap w:val="0"/>
            <w:vAlign w:val="center"/>
          </w:tcPr>
          <w:p w14:paraId="1028C3F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服务招标</w:t>
            </w:r>
          </w:p>
        </w:tc>
        <w:tc>
          <w:tcPr>
            <w:tcW w:w="853" w:type="pct"/>
            <w:noWrap w:val="0"/>
            <w:vAlign w:val="center"/>
          </w:tcPr>
          <w:p w14:paraId="5A9469F8">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工程招标</w:t>
            </w:r>
          </w:p>
        </w:tc>
      </w:tr>
      <w:tr w14:paraId="56CD9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5E53780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009" w:type="pct"/>
            <w:noWrap w:val="0"/>
            <w:vAlign w:val="center"/>
          </w:tcPr>
          <w:p w14:paraId="513190D6">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026" w:type="pct"/>
            <w:noWrap w:val="0"/>
            <w:vAlign w:val="center"/>
          </w:tcPr>
          <w:p w14:paraId="2A2535CF">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853" w:type="pct"/>
            <w:noWrap w:val="0"/>
            <w:vAlign w:val="center"/>
          </w:tcPr>
          <w:p w14:paraId="6A75C4A0">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1.0%</w:t>
            </w:r>
          </w:p>
        </w:tc>
      </w:tr>
      <w:tr w14:paraId="47106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1FD792B9">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100万元～500万元</w:t>
            </w:r>
          </w:p>
        </w:tc>
        <w:tc>
          <w:tcPr>
            <w:tcW w:w="1009" w:type="pct"/>
            <w:noWrap w:val="0"/>
            <w:vAlign w:val="center"/>
          </w:tcPr>
          <w:p w14:paraId="1733362D">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1.1%</w:t>
            </w:r>
          </w:p>
        </w:tc>
        <w:tc>
          <w:tcPr>
            <w:tcW w:w="1026" w:type="pct"/>
            <w:noWrap w:val="0"/>
            <w:vAlign w:val="center"/>
          </w:tcPr>
          <w:p w14:paraId="3579F88A">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853" w:type="pct"/>
            <w:noWrap w:val="0"/>
            <w:vAlign w:val="center"/>
          </w:tcPr>
          <w:p w14:paraId="41D464E6">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0.7%</w:t>
            </w:r>
          </w:p>
        </w:tc>
      </w:tr>
      <w:tr w14:paraId="2115F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59E5D83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500万元～1000万元</w:t>
            </w:r>
          </w:p>
        </w:tc>
        <w:tc>
          <w:tcPr>
            <w:tcW w:w="1009" w:type="pct"/>
            <w:noWrap w:val="0"/>
            <w:vAlign w:val="center"/>
          </w:tcPr>
          <w:p w14:paraId="43E9B59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026" w:type="pct"/>
            <w:noWrap w:val="0"/>
            <w:vAlign w:val="center"/>
          </w:tcPr>
          <w:p w14:paraId="2ECB2768">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0.45%</w:t>
            </w:r>
          </w:p>
        </w:tc>
        <w:tc>
          <w:tcPr>
            <w:tcW w:w="853" w:type="pct"/>
            <w:noWrap w:val="0"/>
            <w:vAlign w:val="center"/>
          </w:tcPr>
          <w:p w14:paraId="351A00EA">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0.55%</w:t>
            </w:r>
          </w:p>
        </w:tc>
      </w:tr>
      <w:tr w14:paraId="70DC3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363A717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1000万元～5000万元</w:t>
            </w:r>
          </w:p>
        </w:tc>
        <w:tc>
          <w:tcPr>
            <w:tcW w:w="1009" w:type="pct"/>
            <w:noWrap w:val="0"/>
            <w:vAlign w:val="center"/>
          </w:tcPr>
          <w:p w14:paraId="594BA980">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0.5%</w:t>
            </w:r>
          </w:p>
        </w:tc>
        <w:tc>
          <w:tcPr>
            <w:tcW w:w="1026" w:type="pct"/>
            <w:noWrap w:val="0"/>
            <w:vAlign w:val="center"/>
          </w:tcPr>
          <w:p w14:paraId="5121097B">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853" w:type="pct"/>
            <w:noWrap w:val="0"/>
            <w:vAlign w:val="center"/>
          </w:tcPr>
          <w:p w14:paraId="4429EE72">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0.35%</w:t>
            </w:r>
          </w:p>
        </w:tc>
      </w:tr>
      <w:tr w14:paraId="66D1B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155BDB9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009" w:type="pct"/>
            <w:noWrap w:val="0"/>
            <w:vAlign w:val="center"/>
          </w:tcPr>
          <w:p w14:paraId="319E5748">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026" w:type="pct"/>
            <w:noWrap w:val="0"/>
            <w:vAlign w:val="center"/>
          </w:tcPr>
          <w:p w14:paraId="787141ED">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0.1%</w:t>
            </w:r>
          </w:p>
        </w:tc>
        <w:tc>
          <w:tcPr>
            <w:tcW w:w="853" w:type="pct"/>
            <w:noWrap w:val="0"/>
            <w:vAlign w:val="center"/>
          </w:tcPr>
          <w:p w14:paraId="7616A003">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0.2%</w:t>
            </w:r>
          </w:p>
        </w:tc>
      </w:tr>
      <w:tr w14:paraId="1174B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302E4C9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1亿元～5亿元</w:t>
            </w:r>
          </w:p>
        </w:tc>
        <w:tc>
          <w:tcPr>
            <w:tcW w:w="1009" w:type="pct"/>
            <w:noWrap w:val="0"/>
            <w:vAlign w:val="center"/>
          </w:tcPr>
          <w:p w14:paraId="4C587DD9">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0.05%</w:t>
            </w:r>
          </w:p>
        </w:tc>
        <w:tc>
          <w:tcPr>
            <w:tcW w:w="1026" w:type="pct"/>
            <w:noWrap w:val="0"/>
            <w:vAlign w:val="center"/>
          </w:tcPr>
          <w:p w14:paraId="60F2176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0.05%</w:t>
            </w:r>
          </w:p>
        </w:tc>
        <w:tc>
          <w:tcPr>
            <w:tcW w:w="853" w:type="pct"/>
            <w:noWrap w:val="0"/>
            <w:vAlign w:val="center"/>
          </w:tcPr>
          <w:p w14:paraId="5ECEB1C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0.05%</w:t>
            </w:r>
          </w:p>
        </w:tc>
      </w:tr>
      <w:tr w14:paraId="6E9D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7B5AF4C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5亿元～10亿元</w:t>
            </w:r>
          </w:p>
        </w:tc>
        <w:tc>
          <w:tcPr>
            <w:tcW w:w="1009" w:type="pct"/>
            <w:noWrap w:val="0"/>
            <w:vAlign w:val="center"/>
          </w:tcPr>
          <w:p w14:paraId="4D260189">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026" w:type="pct"/>
            <w:noWrap w:val="0"/>
            <w:vAlign w:val="center"/>
          </w:tcPr>
          <w:p w14:paraId="62903CCE">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0.035%</w:t>
            </w:r>
          </w:p>
        </w:tc>
        <w:tc>
          <w:tcPr>
            <w:tcW w:w="853" w:type="pct"/>
            <w:noWrap w:val="0"/>
            <w:vAlign w:val="center"/>
          </w:tcPr>
          <w:p w14:paraId="52F84897">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0.035%</w:t>
            </w:r>
          </w:p>
        </w:tc>
      </w:tr>
      <w:tr w14:paraId="7385C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74DF673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10亿元～50亿元</w:t>
            </w:r>
          </w:p>
        </w:tc>
        <w:tc>
          <w:tcPr>
            <w:tcW w:w="1009" w:type="pct"/>
            <w:noWrap w:val="0"/>
            <w:vAlign w:val="center"/>
          </w:tcPr>
          <w:p w14:paraId="003D54E3">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026" w:type="pct"/>
            <w:noWrap w:val="0"/>
            <w:vAlign w:val="center"/>
          </w:tcPr>
          <w:p w14:paraId="401A9F33">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0.008%</w:t>
            </w:r>
          </w:p>
        </w:tc>
        <w:tc>
          <w:tcPr>
            <w:tcW w:w="853" w:type="pct"/>
            <w:noWrap w:val="0"/>
            <w:vAlign w:val="center"/>
          </w:tcPr>
          <w:p w14:paraId="15D8687C">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0.008%</w:t>
            </w:r>
          </w:p>
        </w:tc>
      </w:tr>
      <w:tr w14:paraId="4B005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38FFF558">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50亿元～100亿元</w:t>
            </w:r>
          </w:p>
        </w:tc>
        <w:tc>
          <w:tcPr>
            <w:tcW w:w="1009" w:type="pct"/>
            <w:noWrap w:val="0"/>
            <w:vAlign w:val="center"/>
          </w:tcPr>
          <w:p w14:paraId="3DB50A1E">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026" w:type="pct"/>
            <w:noWrap w:val="0"/>
            <w:vAlign w:val="center"/>
          </w:tcPr>
          <w:p w14:paraId="56678987">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0.006%</w:t>
            </w:r>
          </w:p>
        </w:tc>
        <w:tc>
          <w:tcPr>
            <w:tcW w:w="853" w:type="pct"/>
            <w:noWrap w:val="0"/>
            <w:vAlign w:val="center"/>
          </w:tcPr>
          <w:p w14:paraId="15EBBC8D">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0.006%</w:t>
            </w:r>
          </w:p>
        </w:tc>
      </w:tr>
      <w:tr w14:paraId="4407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35C8434C">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100</w:t>
            </w:r>
            <w:r>
              <w:rPr>
                <w:rFonts w:hint="eastAsia" w:ascii="宋体" w:hAnsi="宋体" w:cs="宋体"/>
                <w:color w:val="auto"/>
                <w:szCs w:val="21"/>
                <w:highlight w:val="none"/>
                <w:lang w:eastAsia="zh-CN"/>
              </w:rPr>
              <w:t>亿元</w:t>
            </w:r>
            <w:r>
              <w:rPr>
                <w:rFonts w:hint="eastAsia" w:ascii="宋体" w:hAnsi="宋体" w:cs="宋体"/>
                <w:color w:val="auto"/>
                <w:szCs w:val="21"/>
                <w:highlight w:val="none"/>
              </w:rPr>
              <w:t>以上</w:t>
            </w:r>
          </w:p>
        </w:tc>
        <w:tc>
          <w:tcPr>
            <w:tcW w:w="1009" w:type="pct"/>
            <w:noWrap w:val="0"/>
            <w:vAlign w:val="center"/>
          </w:tcPr>
          <w:p w14:paraId="111D711C">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026" w:type="pct"/>
            <w:noWrap w:val="0"/>
            <w:vAlign w:val="center"/>
          </w:tcPr>
          <w:p w14:paraId="0EEF8809">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0.004%</w:t>
            </w:r>
          </w:p>
        </w:tc>
        <w:tc>
          <w:tcPr>
            <w:tcW w:w="853" w:type="pct"/>
            <w:noWrap w:val="0"/>
            <w:vAlign w:val="center"/>
          </w:tcPr>
          <w:p w14:paraId="1D5AEA00">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0.004%</w:t>
            </w:r>
          </w:p>
        </w:tc>
      </w:tr>
    </w:tbl>
    <w:p w14:paraId="1DD1B5F8">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注：</w:t>
      </w:r>
    </w:p>
    <w:p w14:paraId="66ECC0B5">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（1）按本表费率计算的收费为采购代理的收费基准价格；</w:t>
      </w:r>
    </w:p>
    <w:p w14:paraId="5DE9CCB5">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（2）采购代理收费按差额定率累进法计算。</w:t>
      </w:r>
    </w:p>
    <w:p w14:paraId="75A421DD">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例如：某服务采购代理业务中标金额或者暂定价为200万元，计算采购代理收费额如下：</w:t>
      </w:r>
    </w:p>
    <w:p w14:paraId="21285568">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100 万元×l.5 %＝ 1.5 万元</w:t>
      </w:r>
    </w:p>
    <w:p w14:paraId="6146F0D8">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（200－100）万元 ×0.8%＝0.8万元</w:t>
      </w:r>
    </w:p>
    <w:p w14:paraId="4235F91D">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合计收费＝ 1.5+0.8＝ 2.3（万元）</w:t>
      </w:r>
    </w:p>
    <w:p w14:paraId="0D7D0E2B">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40. 需要补充的其他内容</w:t>
      </w:r>
    </w:p>
    <w:p w14:paraId="3F136D1D">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40.1本招标文件解释规则详见“投标人须知前附表”。</w:t>
      </w:r>
    </w:p>
    <w:p w14:paraId="1B95F360">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40.2 其他事项详见“投标人须知前附表”。</w:t>
      </w:r>
    </w:p>
    <w:p w14:paraId="513A7D3F">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5B293E89">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（1）在货物采购项目中，货物由中小企业制造，即货物由中小企业生产且使用该中小企业商号或者注册商标，不对其中涉及的工程承建商和服务的承接商作出要求；</w:t>
      </w:r>
    </w:p>
    <w:p w14:paraId="0FB3140A">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（2）在工程采购项目中，工程由中小企业承建，即工程施工单位为中小企业，不对其中涉及的货物的制造商和服务的承接商作出要求；</w:t>
      </w:r>
    </w:p>
    <w:p w14:paraId="4C2DF794">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2050DC3C">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216FFDA4">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Ansi="宋体" w:cs="宋体"/>
          <w:color w:val="auto"/>
          <w:highlight w:val="none"/>
        </w:rPr>
      </w:pPr>
      <w:r>
        <w:rPr>
          <w:rFonts w:hint="eastAsia" w:hAnsi="宋体" w:cs="宋体"/>
          <w:color w:val="auto"/>
          <w:highlight w:val="none"/>
        </w:rPr>
        <w:t>依据本招标文件规定享受扶持政策获得政府采购合同的，小微企业不得将合同分包给大中型企业，中型企业不得将合同分包给大型企业。</w:t>
      </w:r>
    </w:p>
    <w:p w14:paraId="1B4D4D5B">
      <w:pPr>
        <w:pStyle w:val="15"/>
        <w:spacing w:line="360" w:lineRule="auto"/>
        <w:rPr>
          <w:rFonts w:hint="eastAsia" w:ascii="宋体" w:hAnsi="宋体" w:cs="宋体"/>
          <w:color w:val="auto"/>
          <w:highlight w:val="none"/>
        </w:rPr>
      </w:pPr>
      <w:r>
        <w:rPr>
          <w:color w:val="auto"/>
          <w:highlight w:val="none"/>
        </w:rPr>
        <w:br w:type="page"/>
      </w:r>
      <w:r>
        <w:rPr>
          <w:rFonts w:hint="eastAsia" w:ascii="宋体" w:hAnsi="宋体" w:cs="宋体"/>
          <w:b/>
          <w:bCs/>
          <w:color w:val="auto"/>
          <w:sz w:val="36"/>
          <w:szCs w:val="36"/>
          <w:highlight w:val="none"/>
        </w:rPr>
        <w:t>附件1：</w:t>
      </w:r>
    </w:p>
    <w:p w14:paraId="53F04E0A">
      <w:pPr>
        <w:widowControl/>
        <w:shd w:val="clear" w:color="auto" w:fill="FFFFFF"/>
        <w:spacing w:line="360" w:lineRule="auto"/>
        <w:jc w:val="center"/>
        <w:rPr>
          <w:rFonts w:hint="eastAsia" w:ascii="宋体" w:hAnsi="宋体" w:cs="宋体"/>
          <w:color w:val="auto"/>
          <w:kern w:val="0"/>
          <w:sz w:val="44"/>
          <w:szCs w:val="44"/>
          <w:highlight w:val="none"/>
        </w:rPr>
      </w:pPr>
      <w:r>
        <w:rPr>
          <w:rFonts w:hint="eastAsia" w:ascii="宋体" w:hAnsi="宋体" w:cs="宋体"/>
          <w:color w:val="auto"/>
          <w:kern w:val="0"/>
          <w:sz w:val="44"/>
          <w:szCs w:val="44"/>
          <w:highlight w:val="none"/>
        </w:rPr>
        <w:t>广西壮族自治区政府采购项目合同验收书</w:t>
      </w:r>
    </w:p>
    <w:p w14:paraId="59EE01AA">
      <w:pPr>
        <w:keepNext w:val="0"/>
        <w:keepLines w:val="0"/>
        <w:pageBreakBefore w:val="0"/>
        <w:widowControl/>
        <w:shd w:val="clear" w:color="auto" w:fill="FFFFFF"/>
        <w:kinsoku/>
        <w:wordWrap/>
        <w:overflowPunct/>
        <w:topLinePunct w:val="0"/>
        <w:autoSpaceDE/>
        <w:autoSpaceDN/>
        <w:bidi w:val="0"/>
        <w:adjustRightInd/>
        <w:spacing w:line="400" w:lineRule="exact"/>
        <w:jc w:val="center"/>
        <w:textAlignment w:val="auto"/>
        <w:rPr>
          <w:rFonts w:hint="eastAsia" w:ascii="宋体" w:hAnsi="宋体" w:cs="宋体"/>
          <w:color w:val="auto"/>
          <w:kern w:val="0"/>
          <w:sz w:val="32"/>
          <w:szCs w:val="32"/>
          <w:highlight w:val="none"/>
        </w:rPr>
      </w:pPr>
      <w:r>
        <w:rPr>
          <w:rFonts w:hint="eastAsia" w:ascii="宋体" w:hAnsi="宋体" w:cs="宋体"/>
          <w:color w:val="auto"/>
          <w:kern w:val="0"/>
          <w:sz w:val="32"/>
          <w:szCs w:val="32"/>
          <w:highlight w:val="none"/>
        </w:rPr>
        <w:t>（格式）</w:t>
      </w:r>
    </w:p>
    <w:p w14:paraId="41B83D51">
      <w:pPr>
        <w:keepNext w:val="0"/>
        <w:keepLines w:val="0"/>
        <w:pageBreakBefore w:val="0"/>
        <w:widowControl/>
        <w:shd w:val="clear" w:color="auto" w:fill="FFFFFF"/>
        <w:kinsoku/>
        <w:wordWrap/>
        <w:overflowPunct/>
        <w:topLinePunct w:val="0"/>
        <w:autoSpaceDE/>
        <w:autoSpaceDN/>
        <w:bidi w:val="0"/>
        <w:adjustRightInd/>
        <w:snapToGrid w:val="0"/>
        <w:spacing w:line="400" w:lineRule="exact"/>
        <w:ind w:firstLine="480"/>
        <w:jc w:val="left"/>
        <w:textAlignment w:val="auto"/>
        <w:rPr>
          <w:rFonts w:hint="eastAsia" w:ascii="宋体" w:hAnsi="宋体" w:cs="宋体"/>
          <w:color w:val="auto"/>
          <w:kern w:val="0"/>
          <w:szCs w:val="21"/>
          <w:highlight w:val="none"/>
        </w:rPr>
      </w:pPr>
      <w:r>
        <w:rPr>
          <w:rFonts w:hint="eastAsia" w:ascii="宋体" w:hAnsi="宋体" w:cs="宋体"/>
          <w:color w:val="auto"/>
          <w:kern w:val="0"/>
          <w:highlight w:val="none"/>
        </w:rPr>
        <w:t>根据政府采购项目（</w:t>
      </w:r>
      <w:r>
        <w:rPr>
          <w:rFonts w:hint="eastAsia" w:ascii="宋体" w:hAnsi="宋体" w:cs="宋体"/>
          <w:color w:val="auto"/>
          <w:kern w:val="0"/>
          <w:highlight w:val="none"/>
          <w:u w:val="single"/>
        </w:rPr>
        <w:t>采购合同编号：</w:t>
      </w:r>
      <w:r>
        <w:rPr>
          <w:rFonts w:hint="eastAsia" w:ascii="宋体" w:hAnsi="宋体" w:cs="宋体"/>
          <w:color w:val="auto"/>
          <w:kern w:val="0"/>
          <w:highlight w:val="none"/>
          <w:u w:val="single"/>
        </w:rPr>
        <w:softHyphen/>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）的约定，我单位对（</w:t>
      </w:r>
      <w:r>
        <w:rPr>
          <w:rFonts w:hint="eastAsia" w:ascii="宋体" w:hAnsi="宋体" w:cs="宋体"/>
          <w:color w:val="auto"/>
          <w:kern w:val="0"/>
          <w:highlight w:val="none"/>
          <w:u w:val="single"/>
        </w:rPr>
        <w:t xml:space="preserve"> 项目名称 </w:t>
      </w:r>
      <w:r>
        <w:rPr>
          <w:rFonts w:hint="eastAsia" w:ascii="宋体" w:hAnsi="宋体" w:cs="宋体"/>
          <w:color w:val="auto"/>
          <w:kern w:val="0"/>
          <w:highlight w:val="none"/>
        </w:rPr>
        <w:t>） 政府采购项目中标（或成交）供应商（</w:t>
      </w:r>
      <w:r>
        <w:rPr>
          <w:rFonts w:hint="eastAsia" w:ascii="宋体" w:hAnsi="宋体" w:cs="宋体"/>
          <w:color w:val="auto"/>
          <w:kern w:val="0"/>
          <w:highlight w:val="none"/>
          <w:u w:val="single"/>
        </w:rPr>
        <w:t xml:space="preserve"> 公司名称 </w:t>
      </w:r>
      <w:r>
        <w:rPr>
          <w:rFonts w:hint="eastAsia" w:ascii="宋体" w:hAnsi="宋体" w:cs="宋体"/>
          <w:color w:val="auto"/>
          <w:kern w:val="0"/>
          <w:highlight w:val="none"/>
        </w:rPr>
        <w:t>） 提供的货物（或工程、服务）进行了验收，验收情况如下：</w:t>
      </w:r>
    </w:p>
    <w:tbl>
      <w:tblPr>
        <w:tblStyle w:val="39"/>
        <w:tblW w:w="9371" w:type="dxa"/>
        <w:jc w:val="center"/>
        <w:tblLayout w:type="fixed"/>
        <w:tblCellMar>
          <w:top w:w="0" w:type="dxa"/>
          <w:left w:w="0" w:type="dxa"/>
          <w:bottom w:w="0" w:type="dxa"/>
          <w:right w:w="0" w:type="dxa"/>
        </w:tblCellMar>
      </w:tblPr>
      <w:tblGrid>
        <w:gridCol w:w="1486"/>
        <w:gridCol w:w="1766"/>
        <w:gridCol w:w="798"/>
        <w:gridCol w:w="102"/>
        <w:gridCol w:w="2002"/>
        <w:gridCol w:w="178"/>
        <w:gridCol w:w="685"/>
        <w:gridCol w:w="2354"/>
      </w:tblGrid>
      <w:tr w14:paraId="0EBF677E">
        <w:trPr>
          <w:trHeight w:val="382" w:hRule="atLeast"/>
          <w:jc w:val="center"/>
        </w:trPr>
        <w:tc>
          <w:tcPr>
            <w:tcW w:w="3252" w:type="dxa"/>
            <w:gridSpan w:val="2"/>
            <w:tcBorders>
              <w:top w:val="single" w:color="auto" w:sz="8" w:space="0"/>
              <w:left w:val="single" w:color="auto" w:sz="8" w:space="0"/>
              <w:bottom w:val="single" w:color="auto" w:sz="8" w:space="0"/>
              <w:right w:val="single" w:color="auto" w:sz="8" w:space="0"/>
            </w:tcBorders>
            <w:noWrap w:val="0"/>
            <w:vAlign w:val="center"/>
          </w:tcPr>
          <w:p w14:paraId="2180DD84">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5"/>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验收方式：</w:t>
            </w:r>
          </w:p>
        </w:tc>
        <w:tc>
          <w:tcPr>
            <w:tcW w:w="6119" w:type="dxa"/>
            <w:gridSpan w:val="6"/>
            <w:tcBorders>
              <w:top w:val="single" w:color="auto" w:sz="8" w:space="0"/>
              <w:left w:val="nil"/>
              <w:bottom w:val="single" w:color="auto" w:sz="8" w:space="0"/>
              <w:right w:val="single" w:color="auto" w:sz="8" w:space="0"/>
            </w:tcBorders>
            <w:noWrap w:val="0"/>
            <w:vAlign w:val="center"/>
          </w:tcPr>
          <w:p w14:paraId="5195BE9D">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480"/>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□自行验收 □委托验收</w:t>
            </w:r>
          </w:p>
        </w:tc>
      </w:tr>
      <w:tr w14:paraId="79D2F7B1">
        <w:tblPrEx>
          <w:tblCellMar>
            <w:top w:w="0" w:type="dxa"/>
            <w:left w:w="0" w:type="dxa"/>
            <w:bottom w:w="0" w:type="dxa"/>
            <w:right w:w="0" w:type="dxa"/>
          </w:tblCellMar>
        </w:tblPrEx>
        <w:trPr>
          <w:trHeight w:val="622" w:hRule="atLeast"/>
          <w:jc w:val="center"/>
        </w:trPr>
        <w:tc>
          <w:tcPr>
            <w:tcW w:w="1486" w:type="dxa"/>
            <w:tcBorders>
              <w:top w:val="nil"/>
              <w:left w:val="single" w:color="auto" w:sz="8" w:space="0"/>
              <w:bottom w:val="single" w:color="auto" w:sz="8" w:space="0"/>
              <w:right w:val="single" w:color="auto" w:sz="8" w:space="0"/>
            </w:tcBorders>
            <w:noWrap w:val="0"/>
            <w:vAlign w:val="center"/>
          </w:tcPr>
          <w:p w14:paraId="2A3BD353">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序号</w:t>
            </w:r>
          </w:p>
        </w:tc>
        <w:tc>
          <w:tcPr>
            <w:tcW w:w="1766" w:type="dxa"/>
            <w:tcBorders>
              <w:top w:val="nil"/>
              <w:left w:val="nil"/>
              <w:bottom w:val="single" w:color="auto" w:sz="8" w:space="0"/>
              <w:right w:val="single" w:color="auto" w:sz="8" w:space="0"/>
            </w:tcBorders>
            <w:noWrap w:val="0"/>
            <w:vAlign w:val="center"/>
          </w:tcPr>
          <w:p w14:paraId="475AC654">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名 称</w:t>
            </w:r>
          </w:p>
        </w:tc>
        <w:tc>
          <w:tcPr>
            <w:tcW w:w="2902" w:type="dxa"/>
            <w:gridSpan w:val="3"/>
            <w:tcBorders>
              <w:top w:val="nil"/>
              <w:left w:val="nil"/>
              <w:bottom w:val="single" w:color="auto" w:sz="8" w:space="0"/>
              <w:right w:val="single" w:color="auto" w:sz="8" w:space="0"/>
            </w:tcBorders>
            <w:noWrap w:val="0"/>
            <w:vAlign w:val="center"/>
          </w:tcPr>
          <w:p w14:paraId="3DBB097B">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货物型号规格、标准及配置等（或服务内容、标准）</w:t>
            </w:r>
          </w:p>
        </w:tc>
        <w:tc>
          <w:tcPr>
            <w:tcW w:w="863" w:type="dxa"/>
            <w:gridSpan w:val="2"/>
            <w:tcBorders>
              <w:top w:val="nil"/>
              <w:left w:val="nil"/>
              <w:bottom w:val="single" w:color="auto" w:sz="8" w:space="0"/>
              <w:right w:val="single" w:color="auto" w:sz="8" w:space="0"/>
            </w:tcBorders>
            <w:noWrap w:val="0"/>
            <w:vAlign w:val="center"/>
          </w:tcPr>
          <w:p w14:paraId="46F5919F">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数量</w:t>
            </w:r>
          </w:p>
        </w:tc>
        <w:tc>
          <w:tcPr>
            <w:tcW w:w="2354" w:type="dxa"/>
            <w:tcBorders>
              <w:top w:val="nil"/>
              <w:left w:val="nil"/>
              <w:bottom w:val="single" w:color="auto" w:sz="8" w:space="0"/>
              <w:right w:val="single" w:color="auto" w:sz="8" w:space="0"/>
            </w:tcBorders>
            <w:noWrap w:val="0"/>
            <w:vAlign w:val="center"/>
          </w:tcPr>
          <w:p w14:paraId="2551A08B">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金 额</w:t>
            </w:r>
          </w:p>
        </w:tc>
      </w:tr>
      <w:tr w14:paraId="50B21BFD">
        <w:tblPrEx>
          <w:tblCellMar>
            <w:top w:w="0" w:type="dxa"/>
            <w:left w:w="0" w:type="dxa"/>
            <w:bottom w:w="0" w:type="dxa"/>
            <w:right w:w="0" w:type="dxa"/>
          </w:tblCellMar>
        </w:tblPrEx>
        <w:trPr>
          <w:trHeight w:val="487" w:hRule="atLeast"/>
          <w:jc w:val="center"/>
        </w:trPr>
        <w:tc>
          <w:tcPr>
            <w:tcW w:w="1486" w:type="dxa"/>
            <w:tcBorders>
              <w:top w:val="nil"/>
              <w:left w:val="single" w:color="auto" w:sz="8" w:space="0"/>
              <w:bottom w:val="single" w:color="auto" w:sz="8" w:space="0"/>
              <w:right w:val="single" w:color="auto" w:sz="8" w:space="0"/>
            </w:tcBorders>
            <w:noWrap w:val="0"/>
            <w:vAlign w:val="center"/>
          </w:tcPr>
          <w:p w14:paraId="3932C114">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1766" w:type="dxa"/>
            <w:tcBorders>
              <w:top w:val="nil"/>
              <w:left w:val="nil"/>
              <w:bottom w:val="single" w:color="auto" w:sz="8" w:space="0"/>
              <w:right w:val="single" w:color="auto" w:sz="8" w:space="0"/>
            </w:tcBorders>
            <w:noWrap w:val="0"/>
            <w:vAlign w:val="center"/>
          </w:tcPr>
          <w:p w14:paraId="4E14AD6A">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902" w:type="dxa"/>
            <w:gridSpan w:val="3"/>
            <w:tcBorders>
              <w:top w:val="nil"/>
              <w:left w:val="nil"/>
              <w:bottom w:val="single" w:color="auto" w:sz="8" w:space="0"/>
              <w:right w:val="single" w:color="auto" w:sz="8" w:space="0"/>
            </w:tcBorders>
            <w:noWrap w:val="0"/>
            <w:vAlign w:val="center"/>
          </w:tcPr>
          <w:p w14:paraId="6CC37A94">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863" w:type="dxa"/>
            <w:gridSpan w:val="2"/>
            <w:tcBorders>
              <w:top w:val="nil"/>
              <w:left w:val="nil"/>
              <w:bottom w:val="single" w:color="auto" w:sz="8" w:space="0"/>
              <w:right w:val="single" w:color="auto" w:sz="8" w:space="0"/>
            </w:tcBorders>
            <w:noWrap w:val="0"/>
            <w:vAlign w:val="center"/>
          </w:tcPr>
          <w:p w14:paraId="72055570">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354" w:type="dxa"/>
            <w:tcBorders>
              <w:top w:val="nil"/>
              <w:left w:val="nil"/>
              <w:bottom w:val="single" w:color="auto" w:sz="8" w:space="0"/>
              <w:right w:val="single" w:color="auto" w:sz="8" w:space="0"/>
            </w:tcBorders>
            <w:noWrap w:val="0"/>
            <w:vAlign w:val="center"/>
          </w:tcPr>
          <w:p w14:paraId="67880EB7">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r>
      <w:tr w14:paraId="081EC4A1">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noWrap w:val="0"/>
            <w:vAlign w:val="center"/>
          </w:tcPr>
          <w:p w14:paraId="4DC951D3">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5"/>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合 计</w:t>
            </w:r>
          </w:p>
        </w:tc>
        <w:tc>
          <w:tcPr>
            <w:tcW w:w="863" w:type="dxa"/>
            <w:gridSpan w:val="2"/>
            <w:tcBorders>
              <w:top w:val="nil"/>
              <w:left w:val="nil"/>
              <w:bottom w:val="single" w:color="auto" w:sz="8" w:space="0"/>
              <w:right w:val="single" w:color="auto" w:sz="8" w:space="0"/>
            </w:tcBorders>
            <w:noWrap w:val="0"/>
            <w:vAlign w:val="center"/>
          </w:tcPr>
          <w:p w14:paraId="61E1A940">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354" w:type="dxa"/>
            <w:tcBorders>
              <w:top w:val="nil"/>
              <w:left w:val="nil"/>
              <w:bottom w:val="single" w:color="auto" w:sz="8" w:space="0"/>
              <w:right w:val="single" w:color="auto" w:sz="8" w:space="0"/>
            </w:tcBorders>
            <w:noWrap w:val="0"/>
            <w:vAlign w:val="center"/>
          </w:tcPr>
          <w:p w14:paraId="39A0B1C7">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r>
      <w:tr w14:paraId="10C2CCE6">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noWrap w:val="0"/>
            <w:vAlign w:val="center"/>
          </w:tcPr>
          <w:p w14:paraId="409A679A">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合计大写金额： 仟 佰 拾 万 仟 佰 拾 元</w:t>
            </w:r>
          </w:p>
        </w:tc>
      </w:tr>
      <w:tr w14:paraId="3CD9D9DE">
        <w:tblPrEx>
          <w:tblCellMar>
            <w:top w:w="0" w:type="dxa"/>
            <w:left w:w="0" w:type="dxa"/>
            <w:bottom w:w="0" w:type="dxa"/>
            <w:right w:w="0" w:type="dxa"/>
          </w:tblCellMar>
        </w:tblPrEx>
        <w:trPr>
          <w:trHeight w:val="491" w:hRule="atLeast"/>
          <w:jc w:val="center"/>
        </w:trPr>
        <w:tc>
          <w:tcPr>
            <w:tcW w:w="1486" w:type="dxa"/>
            <w:tcBorders>
              <w:top w:val="nil"/>
              <w:left w:val="single" w:color="auto" w:sz="8" w:space="0"/>
              <w:bottom w:val="single" w:color="auto" w:sz="8" w:space="0"/>
              <w:right w:val="single" w:color="auto" w:sz="8" w:space="0"/>
            </w:tcBorders>
            <w:noWrap w:val="0"/>
            <w:vAlign w:val="center"/>
          </w:tcPr>
          <w:p w14:paraId="5C401F30">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实际供货日期</w:t>
            </w:r>
          </w:p>
        </w:tc>
        <w:tc>
          <w:tcPr>
            <w:tcW w:w="2564" w:type="dxa"/>
            <w:gridSpan w:val="2"/>
            <w:tcBorders>
              <w:top w:val="nil"/>
              <w:left w:val="nil"/>
              <w:bottom w:val="single" w:color="auto" w:sz="8" w:space="0"/>
              <w:right w:val="single" w:color="auto" w:sz="8" w:space="0"/>
            </w:tcBorders>
            <w:noWrap w:val="0"/>
            <w:vAlign w:val="center"/>
          </w:tcPr>
          <w:p w14:paraId="0404594C">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282" w:type="dxa"/>
            <w:gridSpan w:val="3"/>
            <w:tcBorders>
              <w:top w:val="nil"/>
              <w:left w:val="nil"/>
              <w:bottom w:val="single" w:color="auto" w:sz="8" w:space="0"/>
              <w:right w:val="single" w:color="auto" w:sz="8" w:space="0"/>
            </w:tcBorders>
            <w:noWrap w:val="0"/>
            <w:vAlign w:val="center"/>
          </w:tcPr>
          <w:p w14:paraId="01E25BC9">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46"/>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合同交货验收日期</w:t>
            </w:r>
          </w:p>
        </w:tc>
        <w:tc>
          <w:tcPr>
            <w:tcW w:w="3039" w:type="dxa"/>
            <w:gridSpan w:val="2"/>
            <w:tcBorders>
              <w:top w:val="nil"/>
              <w:left w:val="nil"/>
              <w:bottom w:val="single" w:color="auto" w:sz="8" w:space="0"/>
              <w:right w:val="single" w:color="auto" w:sz="8" w:space="0"/>
            </w:tcBorders>
            <w:noWrap w:val="0"/>
            <w:vAlign w:val="center"/>
          </w:tcPr>
          <w:p w14:paraId="7D16C172">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r>
      <w:tr w14:paraId="0EFD93F8">
        <w:tblPrEx>
          <w:tblCellMar>
            <w:top w:w="0" w:type="dxa"/>
            <w:left w:w="0" w:type="dxa"/>
            <w:bottom w:w="0" w:type="dxa"/>
            <w:right w:w="0" w:type="dxa"/>
          </w:tblCellMar>
        </w:tblPrEx>
        <w:trPr>
          <w:trHeight w:val="394" w:hRule="atLeast"/>
          <w:jc w:val="center"/>
        </w:trPr>
        <w:tc>
          <w:tcPr>
            <w:tcW w:w="1486" w:type="dxa"/>
            <w:tcBorders>
              <w:top w:val="nil"/>
              <w:left w:val="single" w:color="auto" w:sz="8" w:space="0"/>
              <w:bottom w:val="single" w:color="auto" w:sz="8" w:space="0"/>
              <w:right w:val="single" w:color="auto" w:sz="8" w:space="0"/>
            </w:tcBorders>
            <w:noWrap w:val="0"/>
            <w:vAlign w:val="center"/>
          </w:tcPr>
          <w:p w14:paraId="60BBDC80">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564" w:type="dxa"/>
            <w:gridSpan w:val="2"/>
            <w:tcBorders>
              <w:top w:val="nil"/>
              <w:left w:val="nil"/>
              <w:bottom w:val="single" w:color="auto" w:sz="8" w:space="0"/>
              <w:right w:val="single" w:color="auto" w:sz="8" w:space="0"/>
            </w:tcBorders>
            <w:noWrap w:val="0"/>
            <w:vAlign w:val="center"/>
          </w:tcPr>
          <w:p w14:paraId="6CA5EA26">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282" w:type="dxa"/>
            <w:gridSpan w:val="3"/>
            <w:tcBorders>
              <w:top w:val="nil"/>
              <w:left w:val="nil"/>
              <w:bottom w:val="single" w:color="auto" w:sz="8" w:space="0"/>
              <w:right w:val="single" w:color="auto" w:sz="8" w:space="0"/>
            </w:tcBorders>
            <w:noWrap w:val="0"/>
            <w:vAlign w:val="center"/>
          </w:tcPr>
          <w:p w14:paraId="20F00B5D">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3039" w:type="dxa"/>
            <w:gridSpan w:val="2"/>
            <w:tcBorders>
              <w:top w:val="nil"/>
              <w:left w:val="nil"/>
              <w:bottom w:val="single" w:color="auto" w:sz="8" w:space="0"/>
              <w:right w:val="single" w:color="auto" w:sz="8" w:space="0"/>
            </w:tcBorders>
            <w:noWrap w:val="0"/>
            <w:vAlign w:val="center"/>
          </w:tcPr>
          <w:p w14:paraId="0A29AA0A">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r>
      <w:tr w14:paraId="4A94BFD6">
        <w:tblPrEx>
          <w:tblCellMar>
            <w:top w:w="0" w:type="dxa"/>
            <w:left w:w="0" w:type="dxa"/>
            <w:bottom w:w="0" w:type="dxa"/>
            <w:right w:w="0" w:type="dxa"/>
          </w:tblCellMar>
        </w:tblPrEx>
        <w:trPr>
          <w:trHeight w:val="693" w:hRule="atLeast"/>
          <w:jc w:val="center"/>
        </w:trPr>
        <w:tc>
          <w:tcPr>
            <w:tcW w:w="148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5D925ED">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验收具体内容</w:t>
            </w:r>
          </w:p>
        </w:tc>
        <w:tc>
          <w:tcPr>
            <w:tcW w:w="7885"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FD4786D">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应按采购合同、采购文件、投标响应文件及验收方案等进行验收；并核对中标或者中标人在安装调试等方面是否违反合同约定或服务规范要求、提供的质量保证证明材料是否齐全、应有的配件及附件是否达到合同约定等。</w:t>
            </w:r>
            <w:r>
              <w:rPr>
                <w:rFonts w:hint="eastAsia" w:ascii="宋体" w:hAnsi="宋体" w:cs="宋体"/>
                <w:color w:val="auto"/>
                <w:kern w:val="0"/>
                <w:highlight w:val="none"/>
                <w:lang w:eastAsia="zh-CN"/>
              </w:rPr>
              <w:t>见附件</w:t>
            </w:r>
            <w:r>
              <w:rPr>
                <w:rFonts w:hint="eastAsia" w:ascii="宋体" w:hAnsi="宋体" w:cs="宋体"/>
                <w:color w:val="auto"/>
                <w:kern w:val="0"/>
                <w:highlight w:val="none"/>
              </w:rPr>
              <w:t>）</w:t>
            </w:r>
          </w:p>
        </w:tc>
      </w:tr>
      <w:tr w14:paraId="6F30E160">
        <w:tblPrEx>
          <w:tblCellMar>
            <w:top w:w="0" w:type="dxa"/>
            <w:left w:w="0" w:type="dxa"/>
            <w:bottom w:w="0" w:type="dxa"/>
            <w:right w:w="0" w:type="dxa"/>
          </w:tblCellMar>
        </w:tblPrEx>
        <w:trPr>
          <w:trHeight w:val="510" w:hRule="atLeast"/>
          <w:jc w:val="center"/>
        </w:trPr>
        <w:tc>
          <w:tcPr>
            <w:tcW w:w="1486"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B838845">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验收小组意见</w:t>
            </w:r>
          </w:p>
        </w:tc>
        <w:tc>
          <w:tcPr>
            <w:tcW w:w="7885" w:type="dxa"/>
            <w:gridSpan w:val="7"/>
            <w:tcBorders>
              <w:top w:val="nil"/>
              <w:left w:val="nil"/>
              <w:bottom w:val="single" w:color="auto" w:sz="8" w:space="0"/>
              <w:right w:val="single" w:color="auto" w:sz="8" w:space="0"/>
            </w:tcBorders>
            <w:noWrap w:val="0"/>
            <w:vAlign w:val="center"/>
          </w:tcPr>
          <w:p w14:paraId="0209C451">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验收结论性意见：</w:t>
            </w:r>
          </w:p>
        </w:tc>
      </w:tr>
      <w:tr w14:paraId="71773C7B">
        <w:tblPrEx>
          <w:tblCellMar>
            <w:top w:w="0" w:type="dxa"/>
            <w:left w:w="0" w:type="dxa"/>
            <w:bottom w:w="0" w:type="dxa"/>
            <w:right w:w="0" w:type="dxa"/>
          </w:tblCellMar>
        </w:tblPrEx>
        <w:trPr>
          <w:trHeight w:val="424" w:hRule="atLeast"/>
          <w:jc w:val="center"/>
        </w:trPr>
        <w:tc>
          <w:tcPr>
            <w:tcW w:w="1486" w:type="dxa"/>
            <w:vMerge w:val="continue"/>
            <w:tcBorders>
              <w:top w:val="nil"/>
              <w:left w:val="single" w:color="auto" w:sz="8" w:space="0"/>
              <w:bottom w:val="single" w:color="auto" w:sz="8" w:space="0"/>
              <w:right w:val="single" w:color="auto" w:sz="8" w:space="0"/>
            </w:tcBorders>
            <w:noWrap w:val="0"/>
            <w:vAlign w:val="center"/>
          </w:tcPr>
          <w:p w14:paraId="2FE6ED2D">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cs="宋体"/>
                <w:color w:val="auto"/>
                <w:kern w:val="0"/>
                <w:szCs w:val="21"/>
                <w:highlight w:val="none"/>
              </w:rPr>
            </w:pPr>
          </w:p>
        </w:tc>
        <w:tc>
          <w:tcPr>
            <w:tcW w:w="7885" w:type="dxa"/>
            <w:gridSpan w:val="7"/>
            <w:tcBorders>
              <w:top w:val="nil"/>
              <w:left w:val="nil"/>
              <w:bottom w:val="single" w:color="auto" w:sz="8" w:space="0"/>
              <w:right w:val="single" w:color="auto" w:sz="8" w:space="0"/>
            </w:tcBorders>
            <w:noWrap w:val="0"/>
            <w:vAlign w:val="center"/>
          </w:tcPr>
          <w:p w14:paraId="3A905AC1">
            <w:pPr>
              <w:keepNext w:val="0"/>
              <w:keepLines w:val="0"/>
              <w:pageBreakBefore w:val="0"/>
              <w:widowControl/>
              <w:kinsoku/>
              <w:wordWrap/>
              <w:overflowPunct/>
              <w:topLinePunct w:val="0"/>
              <w:autoSpaceDE/>
              <w:autoSpaceDN/>
              <w:bidi w:val="0"/>
              <w:adjustRightInd/>
              <w:spacing w:before="100" w:beforeAutospacing="1" w:after="100" w:afterAutospacing="1" w:line="400" w:lineRule="exact"/>
              <w:ind w:firstLine="96"/>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有异议的意见和说明理由：</w:t>
            </w:r>
          </w:p>
          <w:p w14:paraId="24CACED8">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签字：</w:t>
            </w:r>
          </w:p>
        </w:tc>
      </w:tr>
      <w:tr w14:paraId="26B4DD36">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ABEDF1C">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验收小组成员签字：</w:t>
            </w:r>
          </w:p>
        </w:tc>
      </w:tr>
      <w:tr w14:paraId="722C491F">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C8F670C">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监督人员或其他相关人员签字：</w:t>
            </w:r>
          </w:p>
          <w:p w14:paraId="1E28DC26">
            <w:pPr>
              <w:keepNext w:val="0"/>
              <w:keepLines w:val="0"/>
              <w:pageBreakBefore w:val="0"/>
              <w:widowControl/>
              <w:kinsoku/>
              <w:wordWrap/>
              <w:overflowPunct/>
              <w:topLinePunct w:val="0"/>
              <w:autoSpaceDE/>
              <w:autoSpaceDN/>
              <w:bidi w:val="0"/>
              <w:adjustRightInd/>
              <w:spacing w:before="100" w:beforeAutospacing="1" w:after="100" w:afterAutospacing="1" w:line="400" w:lineRule="exact"/>
              <w:ind w:firstLine="74"/>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或受邀机构的意见（盖章）：</w:t>
            </w:r>
          </w:p>
        </w:tc>
      </w:tr>
      <w:tr w14:paraId="20D56931">
        <w:tblPrEx>
          <w:tblCellMar>
            <w:top w:w="0" w:type="dxa"/>
            <w:left w:w="0" w:type="dxa"/>
            <w:bottom w:w="0" w:type="dxa"/>
            <w:right w:w="0" w:type="dxa"/>
          </w:tblCellMar>
        </w:tblPrEx>
        <w:trPr>
          <w:trHeight w:val="986" w:hRule="atLeast"/>
          <w:jc w:val="center"/>
        </w:trPr>
        <w:tc>
          <w:tcPr>
            <w:tcW w:w="4152" w:type="dxa"/>
            <w:gridSpan w:val="4"/>
            <w:tcBorders>
              <w:top w:val="nil"/>
              <w:left w:val="single" w:color="auto" w:sz="8" w:space="0"/>
              <w:bottom w:val="single" w:color="auto" w:sz="8" w:space="0"/>
              <w:right w:val="nil"/>
            </w:tcBorders>
            <w:noWrap w:val="0"/>
            <w:tcMar>
              <w:top w:w="0" w:type="dxa"/>
              <w:left w:w="108" w:type="dxa"/>
              <w:bottom w:w="0" w:type="dxa"/>
              <w:right w:w="108" w:type="dxa"/>
            </w:tcMar>
            <w:vAlign w:val="center"/>
          </w:tcPr>
          <w:p w14:paraId="6F3E4DC8">
            <w:pPr>
              <w:keepNext w:val="0"/>
              <w:keepLines w:val="0"/>
              <w:pageBreakBefore w:val="0"/>
              <w:widowControl/>
              <w:kinsoku/>
              <w:wordWrap/>
              <w:overflowPunct/>
              <w:topLinePunct w:val="0"/>
              <w:autoSpaceDE/>
              <w:autoSpaceDN/>
              <w:bidi w:val="0"/>
              <w:adjustRightInd/>
              <w:spacing w:before="100" w:beforeAutospacing="1" w:after="100" w:afterAutospacing="1" w:line="400" w:lineRule="exact"/>
              <w:ind w:firstLine="74"/>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 xml:space="preserve">中标或者成交供应商负责人签字或盖章：      </w:t>
            </w:r>
          </w:p>
          <w:p w14:paraId="2EA3B95F">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联系电话： 年 月 日</w:t>
            </w:r>
          </w:p>
        </w:tc>
        <w:tc>
          <w:tcPr>
            <w:tcW w:w="5219" w:type="dxa"/>
            <w:gridSpan w:val="4"/>
            <w:tcBorders>
              <w:top w:val="nil"/>
              <w:left w:val="nil"/>
              <w:bottom w:val="single" w:color="auto" w:sz="8" w:space="0"/>
              <w:right w:val="single" w:color="auto" w:sz="8" w:space="0"/>
            </w:tcBorders>
            <w:noWrap w:val="0"/>
            <w:vAlign w:val="center"/>
          </w:tcPr>
          <w:p w14:paraId="27D5AA30">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采购人或受托机构的意见（盖章）：</w:t>
            </w:r>
          </w:p>
          <w:p w14:paraId="70A19508">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联系电话： 年 月 日</w:t>
            </w:r>
          </w:p>
        </w:tc>
      </w:tr>
    </w:tbl>
    <w:p w14:paraId="1AA677DC">
      <w:pPr>
        <w:pStyle w:val="20"/>
        <w:snapToGrid w:val="0"/>
        <w:spacing w:before="120" w:after="120"/>
        <w:rPr>
          <w:rFonts w:hint="eastAsia" w:hAnsi="宋体" w:cs="宋体"/>
          <w:color w:val="auto"/>
          <w:highlight w:val="none"/>
        </w:rPr>
      </w:pPr>
    </w:p>
    <w:p w14:paraId="636F6F11">
      <w:pPr>
        <w:spacing w:line="360" w:lineRule="auto"/>
        <w:jc w:val="left"/>
        <w:rPr>
          <w:rFonts w:hint="eastAsia" w:ascii="宋体" w:hAnsi="宋体" w:cs="宋体"/>
          <w:color w:val="auto"/>
          <w:sz w:val="18"/>
          <w:szCs w:val="18"/>
          <w:highlight w:val="none"/>
        </w:rPr>
      </w:pPr>
      <w:r>
        <w:rPr>
          <w:rFonts w:hint="eastAsia" w:ascii="宋体" w:hAnsi="宋体" w:cs="宋体"/>
          <w:color w:val="auto"/>
          <w:highlight w:val="none"/>
        </w:rPr>
        <w:br w:type="page"/>
      </w:r>
      <w:r>
        <w:rPr>
          <w:rFonts w:hint="eastAsia" w:ascii="宋体" w:hAnsi="宋体" w:cs="宋体"/>
          <w:b/>
          <w:bCs/>
          <w:color w:val="auto"/>
          <w:sz w:val="28"/>
          <w:szCs w:val="36"/>
          <w:highlight w:val="none"/>
        </w:rPr>
        <w:t>附件2：</w:t>
      </w:r>
    </w:p>
    <w:p w14:paraId="38F90EA5">
      <w:pPr>
        <w:widowControl/>
        <w:shd w:val="clear" w:color="auto" w:fill="FFFFFF"/>
        <w:spacing w:line="360" w:lineRule="auto"/>
        <w:jc w:val="center"/>
        <w:rPr>
          <w:rFonts w:hint="eastAsia" w:ascii="宋体" w:hAnsi="宋体" w:cs="宋体"/>
          <w:color w:val="auto"/>
          <w:kern w:val="0"/>
          <w:sz w:val="44"/>
          <w:szCs w:val="44"/>
          <w:highlight w:val="none"/>
        </w:rPr>
      </w:pPr>
      <w:r>
        <w:rPr>
          <w:rFonts w:hint="eastAsia" w:ascii="宋体" w:hAnsi="宋体" w:cs="宋体"/>
          <w:color w:val="auto"/>
          <w:kern w:val="0"/>
          <w:sz w:val="44"/>
          <w:szCs w:val="44"/>
          <w:highlight w:val="none"/>
        </w:rPr>
        <w:t>政府采购项目履约保证金退付意见书（参考）</w:t>
      </w:r>
    </w:p>
    <w:tbl>
      <w:tblPr>
        <w:tblStyle w:val="39"/>
        <w:tblW w:w="86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610"/>
      </w:tblGrid>
      <w:tr w14:paraId="28B7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486147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供</w:t>
            </w:r>
          </w:p>
          <w:p w14:paraId="0298F6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应</w:t>
            </w:r>
          </w:p>
          <w:p w14:paraId="1141DA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商</w:t>
            </w:r>
          </w:p>
          <w:p w14:paraId="6EFCE9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申</w:t>
            </w:r>
          </w:p>
          <w:p w14:paraId="734672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请</w:t>
            </w:r>
          </w:p>
        </w:tc>
        <w:tc>
          <w:tcPr>
            <w:tcW w:w="7610" w:type="dxa"/>
            <w:noWrap w:val="0"/>
            <w:vAlign w:val="center"/>
          </w:tcPr>
          <w:p w14:paraId="46B02CC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项目编号：</w:t>
            </w:r>
          </w:p>
        </w:tc>
      </w:tr>
      <w:tr w14:paraId="3005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58E14C8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tc>
        <w:tc>
          <w:tcPr>
            <w:tcW w:w="7610" w:type="dxa"/>
            <w:noWrap w:val="0"/>
            <w:vAlign w:val="center"/>
          </w:tcPr>
          <w:p w14:paraId="3980B0F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项目名称：</w:t>
            </w:r>
          </w:p>
        </w:tc>
      </w:tr>
      <w:tr w14:paraId="49304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10FDAE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tc>
        <w:tc>
          <w:tcPr>
            <w:tcW w:w="7610" w:type="dxa"/>
            <w:noWrap w:val="0"/>
            <w:vAlign w:val="top"/>
          </w:tcPr>
          <w:p w14:paraId="5AF3761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5EC8B8C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该项目已于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日验收并交付使用。根据合同规定，该项目的履约保证金期限于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日已满，请将履约保证金</w:t>
            </w:r>
          </w:p>
          <w:p w14:paraId="32AB91C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（小写）退付到达以下账户。</w:t>
            </w:r>
          </w:p>
          <w:p w14:paraId="27E62500">
            <w:pPr>
              <w:keepNext w:val="0"/>
              <w:keepLines w:val="0"/>
              <w:pageBreakBefore w:val="0"/>
              <w:widowControl w:val="0"/>
              <w:kinsoku/>
              <w:wordWrap/>
              <w:overflowPunct/>
              <w:topLinePunct w:val="0"/>
              <w:autoSpaceDE/>
              <w:autoSpaceDN/>
              <w:bidi w:val="0"/>
              <w:adjustRightInd/>
              <w:snapToGrid/>
              <w:spacing w:line="400" w:lineRule="exact"/>
              <w:ind w:firstLine="705"/>
              <w:textAlignment w:val="auto"/>
              <w:rPr>
                <w:rFonts w:hint="eastAsia" w:ascii="宋体" w:hAnsi="宋体" w:cs="宋体"/>
                <w:color w:val="auto"/>
                <w:sz w:val="24"/>
                <w:highlight w:val="none"/>
              </w:rPr>
            </w:pPr>
            <w:r>
              <w:rPr>
                <w:rFonts w:hint="eastAsia" w:ascii="宋体" w:hAnsi="宋体" w:cs="宋体"/>
                <w:color w:val="auto"/>
                <w:sz w:val="24"/>
                <w:highlight w:val="none"/>
              </w:rPr>
              <w:t>单位名称：</w:t>
            </w:r>
          </w:p>
          <w:p w14:paraId="68A5D2A9">
            <w:pPr>
              <w:keepNext w:val="0"/>
              <w:keepLines w:val="0"/>
              <w:pageBreakBefore w:val="0"/>
              <w:widowControl w:val="0"/>
              <w:kinsoku/>
              <w:wordWrap/>
              <w:overflowPunct/>
              <w:topLinePunct w:val="0"/>
              <w:autoSpaceDE/>
              <w:autoSpaceDN/>
              <w:bidi w:val="0"/>
              <w:adjustRightInd/>
              <w:snapToGrid/>
              <w:spacing w:line="400" w:lineRule="exact"/>
              <w:ind w:firstLine="705"/>
              <w:textAlignment w:val="auto"/>
              <w:rPr>
                <w:rFonts w:hint="eastAsia" w:ascii="宋体" w:hAnsi="宋体" w:cs="宋体"/>
                <w:color w:val="auto"/>
                <w:sz w:val="24"/>
                <w:highlight w:val="none"/>
              </w:rPr>
            </w:pPr>
            <w:r>
              <w:rPr>
                <w:rFonts w:hint="eastAsia" w:ascii="宋体" w:hAnsi="宋体" w:cs="宋体"/>
                <w:color w:val="auto"/>
                <w:sz w:val="24"/>
                <w:highlight w:val="none"/>
              </w:rPr>
              <w:t>开户银行：</w:t>
            </w:r>
          </w:p>
          <w:p w14:paraId="4B1957B7">
            <w:pPr>
              <w:keepNext w:val="0"/>
              <w:keepLines w:val="0"/>
              <w:pageBreakBefore w:val="0"/>
              <w:widowControl w:val="0"/>
              <w:kinsoku/>
              <w:wordWrap/>
              <w:overflowPunct/>
              <w:topLinePunct w:val="0"/>
              <w:autoSpaceDE/>
              <w:autoSpaceDN/>
              <w:bidi w:val="0"/>
              <w:adjustRightInd/>
              <w:snapToGrid/>
              <w:spacing w:line="400" w:lineRule="exact"/>
              <w:ind w:firstLine="705"/>
              <w:textAlignment w:val="auto"/>
              <w:rPr>
                <w:rFonts w:hint="eastAsia" w:ascii="宋体" w:hAnsi="宋体" w:cs="宋体"/>
                <w:color w:val="auto"/>
                <w:sz w:val="24"/>
                <w:highlight w:val="none"/>
              </w:rPr>
            </w:pPr>
            <w:r>
              <w:rPr>
                <w:rFonts w:hint="eastAsia" w:ascii="宋体" w:hAnsi="宋体" w:cs="宋体"/>
                <w:color w:val="auto"/>
                <w:sz w:val="24"/>
                <w:highlight w:val="none"/>
              </w:rPr>
              <w:t>账   号：</w:t>
            </w:r>
          </w:p>
          <w:p w14:paraId="4034D7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联系人及电话：</w:t>
            </w:r>
          </w:p>
          <w:p w14:paraId="02880DC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129E58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投标人签章：</w:t>
            </w:r>
          </w:p>
          <w:p w14:paraId="510DCF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tc>
      </w:tr>
      <w:tr w14:paraId="48DF5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noWrap w:val="0"/>
            <w:vAlign w:val="center"/>
          </w:tcPr>
          <w:p w14:paraId="063AC8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采</w:t>
            </w:r>
          </w:p>
          <w:p w14:paraId="0BF9DC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购</w:t>
            </w:r>
          </w:p>
          <w:p w14:paraId="2991B6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人</w:t>
            </w:r>
          </w:p>
          <w:p w14:paraId="198AC1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意</w:t>
            </w:r>
          </w:p>
          <w:p w14:paraId="1FBF86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见</w:t>
            </w:r>
          </w:p>
        </w:tc>
        <w:tc>
          <w:tcPr>
            <w:tcW w:w="7610" w:type="dxa"/>
            <w:noWrap w:val="0"/>
            <w:vAlign w:val="top"/>
          </w:tcPr>
          <w:p w14:paraId="450E30A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6FB7839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退付意见：（是否同意退付履约保证金及退付金额）</w:t>
            </w:r>
          </w:p>
          <w:p w14:paraId="2BDEB2D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5866A76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4B17532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3E93F9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4EB08BE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联系人及电话：                         采购人签章</w:t>
            </w:r>
          </w:p>
          <w:p w14:paraId="357882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tc>
      </w:tr>
      <w:tr w14:paraId="3B666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noWrap w:val="0"/>
            <w:vAlign w:val="center"/>
          </w:tcPr>
          <w:p w14:paraId="2FD65A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备注</w:t>
            </w:r>
          </w:p>
        </w:tc>
        <w:tc>
          <w:tcPr>
            <w:tcW w:w="7610" w:type="dxa"/>
            <w:noWrap w:val="0"/>
            <w:vAlign w:val="top"/>
          </w:tcPr>
          <w:p w14:paraId="300D2B1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tc>
      </w:tr>
    </w:tbl>
    <w:p w14:paraId="6022E321">
      <w:pPr>
        <w:pStyle w:val="15"/>
        <w:keepNext w:val="0"/>
        <w:keepLines w:val="0"/>
        <w:pageBreakBefore w:val="0"/>
        <w:widowControl w:val="0"/>
        <w:kinsoku/>
        <w:wordWrap/>
        <w:overflowPunct/>
        <w:topLinePunct w:val="0"/>
        <w:autoSpaceDE/>
        <w:autoSpaceDN/>
        <w:bidi w:val="0"/>
        <w:adjustRightInd/>
        <w:snapToGrid/>
        <w:spacing w:line="400" w:lineRule="exact"/>
        <w:ind w:left="450" w:leftChars="114" w:hanging="211" w:hangingChars="1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注：投标人凭经采购人审批的退付意见书到保证金收取单位办理履约保证金退付事宜。</w:t>
      </w:r>
    </w:p>
    <w:p w14:paraId="11C67D56">
      <w:pPr>
        <w:pStyle w:val="20"/>
        <w:snapToGrid w:val="0"/>
        <w:spacing w:before="120" w:after="120"/>
        <w:rPr>
          <w:rFonts w:hint="eastAsia" w:hAnsi="宋体" w:cs="宋体"/>
          <w:color w:val="auto"/>
          <w:highlight w:val="none"/>
        </w:rPr>
      </w:pPr>
    </w:p>
    <w:p w14:paraId="0669FA16">
      <w:pPr>
        <w:pStyle w:val="2"/>
        <w:spacing w:before="0" w:after="0" w:line="360" w:lineRule="auto"/>
        <w:jc w:val="center"/>
        <w:rPr>
          <w:rFonts w:hint="eastAsia" w:ascii="宋体" w:hAnsi="宋体" w:cs="宋体"/>
          <w:color w:val="auto"/>
          <w:highlight w:val="none"/>
        </w:rPr>
      </w:pPr>
      <w:bookmarkStart w:id="164" w:name="_Toc254970689"/>
      <w:bookmarkStart w:id="165" w:name="_Toc15433"/>
      <w:bookmarkStart w:id="166" w:name="_Toc254970548"/>
      <w:bookmarkStart w:id="167" w:name="_Toc27431"/>
      <w:bookmarkStart w:id="168" w:name="_Toc330456896"/>
      <w:bookmarkStart w:id="169" w:name="_Toc2178"/>
      <w:r>
        <w:rPr>
          <w:rFonts w:hint="eastAsia" w:ascii="宋体" w:hAnsi="宋体" w:cs="宋体"/>
          <w:color w:val="auto"/>
          <w:highlight w:val="none"/>
        </w:rPr>
        <w:t>第四章  评标方法及评标标准</w:t>
      </w:r>
      <w:bookmarkEnd w:id="164"/>
      <w:bookmarkEnd w:id="165"/>
      <w:bookmarkEnd w:id="166"/>
      <w:bookmarkEnd w:id="167"/>
      <w:bookmarkEnd w:id="168"/>
      <w:bookmarkEnd w:id="169"/>
    </w:p>
    <w:p w14:paraId="1F9E2691">
      <w:pPr>
        <w:pStyle w:val="3"/>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bookmarkStart w:id="170" w:name="_Toc22273"/>
      <w:bookmarkStart w:id="171" w:name="_Toc23781"/>
      <w:r>
        <w:rPr>
          <w:rFonts w:hint="eastAsia" w:ascii="宋体" w:hAnsi="宋体" w:eastAsia="宋体" w:cs="宋体"/>
          <w:color w:val="auto"/>
          <w:highlight w:val="none"/>
        </w:rPr>
        <w:t>一、评标方法</w:t>
      </w:r>
      <w:bookmarkEnd w:id="170"/>
      <w:bookmarkEnd w:id="171"/>
    </w:p>
    <w:p w14:paraId="77D56828">
      <w:pPr>
        <w:pStyle w:val="20"/>
        <w:pageBreakBefore w:val="0"/>
        <w:kinsoku/>
        <w:wordWrap/>
        <w:overflowPunct/>
        <w:topLinePunct w:val="0"/>
        <w:autoSpaceDE/>
        <w:autoSpaceDN/>
        <w:bidi w:val="0"/>
        <w:spacing w:line="400" w:lineRule="exact"/>
        <w:ind w:firstLine="420"/>
        <w:textAlignment w:val="auto"/>
        <w:rPr>
          <w:rFonts w:hint="eastAsia" w:hAnsi="宋体" w:cs="宋体"/>
          <w:color w:val="auto"/>
          <w:highlight w:val="none"/>
        </w:rPr>
      </w:pPr>
      <w:r>
        <w:rPr>
          <w:rFonts w:hint="eastAsia" w:hAnsi="宋体" w:cs="宋体"/>
          <w:color w:val="auto"/>
          <w:highlight w:val="none"/>
        </w:rPr>
        <w:t>综合评分法，是指投标文件满足招标文件全部实质性要求，且按照评审因素的量化指标评审得分最高的投标人为中标候选人的评标方法。</w:t>
      </w:r>
    </w:p>
    <w:p w14:paraId="103A8F4B">
      <w:pPr>
        <w:pStyle w:val="3"/>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bookmarkStart w:id="172" w:name="_Toc3353"/>
      <w:bookmarkStart w:id="173" w:name="_Toc29445"/>
      <w:r>
        <w:rPr>
          <w:rFonts w:hint="eastAsia" w:ascii="宋体" w:hAnsi="宋体" w:eastAsia="宋体" w:cs="宋体"/>
          <w:color w:val="auto"/>
          <w:highlight w:val="none"/>
        </w:rPr>
        <w:t>二、评标程序</w:t>
      </w:r>
      <w:bookmarkEnd w:id="172"/>
      <w:bookmarkEnd w:id="173"/>
    </w:p>
    <w:p w14:paraId="66EA3618">
      <w:pPr>
        <w:pStyle w:val="20"/>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1.符合性审查</w:t>
      </w:r>
    </w:p>
    <w:p w14:paraId="3F0C1BBC">
      <w:pPr>
        <w:pStyle w:val="20"/>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评标委员会应当对符合资格的投标人的投标文件进行投标报价、商务、技术等实质性内容符合性审查，以确定其是否满足招标文件的实质性要求。</w:t>
      </w:r>
    </w:p>
    <w:p w14:paraId="4462629E">
      <w:pPr>
        <w:pStyle w:val="20"/>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2.符合性审查不通过而导致投标无效的情形</w:t>
      </w:r>
    </w:p>
    <w:p w14:paraId="59D6591C">
      <w:pPr>
        <w:pageBreakBefore w:val="0"/>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投标人的投标文件中存在对招标文件的任何实质性要求和条件的负偏离，将被视为投标无效。</w:t>
      </w:r>
    </w:p>
    <w:p w14:paraId="21FA3C08">
      <w:pPr>
        <w:pStyle w:val="20"/>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2.1在报价评审时，如发现下列情形之一的，将被视为投标无效：</w:t>
      </w:r>
    </w:p>
    <w:p w14:paraId="089A2FF0">
      <w:pPr>
        <w:pStyle w:val="9"/>
        <w:pageBreakBefore w:val="0"/>
        <w:numPr>
          <w:ilvl w:val="0"/>
          <w:numId w:val="1"/>
        </w:numPr>
        <w:kinsoku/>
        <w:wordWrap/>
        <w:overflowPunct/>
        <w:topLinePunct w:val="0"/>
        <w:autoSpaceDE/>
        <w:autoSpaceDN/>
        <w:bidi w:val="0"/>
        <w:spacing w:line="400" w:lineRule="exact"/>
        <w:ind w:firstLine="398" w:firstLineChars="200"/>
        <w:textAlignment w:val="auto"/>
        <w:rPr>
          <w:rFonts w:hint="eastAsia" w:ascii="宋体" w:hAnsi="宋体" w:cs="宋体"/>
          <w:b/>
          <w:color w:val="auto"/>
          <w:spacing w:val="-6"/>
          <w:szCs w:val="21"/>
          <w:highlight w:val="none"/>
        </w:rPr>
      </w:pPr>
      <w:r>
        <w:rPr>
          <w:rFonts w:hint="eastAsia" w:ascii="宋体" w:hAnsi="宋体" w:cs="宋体"/>
          <w:b/>
          <w:color w:val="auto"/>
          <w:spacing w:val="-6"/>
          <w:szCs w:val="21"/>
          <w:highlight w:val="none"/>
        </w:rPr>
        <w:t>报价文件未提供“投标人须知前附表”第13条</w:t>
      </w:r>
      <w:r>
        <w:rPr>
          <w:rFonts w:hint="eastAsia" w:ascii="宋体" w:hAnsi="宋体" w:cs="宋体"/>
          <w:b/>
          <w:color w:val="auto"/>
          <w:szCs w:val="21"/>
          <w:highlight w:val="none"/>
        </w:rPr>
        <w:t>“报价文件”</w:t>
      </w:r>
      <w:r>
        <w:rPr>
          <w:rFonts w:hint="eastAsia" w:ascii="宋体" w:hAnsi="宋体" w:cs="宋体"/>
          <w:b/>
          <w:color w:val="auto"/>
          <w:spacing w:val="-6"/>
          <w:szCs w:val="21"/>
          <w:highlight w:val="none"/>
        </w:rPr>
        <w:t>规定中“必须提供”的文件资料的；</w:t>
      </w:r>
    </w:p>
    <w:p w14:paraId="35B546A4">
      <w:pPr>
        <w:pStyle w:val="9"/>
        <w:pageBreakBefore w:val="0"/>
        <w:numPr>
          <w:ilvl w:val="0"/>
          <w:numId w:val="1"/>
        </w:numPr>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未采用人民币报价或者未按照招标文件标明的币种报价的；</w:t>
      </w:r>
    </w:p>
    <w:p w14:paraId="0FE94B22">
      <w:pPr>
        <w:pStyle w:val="9"/>
        <w:pageBreakBefore w:val="0"/>
        <w:numPr>
          <w:ilvl w:val="0"/>
          <w:numId w:val="1"/>
        </w:numPr>
        <w:kinsoku/>
        <w:wordWrap/>
        <w:overflowPunct/>
        <w:topLinePunct w:val="0"/>
        <w:autoSpaceDE/>
        <w:autoSpaceDN/>
        <w:bidi w:val="0"/>
        <w:spacing w:line="400" w:lineRule="exact"/>
        <w:ind w:firstLine="422"/>
        <w:textAlignment w:val="auto"/>
        <w:rPr>
          <w:rFonts w:hint="eastAsia" w:ascii="宋体" w:hAnsi="宋体" w:cs="宋体"/>
          <w:b/>
          <w:color w:val="auto"/>
          <w:spacing w:val="-6"/>
          <w:szCs w:val="21"/>
          <w:highlight w:val="none"/>
        </w:rPr>
      </w:pPr>
      <w:r>
        <w:rPr>
          <w:rFonts w:hint="eastAsia" w:ascii="宋体" w:hAnsi="宋体" w:cs="宋体"/>
          <w:b/>
          <w:color w:val="auto"/>
          <w:spacing w:val="-6"/>
          <w:szCs w:val="21"/>
          <w:highlight w:val="none"/>
        </w:rPr>
        <w:t>各分标报价超出招标文件相应分标规定最高限价，或者超出相应分标采购预算金额的；</w:t>
      </w:r>
    </w:p>
    <w:p w14:paraId="5A537695">
      <w:pPr>
        <w:pStyle w:val="9"/>
        <w:pageBreakBefore w:val="0"/>
        <w:numPr>
          <w:ilvl w:val="0"/>
          <w:numId w:val="1"/>
        </w:numPr>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2CEF46B4">
      <w:pPr>
        <w:pStyle w:val="9"/>
        <w:pageBreakBefore w:val="0"/>
        <w:numPr>
          <w:ilvl w:val="0"/>
          <w:numId w:val="1"/>
        </w:numPr>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修正后的报价，投标人不确认的；</w:t>
      </w:r>
    </w:p>
    <w:p w14:paraId="49375A9A">
      <w:pPr>
        <w:pStyle w:val="9"/>
        <w:pageBreakBefore w:val="0"/>
        <w:numPr>
          <w:ilvl w:val="0"/>
          <w:numId w:val="1"/>
        </w:numPr>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投标人属于本章第5.1条（2）项情形的。</w:t>
      </w:r>
    </w:p>
    <w:p w14:paraId="7F2AAE4A">
      <w:pPr>
        <w:pStyle w:val="9"/>
        <w:pageBreakBefore w:val="0"/>
        <w:numPr>
          <w:ilvl w:val="0"/>
          <w:numId w:val="1"/>
        </w:numPr>
        <w:kinsoku/>
        <w:wordWrap/>
        <w:overflowPunct/>
        <w:topLinePunct w:val="0"/>
        <w:autoSpaceDE/>
        <w:autoSpaceDN/>
        <w:bidi w:val="0"/>
        <w:spacing w:line="400" w:lineRule="exact"/>
        <w:ind w:firstLine="398" w:firstLineChars="200"/>
        <w:textAlignment w:val="auto"/>
        <w:rPr>
          <w:rFonts w:hint="eastAsia" w:ascii="宋体" w:hAnsi="宋体" w:cs="宋体"/>
          <w:b/>
          <w:color w:val="auto"/>
          <w:szCs w:val="21"/>
          <w:highlight w:val="none"/>
        </w:rPr>
      </w:pPr>
      <w:r>
        <w:rPr>
          <w:rFonts w:hint="eastAsia" w:ascii="宋体" w:hAnsi="宋体" w:cs="宋体"/>
          <w:b/>
          <w:color w:val="auto"/>
          <w:spacing w:val="-6"/>
          <w:szCs w:val="21"/>
          <w:highlight w:val="none"/>
        </w:rPr>
        <w:t>报价文件</w:t>
      </w:r>
      <w:r>
        <w:rPr>
          <w:rFonts w:hint="eastAsia" w:ascii="宋体" w:hAnsi="宋体" w:cs="宋体"/>
          <w:b/>
          <w:color w:val="auto"/>
          <w:szCs w:val="21"/>
          <w:highlight w:val="none"/>
        </w:rPr>
        <w:t>响应的标的数量及单位与招标文件要求实质性不一致的。</w:t>
      </w:r>
    </w:p>
    <w:p w14:paraId="0A7546A5">
      <w:pPr>
        <w:pageBreakBefore w:val="0"/>
        <w:kinsoku/>
        <w:wordWrap/>
        <w:overflowPunct/>
        <w:topLinePunct w:val="0"/>
        <w:autoSpaceDE/>
        <w:autoSpaceDN/>
        <w:bidi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2.2在商务评审时，如发现下列情形之一的，将被视为投标无效：</w:t>
      </w:r>
    </w:p>
    <w:p w14:paraId="49E04ED7">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投标文件未按招标文件要求签署、盖章的；</w:t>
      </w:r>
    </w:p>
    <w:p w14:paraId="04AAB232">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委托代理人未能出具有效身份证或者出具的身份证与授权委托书中的信息不符的； </w:t>
      </w:r>
    </w:p>
    <w:p w14:paraId="38F0152F">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为无效投标保证金的或者未按照招标文件的规定提交投标保证金的；</w:t>
      </w:r>
    </w:p>
    <w:p w14:paraId="153BD490">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投标文件未提供“投标人须知前附表”第13.1条规定中“必须提供”或者“委托时必须提供”的文件资料的；</w:t>
      </w:r>
    </w:p>
    <w:p w14:paraId="63804477">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商务要求评审允许负偏离的条款数超过“投标人须知前附表”规定项数的；</w:t>
      </w:r>
    </w:p>
    <w:p w14:paraId="57D248C0">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投标文件的实质性内容未使用中文表述、使用计量单位不符合招标文件要求的；</w:t>
      </w:r>
    </w:p>
    <w:p w14:paraId="1E28FCCC">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投标文件中的文件资料因填写不齐全或者内容虚假或者出现其他情形而导致被评标委员会认定无效的；</w:t>
      </w:r>
    </w:p>
    <w:p w14:paraId="7CE06BCE">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投标文件含有采购人不能接受的附加条件的；</w:t>
      </w:r>
    </w:p>
    <w:p w14:paraId="6D5B7E95">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属于投标人须知正文第9.2条情形的；</w:t>
      </w:r>
    </w:p>
    <w:p w14:paraId="31967728">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投标文件标注的项目名称或者项目编号与招标文件标注的项目名称或者项目编号不一致的；</w:t>
      </w:r>
    </w:p>
    <w:p w14:paraId="33625DD7">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招标文件明确不允许分包，投标文件拟分包的；</w:t>
      </w:r>
    </w:p>
    <w:p w14:paraId="324A154E">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未响应招标文件实质性要求的；</w:t>
      </w:r>
    </w:p>
    <w:p w14:paraId="1F789D12">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lang w:eastAsia="zh-CN"/>
        </w:rPr>
        <w:t>法律法规</w:t>
      </w:r>
      <w:r>
        <w:rPr>
          <w:rFonts w:hint="eastAsia" w:ascii="宋体" w:hAnsi="宋体" w:cs="宋体"/>
          <w:b/>
          <w:color w:val="auto"/>
          <w:szCs w:val="21"/>
          <w:highlight w:val="none"/>
        </w:rPr>
        <w:t>和招标文件规定的其他无效情形。</w:t>
      </w:r>
    </w:p>
    <w:p w14:paraId="4A070272">
      <w:pPr>
        <w:pageBreakBefore w:val="0"/>
        <w:kinsoku/>
        <w:wordWrap/>
        <w:overflowPunct/>
        <w:topLinePunct w:val="0"/>
        <w:autoSpaceDE/>
        <w:autoSpaceDN/>
        <w:bidi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2.3在技术评审时，如发现下列情形之一的，将被视为投标无效：</w:t>
      </w:r>
    </w:p>
    <w:p w14:paraId="47523710">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（1）技术要求评审允许负偏离的条款数超过“投标人须知前附表”规定项数的；</w:t>
      </w:r>
    </w:p>
    <w:p w14:paraId="182E189D">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（2）投标文件未提供“投标人须知前附表”第13.1条规定中“必须提供”的文件资料的；</w:t>
      </w:r>
    </w:p>
    <w:p w14:paraId="455AFFAA">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（3）虚假投标，或者出现其他情形而导致被评标委员会认定无效的；</w:t>
      </w:r>
    </w:p>
    <w:p w14:paraId="2F5A2EBD">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（4）</w:t>
      </w:r>
      <w:bookmarkStart w:id="174" w:name="_Hlk71706244"/>
      <w:r>
        <w:rPr>
          <w:rFonts w:hint="eastAsia" w:hAnsi="宋体" w:cs="宋体"/>
          <w:b/>
          <w:color w:val="auto"/>
          <w:sz w:val="21"/>
          <w:szCs w:val="21"/>
          <w:highlight w:val="none"/>
        </w:rPr>
        <w:t>招标文件未载明允许提供备选（替代）投标方案或明确不允许提供备选（替代）投标方案时，投标人提供了备选（替代）投标方案的；</w:t>
      </w:r>
      <w:bookmarkEnd w:id="174"/>
    </w:p>
    <w:p w14:paraId="55AF93F1">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color w:val="auto"/>
          <w:highlight w:val="none"/>
        </w:rPr>
      </w:pPr>
      <w:r>
        <w:rPr>
          <w:rFonts w:hint="eastAsia" w:hAnsi="宋体" w:cs="宋体"/>
          <w:b/>
          <w:color w:val="auto"/>
          <w:sz w:val="21"/>
          <w:szCs w:val="21"/>
          <w:highlight w:val="none"/>
        </w:rPr>
        <w:t>（5）未响应招标文件实质性要求的。</w:t>
      </w:r>
    </w:p>
    <w:p w14:paraId="62951C9C">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2.4其他投标无效的情形：</w:t>
      </w:r>
    </w:p>
    <w:p w14:paraId="5256DEBF">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（1）投标文件未按招标文件要求签署或CA电子签章的；</w:t>
      </w:r>
    </w:p>
    <w:p w14:paraId="4E5AFF0E">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（2）投标人提交两份或两份以上内容不同的投标文件；</w:t>
      </w:r>
    </w:p>
    <w:p w14:paraId="5E60ADE2">
      <w:pPr>
        <w:pStyle w:val="16"/>
        <w:pageBreakBefore w:val="0"/>
        <w:kinsoku/>
        <w:wordWrap/>
        <w:overflowPunct/>
        <w:topLinePunct w:val="0"/>
        <w:autoSpaceDE/>
        <w:autoSpaceDN/>
        <w:bidi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（3）投标人在线制作投标文件时填写的报价金额与解密后“电子加密投标文件”中《开标一览表》填写的金额不一致并拒绝按招标文件要求接受调整的；</w:t>
      </w:r>
    </w:p>
    <w:p w14:paraId="4EF2D523">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（4）</w:t>
      </w:r>
      <w:r>
        <w:rPr>
          <w:rFonts w:hint="eastAsia" w:hAnsi="宋体" w:cs="宋体"/>
          <w:b/>
          <w:color w:val="auto"/>
          <w:sz w:val="21"/>
          <w:szCs w:val="21"/>
          <w:highlight w:val="none"/>
          <w:lang w:eastAsia="zh-CN"/>
        </w:rPr>
        <w:t>法律法规</w:t>
      </w:r>
      <w:r>
        <w:rPr>
          <w:rFonts w:hint="eastAsia" w:hAnsi="宋体" w:cs="宋体"/>
          <w:b/>
          <w:color w:val="auto"/>
          <w:sz w:val="21"/>
          <w:szCs w:val="21"/>
          <w:highlight w:val="none"/>
        </w:rPr>
        <w:t>和招标文件规定的其他无效情形（或出现重大偏差）。</w:t>
      </w:r>
    </w:p>
    <w:p w14:paraId="6FC02AB8">
      <w:pPr>
        <w:pStyle w:val="20"/>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3.澄清补正</w:t>
      </w:r>
    </w:p>
    <w:p w14:paraId="1EF76894">
      <w:pPr>
        <w:pageBreakBefore w:val="0"/>
        <w:kinsoku/>
        <w:wordWrap/>
        <w:overflowPunct/>
        <w:topLinePunct w:val="0"/>
        <w:autoSpaceDE/>
        <w:autoSpaceDN/>
        <w:bidi w:val="0"/>
        <w:spacing w:line="400" w:lineRule="exact"/>
        <w:ind w:firstLine="420" w:firstLineChars="200"/>
        <w:textAlignment w:val="auto"/>
        <w:rPr>
          <w:rFonts w:hint="eastAsia" w:ascii="宋体" w:hAnsi="宋体" w:cs="宋体"/>
          <w:b/>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479350FC">
      <w:pPr>
        <w:pageBreakBefore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3085ECC9">
      <w:pPr>
        <w:pageBreakBefore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未按评标委员会的要求作出明确澄清、说明或者更正的投标人的投标文件将按照有利于采购人的原则由评标委员会进行判定。</w:t>
      </w:r>
    </w:p>
    <w:p w14:paraId="730A694F">
      <w:pPr>
        <w:pStyle w:val="20"/>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4.投标文件修正</w:t>
      </w:r>
    </w:p>
    <w:p w14:paraId="7CC99376">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4.1投标文件报价出现前后不一致的，按照下列规定修正：</w:t>
      </w:r>
    </w:p>
    <w:p w14:paraId="129A874C">
      <w:pPr>
        <w:pStyle w:val="20"/>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（1）投标文件中开标一览表（报价表）内容与投标文件中相应内容不一致的，以开标一览表（报价表）为准；</w:t>
      </w:r>
    </w:p>
    <w:p w14:paraId="5483D028">
      <w:pPr>
        <w:pStyle w:val="20"/>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（2）大写金额和小写金额不一致的，以大写金额为准；</w:t>
      </w:r>
    </w:p>
    <w:p w14:paraId="057B4275">
      <w:pPr>
        <w:pStyle w:val="20"/>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（3）单价金额小数点或者百分比有明显错位的，以开标一览表的总价为准，并修改单价；</w:t>
      </w:r>
    </w:p>
    <w:p w14:paraId="0F6C9413">
      <w:pPr>
        <w:pStyle w:val="20"/>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（4）总价金额与按单价汇总金额不一致的，以单价金额计算结果为准。</w:t>
      </w:r>
    </w:p>
    <w:p w14:paraId="607D6378">
      <w:pPr>
        <w:pStyle w:val="20"/>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同时出现两种以上不一致的，按照以上（1）</w:t>
      </w:r>
      <w:r>
        <w:rPr>
          <w:rFonts w:hint="eastAsia" w:hAnsi="宋体" w:cs="宋体"/>
          <w:color w:val="auto"/>
          <w:highlight w:val="none"/>
          <w:lang w:eastAsia="zh-CN"/>
        </w:rPr>
        <w:t>－</w:t>
      </w:r>
      <w:r>
        <w:rPr>
          <w:rFonts w:hint="eastAsia" w:hAnsi="宋体" w:cs="宋体"/>
          <w:color w:val="auto"/>
          <w:highlight w:val="none"/>
        </w:rPr>
        <w:t>（4）规定的顺序修正。修正后的报价经投标人确认后产生约束力，投标人不确认的，</w:t>
      </w:r>
      <w:r>
        <w:rPr>
          <w:rFonts w:hint="eastAsia" w:hAnsi="宋体" w:cs="宋体"/>
          <w:b/>
          <w:color w:val="auto"/>
          <w:highlight w:val="none"/>
        </w:rPr>
        <w:t>其投标无效</w:t>
      </w:r>
      <w:r>
        <w:rPr>
          <w:rFonts w:hint="eastAsia" w:hAnsi="宋体" w:cs="宋体"/>
          <w:color w:val="auto"/>
          <w:highlight w:val="none"/>
        </w:rPr>
        <w:t>。</w:t>
      </w:r>
    </w:p>
    <w:p w14:paraId="2C487F21">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4.2经投标人确认修正后的报价若超过采购预算金额或者最高限价，</w:t>
      </w:r>
      <w:r>
        <w:rPr>
          <w:rFonts w:hint="eastAsia" w:ascii="宋体" w:hAnsi="宋体" w:cs="宋体"/>
          <w:b/>
          <w:color w:val="auto"/>
          <w:szCs w:val="21"/>
          <w:highlight w:val="none"/>
        </w:rPr>
        <w:t>投标人的投标文件作无效投标处理</w:t>
      </w:r>
      <w:r>
        <w:rPr>
          <w:rFonts w:hint="eastAsia" w:ascii="宋体" w:hAnsi="宋体" w:cs="宋体"/>
          <w:color w:val="auto"/>
          <w:szCs w:val="21"/>
          <w:highlight w:val="none"/>
        </w:rPr>
        <w:t>。</w:t>
      </w:r>
    </w:p>
    <w:p w14:paraId="4006EC3F">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38855C48">
      <w:pPr>
        <w:pStyle w:val="20"/>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5.比较与评价</w:t>
      </w:r>
    </w:p>
    <w:p w14:paraId="0F36D544">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5.1采用综合评分法的</w:t>
      </w:r>
    </w:p>
    <w:p w14:paraId="4DD3C85C">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（1）评标委员会按照招标文件中规定的评标方法及评标标准，对符合性审查合格的投标文件进行商务和技术评估，综合比较与评价。</w:t>
      </w:r>
    </w:p>
    <w:p w14:paraId="20D9CCE5">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（2）评标委员会独立对每个投标人的投标文件进行评价，并汇总每个投标人的得分。</w:t>
      </w:r>
    </w:p>
    <w:p w14:paraId="23050E7E">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（3）评标委员会按照招标文件中规定的评标方法和标准计算各投标人的报价得分。在计算过程中，不得去掉最高报价或者最低报价。</w:t>
      </w:r>
    </w:p>
    <w:p w14:paraId="6432C697">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（4）各投标人的得分为所有评委的有效评分的算术平均数。</w:t>
      </w:r>
    </w:p>
    <w:p w14:paraId="7063DBA4">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（5）评标委员会按照招标文件中的规定推荐中标候选人。</w:t>
      </w:r>
    </w:p>
    <w:p w14:paraId="54779001">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w:t>
      </w:r>
      <w:r>
        <w:rPr>
          <w:rFonts w:hint="eastAsia" w:ascii="宋体" w:hAnsi="宋体" w:cs="宋体"/>
          <w:color w:val="auto"/>
          <w:szCs w:val="21"/>
          <w:highlight w:val="none"/>
          <w:lang w:eastAsia="zh-CN"/>
        </w:rPr>
        <w:t>作出</w:t>
      </w:r>
      <w:r>
        <w:rPr>
          <w:rFonts w:hint="eastAsia" w:ascii="宋体" w:hAnsi="宋体" w:cs="宋体"/>
          <w:color w:val="auto"/>
          <w:szCs w:val="21"/>
          <w:highlight w:val="none"/>
        </w:rPr>
        <w:t>结论。持不同意见的评标委员会成员应当在评标报告上签署不同意见及理由，否则视为同意评标报告。</w:t>
      </w:r>
    </w:p>
    <w:p w14:paraId="2A4E51AA">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6.异常低价审查 </w:t>
      </w:r>
    </w:p>
    <w:p w14:paraId="1AF6DCF8">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6.1</w:t>
      </w:r>
      <w:r>
        <w:rPr>
          <w:rFonts w:hint="eastAsia" w:ascii="宋体" w:hAnsi="宋体" w:eastAsia="宋体" w:cs="宋体"/>
          <w:color w:val="auto"/>
          <w:szCs w:val="21"/>
          <w:highlight w:val="none"/>
        </w:rPr>
        <w:t>依据规定</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"http://www.ccgp.gov.cn/news/202601/t20260122_26102509.htm" \t "_blank" \o "附件链接：《财政部关于推动解决政府采购异常低价问题的通知》（财库〔2026〕2号）"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《财政部关于推动解决政府采购异常低价问题的通知》（财库〔2026〕2号）</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规定，政府采购评审中出现以下异常低价情形，评标委员会应当启动异常低价投标审查程序：</w:t>
      </w:r>
    </w:p>
    <w:p w14:paraId="105E2646">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（1）投标报价低于全部通过符合性审查供应商投标）报价平均值</w:t>
      </w:r>
      <w:r>
        <w:rPr>
          <w:rFonts w:hint="eastAsia" w:ascii="宋体" w:hAnsi="宋体" w:eastAsia="宋体" w:cs="宋体"/>
          <w:color w:val="auto"/>
          <w:szCs w:val="21"/>
          <w:highlight w:val="none"/>
          <w:u w:val="single"/>
        </w:rPr>
        <w:t> </w:t>
      </w:r>
      <w:r>
        <w:rPr>
          <w:rFonts w:hint="eastAsia" w:ascii="宋体" w:hAnsi="宋体" w:cs="宋体"/>
          <w:color w:val="auto"/>
          <w:szCs w:val="21"/>
          <w:highlight w:val="none"/>
          <w:u w:val="single"/>
          <w:lang w:val="en-US" w:eastAsia="zh-CN"/>
        </w:rPr>
        <w:t>50</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w:t>
      </w:r>
    </w:p>
    <w:p w14:paraId="0E7B6661">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（2）投标报价低于通过符合性审查的次低报价供应商投标报价</w:t>
      </w:r>
      <w:r>
        <w:rPr>
          <w:rFonts w:hint="eastAsia" w:ascii="宋体" w:hAnsi="宋体" w:eastAsia="宋体" w:cs="宋体"/>
          <w:color w:val="auto"/>
          <w:szCs w:val="21"/>
          <w:highlight w:val="none"/>
          <w:u w:val="single"/>
        </w:rPr>
        <w:t> </w:t>
      </w:r>
      <w:r>
        <w:rPr>
          <w:rFonts w:hint="eastAsia" w:ascii="宋体" w:hAnsi="宋体" w:cs="宋体"/>
          <w:color w:val="auto"/>
          <w:szCs w:val="21"/>
          <w:highlight w:val="none"/>
          <w:u w:val="single"/>
          <w:lang w:val="en-US" w:eastAsia="zh-CN"/>
        </w:rPr>
        <w:t>50</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w:t>
      </w:r>
    </w:p>
    <w:p w14:paraId="51F61B3F">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（3）投标报价低于采购项目最高限价</w:t>
      </w:r>
      <w:r>
        <w:rPr>
          <w:rFonts w:hint="eastAsia" w:ascii="宋体" w:hAnsi="宋体" w:eastAsia="宋体" w:cs="宋体"/>
          <w:color w:val="auto"/>
          <w:szCs w:val="21"/>
          <w:highlight w:val="none"/>
          <w:u w:val="single"/>
        </w:rPr>
        <w:t> </w:t>
      </w:r>
      <w:r>
        <w:rPr>
          <w:rFonts w:hint="eastAsia" w:ascii="宋体" w:hAnsi="宋体" w:cs="宋体"/>
          <w:color w:val="auto"/>
          <w:szCs w:val="21"/>
          <w:highlight w:val="none"/>
          <w:u w:val="single"/>
          <w:lang w:val="en-US" w:eastAsia="zh-CN"/>
        </w:rPr>
        <w:t>45</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w:t>
      </w:r>
    </w:p>
    <w:p w14:paraId="05BAB7D8">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（4）评标委员会基于专业判断，认为供应商报价过低，有可能影响产品质量或者不能诚信履约的其他情形。相关法律法规对供应商报价有规定的，从其规定。</w:t>
      </w:r>
    </w:p>
    <w:p w14:paraId="23676580">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（5）相关法律法规对供应商报价有规定的，从其规定。</w:t>
      </w:r>
    </w:p>
    <w:p w14:paraId="67F9AF87">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6.2</w:t>
      </w:r>
      <w:r>
        <w:rPr>
          <w:rFonts w:hint="eastAsia" w:ascii="宋体" w:hAnsi="宋体" w:eastAsia="宋体" w:cs="宋体"/>
          <w:color w:val="auto"/>
          <w:szCs w:val="21"/>
          <w:highlight w:val="none"/>
        </w:rPr>
        <w:t>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AC66EE3">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47F56B11">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评审组织</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采购人、采购代理机构应当为评审委员会在评审现场及时获取同类项目中标</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成交</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4EE3E15">
      <w:pPr>
        <w:pageBreakBefore w:val="0"/>
        <w:kinsoku/>
        <w:wordWrap/>
        <w:overflowPunct/>
        <w:topLinePunct w:val="0"/>
        <w:autoSpaceDE/>
        <w:autoSpaceDN/>
        <w:bidi w:val="0"/>
        <w:snapToGrid w:val="0"/>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记录及归档</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异常低价投标审查的启动原因、审查意见和审查结果应当在评审报告中记录，并随供应商提供的相关书面说明及证明材料，以及评审委员会有关互联网浏览、查询历史一并归档。</w:t>
      </w:r>
    </w:p>
    <w:p w14:paraId="1BB35FC1">
      <w:pPr>
        <w:pStyle w:val="3"/>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bookmarkStart w:id="175" w:name="_Toc5924"/>
      <w:bookmarkStart w:id="176" w:name="_Toc4705"/>
      <w:r>
        <w:rPr>
          <w:rFonts w:hint="eastAsia" w:ascii="宋体" w:hAnsi="宋体" w:eastAsia="宋体" w:cs="宋体"/>
          <w:color w:val="auto"/>
          <w:highlight w:val="none"/>
        </w:rPr>
        <w:t>三、评标标准</w:t>
      </w:r>
      <w:bookmarkEnd w:id="175"/>
      <w:bookmarkEnd w:id="176"/>
    </w:p>
    <w:p w14:paraId="6CD8A73E">
      <w:pPr>
        <w:pageBreakBefore w:val="0"/>
        <w:widowControl/>
        <w:kinsoku/>
        <w:wordWrap/>
        <w:overflowPunct/>
        <w:topLinePunct w:val="0"/>
        <w:autoSpaceDE/>
        <w:autoSpaceDN/>
        <w:bidi w:val="0"/>
        <w:adjustRightInd w:val="0"/>
        <w:snapToGrid w:val="0"/>
        <w:spacing w:line="400" w:lineRule="exact"/>
        <w:ind w:firstLine="42"/>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一、评标原则</w:t>
      </w:r>
    </w:p>
    <w:p w14:paraId="69D844E8">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（一）评委构成：《政府采购货物和服务招标投标管理办法》第四十七条 评标委员会由采购人代表和评审专家组成，成员人数应当为5人以上单数，其中评审专家不得少于成员总数的三分之二。采购项目符合下列情形之一的，评标委员会成员人数应当为7人以上单数：（1）采购预算金额在1000万元以上；（2）技术复杂；（3）社会影响较大。</w:t>
      </w:r>
    </w:p>
    <w:p w14:paraId="5730325B">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（二）</w:t>
      </w:r>
      <w:r>
        <w:rPr>
          <w:rFonts w:hint="eastAsia" w:ascii="宋体" w:hAnsi="宋体" w:cs="宋体"/>
          <w:color w:val="auto"/>
          <w:kern w:val="0"/>
          <w:szCs w:val="21"/>
          <w:highlight w:val="none"/>
        </w:rPr>
        <w:t>评标依据：</w:t>
      </w:r>
      <w:r>
        <w:rPr>
          <w:rFonts w:hint="eastAsia" w:ascii="宋体" w:hAnsi="宋体" w:cs="宋体"/>
          <w:bCs/>
          <w:color w:val="auto"/>
          <w:kern w:val="0"/>
          <w:szCs w:val="21"/>
          <w:highlight w:val="none"/>
        </w:rPr>
        <w:t>评委将以招标文件为评标依据，对投标人的内容按百分制打分。</w:t>
      </w:r>
    </w:p>
    <w:p w14:paraId="7F737CF8">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color w:val="auto"/>
          <w:szCs w:val="21"/>
          <w:highlight w:val="none"/>
        </w:rPr>
      </w:pPr>
      <w:r>
        <w:rPr>
          <w:rFonts w:hint="eastAsia" w:ascii="宋体" w:hAnsi="宋体" w:cs="宋体"/>
          <w:bCs/>
          <w:color w:val="auto"/>
          <w:szCs w:val="21"/>
          <w:highlight w:val="none"/>
        </w:rPr>
        <w:t>（三）评标方式：以封闭方式进行。</w:t>
      </w:r>
    </w:p>
    <w:p w14:paraId="0FB77449">
      <w:pPr>
        <w:pageBreakBefore w:val="0"/>
        <w:kinsoku/>
        <w:wordWrap/>
        <w:overflowPunct/>
        <w:topLinePunct w:val="0"/>
        <w:autoSpaceDE/>
        <w:autoSpaceDN/>
        <w:bidi w:val="0"/>
        <w:adjustRightInd w:val="0"/>
        <w:snapToGrid w:val="0"/>
        <w:spacing w:line="400" w:lineRule="exact"/>
        <w:ind w:firstLine="42" w:firstLineChars="20"/>
        <w:textAlignment w:val="auto"/>
        <w:rPr>
          <w:rFonts w:hint="eastAsia" w:ascii="宋体" w:hAnsi="宋体" w:cs="宋体"/>
          <w:b/>
          <w:color w:val="auto"/>
          <w:szCs w:val="21"/>
          <w:highlight w:val="none"/>
        </w:rPr>
      </w:pPr>
      <w:r>
        <w:rPr>
          <w:rFonts w:hint="eastAsia" w:ascii="宋体" w:hAnsi="宋体" w:cs="宋体"/>
          <w:b/>
          <w:color w:val="auto"/>
          <w:szCs w:val="21"/>
          <w:highlight w:val="none"/>
        </w:rPr>
        <w:t>二、评标方法</w:t>
      </w:r>
    </w:p>
    <w:p w14:paraId="6FF8BE4C">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（一）对进入详评的，采用百分制综合评分法。</w:t>
      </w:r>
    </w:p>
    <w:p w14:paraId="7E23B73E">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（二）计分办法（按四舍五入取至百分位）：</w:t>
      </w:r>
    </w:p>
    <w:p w14:paraId="5A035369">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color w:val="auto"/>
          <w:kern w:val="0"/>
          <w:szCs w:val="21"/>
          <w:highlight w:val="none"/>
        </w:rPr>
      </w:pPr>
    </w:p>
    <w:p w14:paraId="5FEEF3CA">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color w:val="auto"/>
          <w:kern w:val="0"/>
          <w:szCs w:val="21"/>
          <w:highlight w:val="none"/>
        </w:rPr>
      </w:pPr>
    </w:p>
    <w:p w14:paraId="164F0A74">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color w:val="auto"/>
          <w:kern w:val="0"/>
          <w:szCs w:val="21"/>
          <w:highlight w:val="none"/>
        </w:rPr>
      </w:pPr>
    </w:p>
    <w:p w14:paraId="299C726C">
      <w:pPr>
        <w:pStyle w:val="3"/>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bookmarkStart w:id="177" w:name="_Toc1515"/>
      <w:bookmarkStart w:id="178" w:name="_Toc29253"/>
      <w:bookmarkStart w:id="179" w:name="_Toc26687"/>
    </w:p>
    <w:p w14:paraId="6BDDB289">
      <w:pPr>
        <w:pStyle w:val="3"/>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评分标准（综合评分法）</w:t>
      </w:r>
      <w:bookmarkEnd w:id="177"/>
      <w:bookmarkEnd w:id="178"/>
      <w:bookmarkEnd w:id="179"/>
    </w:p>
    <w:tbl>
      <w:tblPr>
        <w:tblStyle w:val="39"/>
        <w:tblW w:w="87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781"/>
        <w:gridCol w:w="7142"/>
      </w:tblGrid>
      <w:tr w14:paraId="70C40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846" w:type="dxa"/>
            <w:noWrap w:val="0"/>
            <w:vAlign w:val="bottom"/>
          </w:tcPr>
          <w:p w14:paraId="245D4CF3">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rPr>
              <w:t>评标项目</w:t>
            </w:r>
          </w:p>
        </w:tc>
        <w:tc>
          <w:tcPr>
            <w:tcW w:w="781" w:type="dxa"/>
            <w:noWrap w:val="0"/>
            <w:vAlign w:val="bottom"/>
          </w:tcPr>
          <w:p w14:paraId="41D4F4C4">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rPr>
              <w:t>评标分值</w:t>
            </w:r>
          </w:p>
        </w:tc>
        <w:tc>
          <w:tcPr>
            <w:tcW w:w="7142" w:type="dxa"/>
            <w:noWrap w:val="0"/>
            <w:vAlign w:val="bottom"/>
          </w:tcPr>
          <w:p w14:paraId="4C669FF9">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rPr>
              <w:t>评标方法描述</w:t>
            </w:r>
          </w:p>
        </w:tc>
      </w:tr>
      <w:tr w14:paraId="4BB6C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8769" w:type="dxa"/>
            <w:gridSpan w:val="3"/>
            <w:noWrap w:val="0"/>
            <w:vAlign w:val="center"/>
          </w:tcPr>
          <w:p w14:paraId="55066B8D">
            <w:pPr>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（一）价格分（满分20分）</w:t>
            </w:r>
          </w:p>
        </w:tc>
      </w:tr>
      <w:tr w14:paraId="20414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47CBDAB7">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投标报价</w:t>
            </w:r>
          </w:p>
        </w:tc>
        <w:tc>
          <w:tcPr>
            <w:tcW w:w="781" w:type="dxa"/>
            <w:noWrap w:val="0"/>
            <w:vAlign w:val="center"/>
          </w:tcPr>
          <w:p w14:paraId="38C840AB">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20分</w:t>
            </w:r>
          </w:p>
        </w:tc>
        <w:tc>
          <w:tcPr>
            <w:tcW w:w="7142" w:type="dxa"/>
            <w:noWrap w:val="0"/>
            <w:vAlign w:val="center"/>
          </w:tcPr>
          <w:p w14:paraId="7E542342">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（1）评标报价为投标人的投标报价进行政策性扣除后的价格，评标报价</w:t>
            </w:r>
            <w:r>
              <w:rPr>
                <w:rFonts w:hint="eastAsia" w:ascii="宋体" w:hAnsi="宋体" w:cs="宋体"/>
                <w:bCs/>
                <w:color w:val="auto"/>
                <w:kern w:val="0"/>
                <w:szCs w:val="21"/>
                <w:highlight w:val="none"/>
                <w:lang w:eastAsia="zh-CN"/>
              </w:rPr>
              <w:t>只</w:t>
            </w:r>
            <w:r>
              <w:rPr>
                <w:rFonts w:hint="eastAsia" w:ascii="宋体" w:hAnsi="宋体" w:cs="宋体"/>
                <w:bCs/>
                <w:color w:val="auto"/>
                <w:kern w:val="0"/>
                <w:szCs w:val="21"/>
                <w:highlight w:val="none"/>
              </w:rPr>
              <w:t>作为评标时使用。最终中标人的中标金额等于投标报价。</w:t>
            </w:r>
          </w:p>
          <w:p w14:paraId="3A3ECF2C">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按照《政府采购促进中小企业发展管理办法》（财库〔2020〕46号）的规定，投标人在其投标文件中提供《中小企业声明函》，且其服务为小型和微型企业承接的，按《关于进一步加大政府采购支持中小企业力度的通知》（财库〔2022〕19号）、《广西壮族自治区财政厅关于持续优化政府采购营商环境推动高质量发展的通知》（桂财采〔202</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55</w:t>
            </w:r>
            <w:r>
              <w:rPr>
                <w:rFonts w:hint="eastAsia" w:ascii="宋体" w:hAnsi="宋体" w:cs="宋体"/>
                <w:bCs/>
                <w:color w:val="auto"/>
                <w:kern w:val="0"/>
                <w:szCs w:val="21"/>
                <w:highlight w:val="none"/>
              </w:rPr>
              <w:t>号）的规定</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对其最后报价给予</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0%</w:t>
            </w:r>
            <w:r>
              <w:rPr>
                <w:rFonts w:hint="eastAsia" w:ascii="宋体" w:hAnsi="宋体" w:cs="宋体"/>
                <w:bCs/>
                <w:color w:val="auto"/>
                <w:kern w:val="0"/>
                <w:szCs w:val="21"/>
                <w:highlight w:val="none"/>
                <w:lang w:eastAsia="zh-CN"/>
              </w:rPr>
              <w:t>（范围为10%—20%</w:t>
            </w:r>
            <w:r>
              <w:rPr>
                <w:rFonts w:hint="eastAsia" w:ascii="宋体" w:hAnsi="宋体" w:cs="宋体"/>
                <w:bCs/>
                <w:color w:val="auto"/>
                <w:kern w:val="0"/>
                <w:szCs w:val="21"/>
                <w:highlight w:val="none"/>
                <w:lang w:val="en-US" w:eastAsia="zh-CN"/>
              </w:rPr>
              <w:t>）</w:t>
            </w:r>
            <w:r>
              <w:rPr>
                <w:rFonts w:hint="eastAsia" w:ascii="宋体" w:hAnsi="宋体" w:cs="宋体"/>
                <w:bCs/>
                <w:color w:val="auto"/>
                <w:kern w:val="0"/>
                <w:szCs w:val="21"/>
                <w:highlight w:val="none"/>
              </w:rPr>
              <w:t>的扣除。</w:t>
            </w:r>
          </w:p>
          <w:p w14:paraId="79C8EA8A">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含新疆生产建设兵团</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出具的属于监狱企业的证明文件。不重复享受政策。</w:t>
            </w:r>
          </w:p>
          <w:p w14:paraId="56B2AE0A">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67AB63A8">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（5）政策性扣除计算方法。</w:t>
            </w:r>
          </w:p>
          <w:p w14:paraId="4DAEA795">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在服务采购项目中，服务由小微企业承接；对符合上述要求的投标人的投标报价给予</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0%的扣除，扣除后的价格为评标报价，即评标报价=投标报价×（1-</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%（范围为4%-6%）的扣除，用扣除后的价格参加评审，扣除后的价格为评标报价，即评标报价=投标报价×（1-</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%）。除上述情况外，评标报价=投标报价。</w:t>
            </w:r>
          </w:p>
          <w:p w14:paraId="6E991872">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（6）满足招标文件要求且评标报价最低的评标报价为评标基准价，其价格分为满分。</w:t>
            </w:r>
          </w:p>
          <w:p w14:paraId="540240EF">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（7）价格分计算公式：</w:t>
            </w:r>
          </w:p>
          <w:p w14:paraId="0749CD66">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eastAsia="zh-CN"/>
              </w:rPr>
            </w:pPr>
            <w:r>
              <w:rPr>
                <w:rFonts w:hint="eastAsia" w:ascii="宋体" w:hAnsi="宋体" w:cs="宋体"/>
                <w:bCs/>
                <w:color w:val="auto"/>
                <w:kern w:val="0"/>
                <w:szCs w:val="21"/>
                <w:highlight w:val="none"/>
              </w:rPr>
              <w:t>价格分=</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评标基准价／评标报价</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20</w:t>
            </w:r>
            <w:r>
              <w:rPr>
                <w:rFonts w:hint="eastAsia" w:ascii="宋体" w:hAnsi="宋体" w:cs="宋体"/>
                <w:bCs/>
                <w:color w:val="auto"/>
                <w:kern w:val="0"/>
                <w:szCs w:val="21"/>
                <w:highlight w:val="none"/>
              </w:rPr>
              <w:t>分</w:t>
            </w:r>
            <w:r>
              <w:rPr>
                <w:rFonts w:hint="eastAsia" w:ascii="宋体" w:hAnsi="宋体" w:cs="宋体"/>
                <w:bCs/>
                <w:color w:val="auto"/>
                <w:kern w:val="0"/>
                <w:szCs w:val="21"/>
                <w:highlight w:val="none"/>
                <w:lang w:eastAsia="zh-CN"/>
              </w:rPr>
              <w:t>。</w:t>
            </w:r>
          </w:p>
          <w:p w14:paraId="53552641">
            <w:pPr>
              <w:pageBreakBefore w:val="0"/>
              <w:widowControl/>
              <w:kinsoku/>
              <w:wordWrap/>
              <w:overflowPunct/>
              <w:topLinePunct w:val="0"/>
              <w:autoSpaceDE/>
              <w:autoSpaceDN/>
              <w:bidi w:val="0"/>
              <w:adjustRightInd w:val="0"/>
              <w:snapToGrid w:val="0"/>
              <w:spacing w:line="400" w:lineRule="exact"/>
              <w:ind w:firstLine="379" w:firstLineChars="180"/>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eastAsia="zh-CN"/>
              </w:rPr>
              <w:t>（</w:t>
            </w:r>
            <w:r>
              <w:rPr>
                <w:rFonts w:hint="eastAsia" w:ascii="宋体" w:hAnsi="宋体" w:cs="宋体"/>
                <w:b/>
                <w:bCs w:val="0"/>
                <w:color w:val="auto"/>
                <w:kern w:val="0"/>
                <w:szCs w:val="21"/>
                <w:highlight w:val="none"/>
                <w:lang w:val="en-US" w:eastAsia="zh-CN"/>
              </w:rPr>
              <w:t>8）异常低价说明。</w:t>
            </w:r>
          </w:p>
          <w:p w14:paraId="0E2D0977">
            <w:pPr>
              <w:pageBreakBefore w:val="0"/>
              <w:widowControl/>
              <w:kinsoku/>
              <w:wordWrap/>
              <w:overflowPunct/>
              <w:topLinePunct w:val="0"/>
              <w:autoSpaceDE/>
              <w:autoSpaceDN/>
              <w:bidi w:val="0"/>
              <w:adjustRightInd w:val="0"/>
              <w:snapToGrid w:val="0"/>
              <w:spacing w:line="400" w:lineRule="exact"/>
              <w:ind w:firstLine="379" w:firstLineChars="180"/>
              <w:textAlignment w:val="auto"/>
              <w:rPr>
                <w:rFonts w:hint="eastAsia" w:ascii="宋体" w:hAnsi="宋体" w:cs="宋体"/>
                <w:bCs/>
                <w:color w:val="auto"/>
                <w:kern w:val="0"/>
                <w:szCs w:val="21"/>
                <w:highlight w:val="none"/>
                <w:lang w:eastAsia="zh-CN"/>
              </w:rPr>
            </w:pPr>
            <w:r>
              <w:rPr>
                <w:rFonts w:hint="eastAsia" w:ascii="宋体" w:hAnsi="宋体" w:cs="宋体"/>
                <w:b/>
                <w:bCs w:val="0"/>
                <w:color w:val="auto"/>
                <w:kern w:val="0"/>
                <w:szCs w:val="21"/>
                <w:highlight w:val="none"/>
                <w:lang w:val="en-US" w:eastAsia="zh-CN"/>
              </w:rPr>
              <w:t>投标人的报价出现《财政部关于推动解决政府采购异常低价问题的通知》（财库〔2026〕2号）规定的异常低价情形（具体详见招标文件第四章评标方法及评标标准二、评标程序6.异常低价审查），有可能影响服务质量或者不能诚信履约的，其应当在评标现场合理时间内（不少于30分钟）对报价作出解释，提供项目具体成本测算等与报价合理性相关的书面说明及必要证明材料；投标人不能提供相关说明、证明材料，或提供的材料无法证明其报价合理性的，评标委员会将其作为无效投标处理。</w:t>
            </w:r>
          </w:p>
        </w:tc>
      </w:tr>
      <w:tr w14:paraId="795B2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9" w:type="dxa"/>
            <w:gridSpan w:val="3"/>
            <w:noWrap w:val="0"/>
            <w:vAlign w:val="center"/>
          </w:tcPr>
          <w:p w14:paraId="7CDC2A78">
            <w:pPr>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eastAsia="zh-CN"/>
              </w:rPr>
              <w:t>（</w:t>
            </w:r>
            <w:r>
              <w:rPr>
                <w:rFonts w:hint="eastAsia" w:ascii="宋体" w:hAnsi="宋体" w:cs="宋体"/>
                <w:b/>
                <w:bCs w:val="0"/>
                <w:color w:val="auto"/>
                <w:kern w:val="0"/>
                <w:szCs w:val="21"/>
                <w:highlight w:val="none"/>
                <w:lang w:val="en-US" w:eastAsia="zh-CN"/>
              </w:rPr>
              <w:t>二</w:t>
            </w:r>
            <w:r>
              <w:rPr>
                <w:rFonts w:hint="eastAsia" w:ascii="宋体" w:hAnsi="宋体" w:cs="宋体"/>
                <w:b/>
                <w:bCs w:val="0"/>
                <w:color w:val="auto"/>
                <w:kern w:val="0"/>
                <w:szCs w:val="21"/>
                <w:highlight w:val="none"/>
                <w:lang w:eastAsia="zh-CN"/>
              </w:rPr>
              <w:t>）</w:t>
            </w:r>
            <w:r>
              <w:rPr>
                <w:rFonts w:hint="eastAsia" w:ascii="宋体" w:hAnsi="宋体" w:cs="宋体"/>
                <w:b/>
                <w:bCs w:val="0"/>
                <w:color w:val="auto"/>
                <w:kern w:val="0"/>
                <w:szCs w:val="21"/>
                <w:highlight w:val="none"/>
                <w:lang w:val="en-US" w:eastAsia="zh-CN"/>
              </w:rPr>
              <w:t>技术分（满分66分）</w:t>
            </w:r>
          </w:p>
        </w:tc>
      </w:tr>
      <w:tr w14:paraId="13D41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41E70B63">
            <w:pPr>
              <w:pageBreakBefore w:val="0"/>
              <w:widowControl/>
              <w:kinsoku/>
              <w:wordWrap/>
              <w:overflowPunct/>
              <w:topLinePunct w:val="0"/>
              <w:autoSpaceDE/>
              <w:autoSpaceDN/>
              <w:bidi w:val="0"/>
              <w:adjustRightInd w:val="0"/>
              <w:snapToGrid w:val="0"/>
              <w:spacing w:line="400" w:lineRule="exact"/>
              <w:jc w:val="center"/>
              <w:textAlignment w:val="auto"/>
              <w:rPr>
                <w:rFonts w:hint="default"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实施方案</w:t>
            </w:r>
          </w:p>
        </w:tc>
        <w:tc>
          <w:tcPr>
            <w:tcW w:w="781" w:type="dxa"/>
            <w:noWrap w:val="0"/>
            <w:vAlign w:val="center"/>
          </w:tcPr>
          <w:p w14:paraId="44D95942">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20分</w:t>
            </w:r>
          </w:p>
        </w:tc>
        <w:tc>
          <w:tcPr>
            <w:tcW w:w="7142" w:type="dxa"/>
            <w:noWrap w:val="0"/>
            <w:vAlign w:val="center"/>
          </w:tcPr>
          <w:p w14:paraId="074E268B">
            <w:pPr>
              <w:spacing w:line="400" w:lineRule="exact"/>
              <w:rPr>
                <w:rFonts w:hint="eastAsia" w:ascii="宋体" w:hAnsi="宋体" w:cs="Arial"/>
                <w:color w:val="auto"/>
                <w:szCs w:val="21"/>
                <w:highlight w:val="none"/>
              </w:rPr>
            </w:pPr>
            <w:r>
              <w:rPr>
                <w:rFonts w:hint="eastAsia" w:ascii="宋体" w:hAnsi="宋体" w:cs="Arial"/>
                <w:color w:val="auto"/>
                <w:szCs w:val="21"/>
                <w:highlight w:val="none"/>
              </w:rPr>
              <w:t>项目实施方案包括但不限于供氧配送方案及要求、供氧设备维护及维修措施、人员配置、配送专用车辆配备情况、配送计划、安全措施及应急处理方案等内容：</w:t>
            </w:r>
          </w:p>
          <w:p w14:paraId="6CDC17B1">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一档（</w:t>
            </w:r>
            <w:r>
              <w:rPr>
                <w:rFonts w:hint="eastAsia" w:ascii="宋体" w:hAnsi="宋体" w:cs="Arial"/>
                <w:color w:val="auto"/>
                <w:szCs w:val="21"/>
                <w:highlight w:val="none"/>
                <w:lang w:val="en-US" w:eastAsia="zh-CN"/>
              </w:rPr>
              <w:t>5</w:t>
            </w:r>
            <w:r>
              <w:rPr>
                <w:rFonts w:hint="eastAsia" w:ascii="宋体" w:hAnsi="宋体" w:cs="Arial"/>
                <w:color w:val="auto"/>
                <w:szCs w:val="21"/>
                <w:highlight w:val="none"/>
              </w:rPr>
              <w:t>分）：实施方案包含供氧方案及要求、配送、维护等，符合本项目实施的要求。</w:t>
            </w:r>
          </w:p>
          <w:p w14:paraId="6A455746">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二档（</w:t>
            </w:r>
            <w:r>
              <w:rPr>
                <w:rFonts w:hint="eastAsia" w:ascii="宋体" w:hAnsi="宋体" w:cs="Arial"/>
                <w:color w:val="auto"/>
                <w:szCs w:val="21"/>
                <w:highlight w:val="none"/>
                <w:lang w:val="en-US" w:eastAsia="zh-CN"/>
              </w:rPr>
              <w:t>10</w:t>
            </w:r>
            <w:r>
              <w:rPr>
                <w:rFonts w:hint="eastAsia" w:ascii="宋体" w:hAnsi="宋体" w:cs="Arial"/>
                <w:color w:val="auto"/>
                <w:szCs w:val="21"/>
                <w:highlight w:val="none"/>
              </w:rPr>
              <w:t>分）：实施方案包含供氧方案及要求、安全措施、维护、人员配置、配送专用车辆配备情况；配送计划安排合理，条理清晰，符合本项实施的要求及可行性操作。</w:t>
            </w:r>
          </w:p>
          <w:p w14:paraId="19A5F35B">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三档（</w:t>
            </w:r>
            <w:r>
              <w:rPr>
                <w:rFonts w:hint="eastAsia" w:ascii="宋体" w:hAnsi="宋体" w:cs="Arial"/>
                <w:color w:val="auto"/>
                <w:szCs w:val="21"/>
                <w:highlight w:val="none"/>
                <w:lang w:val="en-US" w:eastAsia="zh-CN"/>
              </w:rPr>
              <w:t>15</w:t>
            </w:r>
            <w:r>
              <w:rPr>
                <w:rFonts w:hint="eastAsia" w:ascii="宋体" w:hAnsi="宋体" w:cs="Arial"/>
                <w:color w:val="auto"/>
                <w:szCs w:val="21"/>
                <w:highlight w:val="none"/>
              </w:rPr>
              <w:t>分）：实施方案详细包含供氧方案及要求、安全措施、维护、人员配置、配送专用车辆配备情况、配送计划、输氧管道改造实施方案等内容，配送计划及管理方案完善合理，完全符合本项目配送、集中供氧实施的要求，操作合理。</w:t>
            </w:r>
          </w:p>
          <w:p w14:paraId="687245D9">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四档（</w:t>
            </w:r>
            <w:r>
              <w:rPr>
                <w:rFonts w:hint="eastAsia" w:ascii="宋体" w:hAnsi="宋体" w:cs="Arial"/>
                <w:color w:val="auto"/>
                <w:szCs w:val="21"/>
                <w:highlight w:val="none"/>
                <w:lang w:val="en-US" w:eastAsia="zh-CN"/>
              </w:rPr>
              <w:t>20</w:t>
            </w:r>
            <w:r>
              <w:rPr>
                <w:rFonts w:hint="eastAsia" w:ascii="宋体" w:hAnsi="宋体" w:cs="Arial"/>
                <w:color w:val="auto"/>
                <w:szCs w:val="21"/>
                <w:highlight w:val="none"/>
              </w:rPr>
              <w:t>分）：实施方案详细、有针对性包含供氧方案及要求、安全措施、维护、人员配置、配送专用车辆配备情况、配送计划、配送时效、输氧管道改造实施方案、配送人员等内容，配送计划及管理方案完善合理，完全符合本项目配送、集中供氧实施的要求，有明确的项目进度和管理措施，有具体安保措施，安保措施实施步骤和要求描述全面，具备压缩气体储罐状态监控、安全排放、防泄漏装置等检验、维护能力，操作合理。</w:t>
            </w:r>
          </w:p>
          <w:p w14:paraId="6CB0100C">
            <w:pPr>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cs="宋体"/>
                <w:bCs/>
                <w:color w:val="auto"/>
                <w:kern w:val="0"/>
                <w:szCs w:val="21"/>
                <w:highlight w:val="none"/>
              </w:rPr>
            </w:pPr>
            <w:r>
              <w:rPr>
                <w:rFonts w:hint="eastAsia" w:hAnsi="宋体" w:cs="宋体"/>
                <w:bCs/>
                <w:color w:val="auto"/>
                <w:szCs w:val="21"/>
                <w:highlight w:val="none"/>
              </w:rPr>
              <w:t>注：未提供或提供的不符合要求的不得分。</w:t>
            </w:r>
          </w:p>
        </w:tc>
      </w:tr>
      <w:tr w14:paraId="6226E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346B7189">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售后服务方案</w:t>
            </w:r>
          </w:p>
        </w:tc>
        <w:tc>
          <w:tcPr>
            <w:tcW w:w="781" w:type="dxa"/>
            <w:noWrap w:val="0"/>
            <w:vAlign w:val="center"/>
          </w:tcPr>
          <w:p w14:paraId="0A3956B7">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20分</w:t>
            </w:r>
          </w:p>
        </w:tc>
        <w:tc>
          <w:tcPr>
            <w:tcW w:w="7142" w:type="dxa"/>
            <w:noWrap w:val="0"/>
            <w:vAlign w:val="center"/>
          </w:tcPr>
          <w:p w14:paraId="78AE6921">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一档（5 分）：售后服务方案不齐全，内容空泛，未结合医用液氧供应项目特点编制，不具备合理性、针对性及可操作性，无法满足采购人医用氧保障基本需求。</w:t>
            </w:r>
          </w:p>
          <w:p w14:paraId="15C5F3BD">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二档（10 分）：售后服务方案内容齐全，整体符合医用液氧供应项目实际，能对项目实施起到有效的售后服务保障作用，但医用液氧供应保障、应急处置、设备维护等具体措施不够科学明确。</w:t>
            </w:r>
          </w:p>
          <w:p w14:paraId="6F9DE3A4">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三档（15 分）：售后服务方案内容齐全且详细，整体贴合采购人医用液氧供应项目需求，能对项目实施提供充分、可靠的售后服务保障作用。其中，操作人员及医护人员培训方案有详细培训内容且培训方式及周期合理；液氧供应中断、设备紧急故障等处置有明确处理时效；医用氧安全储存、运输、使用及应急安全保障方案全面。</w:t>
            </w:r>
          </w:p>
          <w:p w14:paraId="46C6E933">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四档（20 分）：售后服务方案内容齐全深入，科学可行，整体高度契合采购人医用液氧供应项目需求，对项目实施起到高效可靠的售后服务保障作用。其中，培训方案有明确且针对性强的培训内容，培训方式及周期科学合理；液氧供应短缺、设备紧急故障等问题处理时效迅速；医用氧全流程安全保障、院感防控、应急保供方案科学合理、操作性强；保供承诺、备用气源保障、增值服务等其他实质性服务或优惠措施，对项目医用液氧稳定供应及安全运行能起到有效促进及保障作用。</w:t>
            </w:r>
          </w:p>
          <w:p w14:paraId="3197F820">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val="en-US" w:eastAsia="zh-CN"/>
              </w:rPr>
            </w:pPr>
            <w:r>
              <w:rPr>
                <w:rFonts w:hint="eastAsia" w:asciiTheme="minorEastAsia" w:hAnsiTheme="minorEastAsia" w:eastAsiaTheme="minorEastAsia"/>
                <w:color w:val="auto"/>
                <w:szCs w:val="21"/>
                <w:highlight w:val="none"/>
              </w:rPr>
              <w:t>注：未提供方案或提供的方案未达最低档的不得分。</w:t>
            </w:r>
          </w:p>
        </w:tc>
      </w:tr>
      <w:tr w14:paraId="2BA55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jc w:val="center"/>
        </w:trPr>
        <w:tc>
          <w:tcPr>
            <w:tcW w:w="846" w:type="dxa"/>
            <w:noWrap w:val="0"/>
            <w:vAlign w:val="center"/>
          </w:tcPr>
          <w:p w14:paraId="5FCFFD5C">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rPr>
            </w:pPr>
            <w:r>
              <w:rPr>
                <w:rFonts w:hint="eastAsia" w:asciiTheme="minorEastAsia" w:hAnsiTheme="minorEastAsia" w:eastAsiaTheme="minorEastAsia"/>
                <w:b/>
                <w:bCs/>
                <w:color w:val="auto"/>
                <w:szCs w:val="21"/>
                <w:highlight w:val="none"/>
              </w:rPr>
              <w:t>日常安全管理方案</w:t>
            </w:r>
          </w:p>
        </w:tc>
        <w:tc>
          <w:tcPr>
            <w:tcW w:w="781" w:type="dxa"/>
            <w:noWrap w:val="0"/>
            <w:vAlign w:val="center"/>
          </w:tcPr>
          <w:p w14:paraId="5BDD82C4">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16分</w:t>
            </w:r>
          </w:p>
        </w:tc>
        <w:tc>
          <w:tcPr>
            <w:tcW w:w="7142" w:type="dxa"/>
            <w:noWrap w:val="0"/>
            <w:vAlign w:val="center"/>
          </w:tcPr>
          <w:p w14:paraId="55437843">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一档（</w:t>
            </w:r>
            <w:r>
              <w:rPr>
                <w:rFonts w:hint="eastAsia" w:asciiTheme="minorEastAsia" w:hAnsiTheme="minorEastAsia" w:eastAsiaTheme="minorEastAsia"/>
                <w:color w:val="auto"/>
                <w:szCs w:val="21"/>
                <w:highlight w:val="none"/>
                <w:lang w:val="en-US" w:eastAsia="zh-CN"/>
              </w:rPr>
              <w:t>4</w:t>
            </w:r>
            <w:r>
              <w:rPr>
                <w:rFonts w:hint="eastAsia" w:asciiTheme="minorEastAsia" w:hAnsiTheme="minorEastAsia" w:eastAsiaTheme="minorEastAsia"/>
                <w:color w:val="auto"/>
                <w:szCs w:val="21"/>
                <w:highlight w:val="none"/>
              </w:rPr>
              <w:t xml:space="preserve">分）：提供的日常安全管理实施方案仅能满足项目要求，但仍有一定的安全隐患。 </w:t>
            </w:r>
          </w:p>
          <w:p w14:paraId="3D29465A">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二档（</w:t>
            </w:r>
            <w:r>
              <w:rPr>
                <w:rFonts w:hint="eastAsia" w:asciiTheme="minorEastAsia" w:hAnsiTheme="minorEastAsia" w:eastAsiaTheme="minorEastAsia"/>
                <w:color w:val="auto"/>
                <w:szCs w:val="21"/>
                <w:highlight w:val="none"/>
                <w:lang w:val="en-US" w:eastAsia="zh-CN"/>
              </w:rPr>
              <w:t>8</w:t>
            </w:r>
            <w:r>
              <w:rPr>
                <w:rFonts w:hint="eastAsia" w:asciiTheme="minorEastAsia" w:hAnsiTheme="minorEastAsia" w:eastAsiaTheme="minorEastAsia"/>
                <w:color w:val="auto"/>
                <w:szCs w:val="21"/>
                <w:highlight w:val="none"/>
              </w:rPr>
              <w:t xml:space="preserve">分）：提供有日常的安全管理制度，包含考勤制度、 组织架构、主要管理人员及操作人员的职责，对安全隐患有一定的防范措施。 </w:t>
            </w:r>
          </w:p>
          <w:p w14:paraId="5EEFC4B0">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三档（</w:t>
            </w:r>
            <w:r>
              <w:rPr>
                <w:rFonts w:hint="eastAsia" w:asciiTheme="minorEastAsia" w:hAnsiTheme="minorEastAsia" w:eastAsiaTheme="minorEastAsia"/>
                <w:color w:val="auto"/>
                <w:szCs w:val="21"/>
                <w:highlight w:val="none"/>
                <w:lang w:val="en-US" w:eastAsia="zh-CN"/>
              </w:rPr>
              <w:t>12</w:t>
            </w:r>
            <w:r>
              <w:rPr>
                <w:rFonts w:hint="eastAsia" w:asciiTheme="minorEastAsia" w:hAnsiTheme="minorEastAsia" w:eastAsiaTheme="minorEastAsia"/>
                <w:color w:val="auto"/>
                <w:szCs w:val="21"/>
                <w:highlight w:val="none"/>
              </w:rPr>
              <w:t xml:space="preserve">分）：提供有日常安全管理制度，包含考勤制度、组织架构、主要管理人员及操作人员的职责、设备安全保障措施、质量安全保证措施、设备维护及维修措施；内容详细且合理有可行性，完全满足项目服务需求。 </w:t>
            </w:r>
          </w:p>
          <w:p w14:paraId="495FB983">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四档（</w:t>
            </w:r>
            <w:r>
              <w:rPr>
                <w:rFonts w:hint="eastAsia" w:asciiTheme="minorEastAsia" w:hAnsiTheme="minorEastAsia" w:eastAsiaTheme="minorEastAsia"/>
                <w:color w:val="auto"/>
                <w:szCs w:val="21"/>
                <w:highlight w:val="none"/>
                <w:lang w:val="en-US" w:eastAsia="zh-CN"/>
              </w:rPr>
              <w:t>16</w:t>
            </w:r>
            <w:r>
              <w:rPr>
                <w:rFonts w:hint="eastAsia" w:asciiTheme="minorEastAsia" w:hAnsiTheme="minorEastAsia" w:eastAsiaTheme="minorEastAsia"/>
                <w:color w:val="auto"/>
                <w:szCs w:val="21"/>
                <w:highlight w:val="none"/>
              </w:rPr>
              <w:t xml:space="preserve">分）：提供有日常的安全管理制度，包含考勤制度、组织架构、主要管理人员及操作人员的职责，设备安全保障措施，质量安全保证措施，设备维护及维修措施，科学合理，切合实际，具有可行性，且有其它对项目实施有利的措施和内容，对项目实施的规范性、安全性、可靠性进行了具体的分析并有针对性措施。 </w:t>
            </w:r>
          </w:p>
          <w:p w14:paraId="57C692CC">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Theme="minorEastAsia" w:hAnsiTheme="minorEastAsia" w:eastAsiaTheme="minorEastAsia"/>
                <w:color w:val="auto"/>
                <w:szCs w:val="21"/>
                <w:highlight w:val="none"/>
              </w:rPr>
              <w:t>注：未提供方案或提供的方案未达最低档的不得分。</w:t>
            </w:r>
          </w:p>
        </w:tc>
      </w:tr>
      <w:tr w14:paraId="7AA38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5" w:hRule="atLeast"/>
          <w:jc w:val="center"/>
        </w:trPr>
        <w:tc>
          <w:tcPr>
            <w:tcW w:w="846" w:type="dxa"/>
            <w:noWrap w:val="0"/>
            <w:vAlign w:val="center"/>
          </w:tcPr>
          <w:p w14:paraId="41B2F000">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紧急事件处理方案</w:t>
            </w:r>
          </w:p>
        </w:tc>
        <w:tc>
          <w:tcPr>
            <w:tcW w:w="781" w:type="dxa"/>
            <w:noWrap w:val="0"/>
            <w:vAlign w:val="center"/>
          </w:tcPr>
          <w:p w14:paraId="32B950D2">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 xml:space="preserve">10 </w:t>
            </w:r>
            <w:r>
              <w:rPr>
                <w:rFonts w:hint="eastAsia" w:ascii="宋体" w:hAnsi="宋体" w:cs="宋体"/>
                <w:b/>
                <w:bCs w:val="0"/>
                <w:color w:val="auto"/>
                <w:kern w:val="0"/>
                <w:szCs w:val="21"/>
                <w:highlight w:val="none"/>
              </w:rPr>
              <w:t>分</w:t>
            </w:r>
          </w:p>
        </w:tc>
        <w:tc>
          <w:tcPr>
            <w:tcW w:w="7142" w:type="dxa"/>
            <w:noWrap w:val="0"/>
            <w:vAlign w:val="center"/>
          </w:tcPr>
          <w:p w14:paraId="7B838BC8">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一档（2分）</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仅结合项目基本情况制定应急方案，框架粗浅、未贴合医用液氧保供特性细化内容，无针对性处置流程，实用性、合规性欠缺。</w:t>
            </w:r>
          </w:p>
          <w:p w14:paraId="7F8B937E">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二档（5分）</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方案贴合项目实际，针对液氧短缺、设备故障、配送延误等常见突发情况，制定详实可行的保障措施，处置流程合规，可满足常规应急处置需求。</w:t>
            </w:r>
          </w:p>
          <w:p w14:paraId="724DE51C">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三档（8分）</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方案完整体系化，全覆盖液氧供应全链条应急场景（含极端天气、供应链波动等），措施科学规范、权责清晰，明确响应节点、人员分工与物资储备，完全契合项目实操需求。</w:t>
            </w:r>
          </w:p>
          <w:p w14:paraId="36677BC3">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四档（10分）</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方案全面前瞻、实操性极强，深度匹配医疗机构保供刚需，实行分级分类处置，明确响应时限、备用气源联动及院方协同流程，符合行业监管要求，可全方位筑牢应急保供防线、保障诊疗秩序。</w:t>
            </w:r>
          </w:p>
          <w:p w14:paraId="01931438">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val="en-US" w:eastAsia="zh-CN"/>
              </w:rPr>
            </w:pPr>
            <w:r>
              <w:rPr>
                <w:rFonts w:hint="eastAsia" w:asciiTheme="minorEastAsia" w:hAnsiTheme="minorEastAsia" w:eastAsiaTheme="minorEastAsia"/>
                <w:color w:val="auto"/>
                <w:szCs w:val="21"/>
                <w:highlight w:val="none"/>
              </w:rPr>
              <w:t>注：未提供方案或提供的方案未达最低档的不得分。</w:t>
            </w:r>
          </w:p>
        </w:tc>
      </w:tr>
      <w:tr w14:paraId="1B108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9" w:type="dxa"/>
            <w:gridSpan w:val="3"/>
            <w:noWrap w:val="0"/>
            <w:vAlign w:val="center"/>
          </w:tcPr>
          <w:p w14:paraId="527E7920">
            <w:pPr>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（三）商务分（满分14分）</w:t>
            </w:r>
          </w:p>
        </w:tc>
      </w:tr>
      <w:tr w14:paraId="331FD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72A8822E">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bookmarkStart w:id="180" w:name="_Toc9520"/>
            <w:r>
              <w:rPr>
                <w:rFonts w:hint="eastAsia" w:ascii="宋体" w:hAnsi="宋体" w:cs="宋体"/>
                <w:b/>
                <w:bCs w:val="0"/>
                <w:color w:val="auto"/>
                <w:kern w:val="0"/>
                <w:szCs w:val="21"/>
                <w:highlight w:val="none"/>
                <w:lang w:val="en-US" w:eastAsia="zh-CN"/>
              </w:rPr>
              <w:t>业绩分</w:t>
            </w:r>
          </w:p>
        </w:tc>
        <w:tc>
          <w:tcPr>
            <w:tcW w:w="781" w:type="dxa"/>
            <w:noWrap w:val="0"/>
            <w:vAlign w:val="center"/>
          </w:tcPr>
          <w:p w14:paraId="2CEE0E65">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10分</w:t>
            </w:r>
          </w:p>
        </w:tc>
        <w:tc>
          <w:tcPr>
            <w:tcW w:w="7142" w:type="dxa"/>
            <w:noWrap w:val="0"/>
            <w:vAlign w:val="center"/>
          </w:tcPr>
          <w:p w14:paraId="1BEEEF59">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投标人提供 2023 年 1 月 1 日以来开展过同类项目业绩的，每个业绩得2 分，本项满分 10 分。</w:t>
            </w:r>
          </w:p>
          <w:p w14:paraId="731847BB">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 xml:space="preserve">注：提供合同复印件或中标（成交）通知书复印件加盖投标人公章作为佐证材料，否则不得分。如有原中标单位的评价表一并提交。 </w:t>
            </w:r>
          </w:p>
        </w:tc>
      </w:tr>
      <w:tr w14:paraId="77FC9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111E5C76">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服务响应能力</w:t>
            </w:r>
          </w:p>
        </w:tc>
        <w:tc>
          <w:tcPr>
            <w:tcW w:w="781" w:type="dxa"/>
            <w:noWrap w:val="0"/>
            <w:vAlign w:val="center"/>
          </w:tcPr>
          <w:p w14:paraId="3CEF843A">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4分</w:t>
            </w:r>
          </w:p>
        </w:tc>
        <w:tc>
          <w:tcPr>
            <w:tcW w:w="7142" w:type="dxa"/>
            <w:noWrap w:val="0"/>
            <w:vAlign w:val="center"/>
          </w:tcPr>
          <w:p w14:paraId="56FCB754">
            <w:pPr>
              <w:spacing w:line="400" w:lineRule="exact"/>
              <w:ind w:firstLine="357" w:firstLineChars="170"/>
              <w:rPr>
                <w:rFonts w:hint="eastAsia" w:ascii="宋体" w:hAnsi="宋体" w:cs="宋体"/>
                <w:color w:val="auto"/>
                <w:szCs w:val="21"/>
                <w:highlight w:val="none"/>
              </w:rPr>
            </w:pPr>
            <w:r>
              <w:rPr>
                <w:rFonts w:hint="eastAsia" w:ascii="宋体" w:hAnsi="宋体" w:cs="宋体"/>
                <w:color w:val="auto"/>
                <w:szCs w:val="21"/>
                <w:highlight w:val="none"/>
              </w:rPr>
              <w:t>1.承诺日常检修，至少每个季度对</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的输氧管道、压力表、安全阀等设施设备进行检修一次的，得1分；承诺日常检修，每个月对</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的输氧管道、压力表、安全阀等设施设备进行检修一次的，得2分；此项最多得2分。</w:t>
            </w:r>
          </w:p>
          <w:p w14:paraId="617FFD07">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val="en-US" w:eastAsia="zh-CN"/>
              </w:rPr>
            </w:pPr>
            <w:r>
              <w:rPr>
                <w:rFonts w:hint="eastAsia" w:ascii="宋体" w:hAnsi="宋体" w:cs="宋体"/>
                <w:color w:val="auto"/>
                <w:szCs w:val="21"/>
                <w:highlight w:val="none"/>
              </w:rPr>
              <w:t>2.承诺接到电话后15分钟内响应，提供远程指导解决，如不能解决需3小时内到达现场提供服务解决的，得1分；承诺接到电话后10分钟内响应，提供远程指导解决，如不能解决需2小时内到达现场提供服务解决的，得2分；此项最多得2分。</w:t>
            </w:r>
          </w:p>
        </w:tc>
      </w:tr>
      <w:tr w14:paraId="38FE7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9" w:type="dxa"/>
            <w:gridSpan w:val="3"/>
            <w:noWrap w:val="0"/>
            <w:vAlign w:val="center"/>
          </w:tcPr>
          <w:p w14:paraId="1363766D">
            <w:pPr>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lang w:val="en-US" w:eastAsia="zh-CN"/>
              </w:rPr>
              <w:t>总得分=（一）+（二）+</w:t>
            </w:r>
            <w:bookmarkEnd w:id="180"/>
            <w:r>
              <w:rPr>
                <w:rFonts w:hint="eastAsia" w:ascii="宋体" w:hAnsi="宋体" w:cs="宋体"/>
                <w:b/>
                <w:bCs w:val="0"/>
                <w:color w:val="auto"/>
                <w:kern w:val="0"/>
                <w:szCs w:val="21"/>
                <w:highlight w:val="none"/>
                <w:lang w:val="en-US" w:eastAsia="zh-CN"/>
              </w:rPr>
              <w:t>（三）</w:t>
            </w:r>
          </w:p>
        </w:tc>
      </w:tr>
    </w:tbl>
    <w:p w14:paraId="01A58E6A">
      <w:pPr>
        <w:rPr>
          <w:rFonts w:hint="eastAsia" w:ascii="宋体" w:hAnsi="宋体" w:eastAsia="宋体" w:cs="宋体"/>
          <w:color w:val="auto"/>
          <w:highlight w:val="none"/>
        </w:rPr>
      </w:pPr>
      <w:bookmarkStart w:id="181" w:name="_Toc13030"/>
      <w:bookmarkStart w:id="182" w:name="_Toc4130"/>
      <w:r>
        <w:rPr>
          <w:rFonts w:hint="eastAsia" w:ascii="宋体" w:hAnsi="宋体" w:eastAsia="宋体" w:cs="宋体"/>
          <w:color w:val="auto"/>
          <w:highlight w:val="none"/>
        </w:rPr>
        <w:br w:type="page"/>
      </w:r>
    </w:p>
    <w:p w14:paraId="64AD7098">
      <w:pPr>
        <w:pStyle w:val="3"/>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四、中标候选人推荐原则</w:t>
      </w:r>
      <w:bookmarkEnd w:id="181"/>
      <w:bookmarkEnd w:id="182"/>
    </w:p>
    <w:p w14:paraId="578BB840">
      <w:pPr>
        <w:pStyle w:val="20"/>
        <w:pageBreakBefore w:val="0"/>
        <w:kinsoku/>
        <w:wordWrap/>
        <w:overflowPunct/>
        <w:topLinePunct w:val="0"/>
        <w:autoSpaceDE/>
        <w:autoSpaceDN/>
        <w:bidi w:val="0"/>
        <w:spacing w:line="400" w:lineRule="exact"/>
        <w:ind w:firstLine="420" w:firstLineChars="200"/>
        <w:contextualSpacing/>
        <w:textAlignment w:val="auto"/>
        <w:rPr>
          <w:rFonts w:hint="eastAsia" w:hAnsi="宋体" w:cs="宋体"/>
          <w:color w:val="auto"/>
          <w:highlight w:val="none"/>
        </w:rPr>
      </w:pPr>
      <w:r>
        <w:rPr>
          <w:rFonts w:hint="eastAsia" w:hAnsi="宋体" w:cs="宋体"/>
          <w:color w:val="auto"/>
          <w:highlight w:val="none"/>
        </w:rPr>
        <w:t>1.评标委员会根据原始评标记录和评标结果编写评标报告，并通过电子交易平台向采购人、采购代理机构提交。</w:t>
      </w:r>
    </w:p>
    <w:p w14:paraId="2DB3ED84">
      <w:pPr>
        <w:pStyle w:val="20"/>
        <w:pageBreakBefore w:val="0"/>
        <w:kinsoku/>
        <w:wordWrap/>
        <w:overflowPunct/>
        <w:topLinePunct w:val="0"/>
        <w:autoSpaceDE/>
        <w:autoSpaceDN/>
        <w:bidi w:val="0"/>
        <w:spacing w:line="400" w:lineRule="exact"/>
        <w:ind w:firstLine="420" w:firstLineChars="200"/>
        <w:contextualSpacing/>
        <w:textAlignment w:val="auto"/>
        <w:rPr>
          <w:rFonts w:hint="eastAsia" w:hAnsi="宋体" w:cs="宋体"/>
          <w:color w:val="auto"/>
          <w:highlight w:val="none"/>
        </w:rPr>
      </w:pPr>
      <w:r>
        <w:rPr>
          <w:rFonts w:hint="eastAsia" w:hAnsi="宋体" w:cs="宋体"/>
          <w:color w:val="auto"/>
          <w:highlight w:val="none"/>
        </w:rPr>
        <w:t>2.评标委员会将根据总得分由高到低排列次序并推荐中标候选人。得分相同的，以投标报价由低到高顺序排列。得分相同且投标报价相同的并列，投标文件满足招标文件全部实质性要求，且按照评审因素的量化指标评审【详见投标人须知前附表30.1条】得分最高的投标人为排名第一的中标候选人。</w:t>
      </w:r>
    </w:p>
    <w:p w14:paraId="7CFD925B">
      <w:pPr>
        <w:pStyle w:val="20"/>
        <w:spacing w:line="440" w:lineRule="exact"/>
        <w:ind w:firstLine="420" w:firstLineChars="200"/>
        <w:contextualSpacing/>
        <w:rPr>
          <w:rFonts w:hint="eastAsia" w:hAnsi="宋体" w:cs="宋体"/>
          <w:b/>
          <w:color w:val="auto"/>
          <w:sz w:val="24"/>
          <w:highlight w:val="none"/>
        </w:rPr>
      </w:pPr>
      <w:r>
        <w:rPr>
          <w:rFonts w:hint="eastAsia" w:hAnsi="宋体" w:cs="宋体"/>
          <w:color w:val="auto"/>
          <w:highlight w:val="none"/>
        </w:rPr>
        <w:br w:type="page"/>
      </w:r>
    </w:p>
    <w:p w14:paraId="032C592D">
      <w:pPr>
        <w:pStyle w:val="2"/>
        <w:jc w:val="center"/>
        <w:rPr>
          <w:rFonts w:hint="eastAsia" w:ascii="宋体" w:hAnsi="宋体" w:eastAsia="宋体" w:cs="宋体"/>
          <w:b/>
          <w:bCs/>
          <w:color w:val="auto"/>
          <w:sz w:val="24"/>
          <w:szCs w:val="24"/>
          <w:highlight w:val="none"/>
        </w:rPr>
      </w:pPr>
      <w:bookmarkStart w:id="183" w:name="_Toc25693"/>
      <w:bookmarkStart w:id="184" w:name="_Toc5182"/>
      <w:bookmarkStart w:id="185" w:name="_Toc22428"/>
      <w:r>
        <w:rPr>
          <w:rFonts w:hint="eastAsia" w:ascii="宋体" w:hAnsi="宋体" w:cs="宋体"/>
          <w:color w:val="auto"/>
          <w:highlight w:val="none"/>
        </w:rPr>
        <w:t>第五章  拟签订的合同文本</w:t>
      </w:r>
      <w:bookmarkEnd w:id="183"/>
      <w:bookmarkEnd w:id="184"/>
      <w:bookmarkEnd w:id="185"/>
    </w:p>
    <w:p w14:paraId="57FD64DD">
      <w:pPr>
        <w:snapToGrid/>
        <w:spacing w:line="240" w:lineRule="auto"/>
        <w:jc w:val="center"/>
        <w:rPr>
          <w:rFonts w:hint="default" w:ascii="仿宋_GB2312" w:hAnsi="楷体" w:eastAsia="仿宋_GB2312"/>
          <w:color w:val="auto"/>
          <w:sz w:val="24"/>
          <w:highlight w:val="none"/>
          <w:u w:val="single"/>
          <w:lang w:val="en-US" w:eastAsia="zh-CN"/>
        </w:rPr>
      </w:pPr>
      <w:bookmarkStart w:id="186" w:name="_Toc20718"/>
      <w:bookmarkStart w:id="187" w:name="_Toc25427"/>
      <w:bookmarkStart w:id="188" w:name="_Toc30294"/>
      <w:r>
        <w:rPr>
          <w:rFonts w:hint="eastAsia" w:ascii="方正小标宋简体" w:hAnsi="方正小标宋简体" w:eastAsia="方正小标宋简体" w:cs="方正小标宋简体"/>
          <w:b w:val="0"/>
          <w:bCs w:val="0"/>
          <w:i w:val="0"/>
          <w:iCs w:val="0"/>
          <w:color w:val="auto"/>
          <w:kern w:val="2"/>
          <w:sz w:val="44"/>
          <w:szCs w:val="44"/>
          <w:highlight w:val="none"/>
          <w:u w:val="none"/>
          <w:lang w:val="en-US" w:eastAsia="zh-CN" w:bidi="ar"/>
        </w:rPr>
        <w:t>医用液氧</w:t>
      </w:r>
      <w:r>
        <w:rPr>
          <w:rFonts w:hint="eastAsia" w:ascii="方正小标宋简体" w:hAnsi="方正小标宋简体" w:eastAsia="方正小标宋简体" w:cs="方正小标宋简体"/>
          <w:b w:val="0"/>
          <w:bCs w:val="0"/>
          <w:color w:val="auto"/>
          <w:sz w:val="44"/>
          <w:szCs w:val="44"/>
          <w:highlight w:val="none"/>
        </w:rPr>
        <w:t>采购合同</w:t>
      </w:r>
    </w:p>
    <w:p w14:paraId="7261CFD3">
      <w:pPr>
        <w:snapToGrid w:val="0"/>
        <w:spacing w:line="360" w:lineRule="exact"/>
        <w:rPr>
          <w:rFonts w:hint="eastAsia" w:ascii="宋体" w:hAnsi="宋体"/>
          <w:color w:val="auto"/>
          <w:szCs w:val="21"/>
          <w:highlight w:val="none"/>
        </w:rPr>
      </w:pPr>
    </w:p>
    <w:p w14:paraId="56211217">
      <w:pPr>
        <w:snapToGrid w:val="0"/>
        <w:spacing w:line="360" w:lineRule="auto"/>
        <w:rPr>
          <w:rFonts w:hint="eastAsia" w:ascii="宋体" w:hAnsi="宋体" w:eastAsia="宋体"/>
          <w:color w:val="auto"/>
          <w:szCs w:val="21"/>
          <w:highlight w:val="none"/>
          <w:u w:val="single"/>
          <w:lang w:val="en-US" w:eastAsia="zh-CN"/>
        </w:rPr>
      </w:pPr>
      <w:r>
        <w:rPr>
          <w:rFonts w:hint="eastAsia" w:ascii="宋体" w:hAnsi="宋体"/>
          <w:color w:val="auto"/>
          <w:szCs w:val="21"/>
          <w:highlight w:val="none"/>
        </w:rPr>
        <w:t>采购人（甲方）</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广西壮族自治区职业病防治研究院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p>
    <w:p w14:paraId="2FA6D93D">
      <w:pPr>
        <w:snapToGrid w:val="0"/>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rPr>
        <w:t>供 应 商（乙方）</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p>
    <w:p w14:paraId="5894BC4B">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签 订 地 点</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南宁市</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 订 时 间</w:t>
      </w:r>
      <w:r>
        <w:rPr>
          <w:rFonts w:hint="eastAsia" w:ascii="宋体" w:hAnsi="宋体"/>
          <w:color w:val="auto"/>
          <w:szCs w:val="21"/>
          <w:highlight w:val="non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2026年   月   日   </w:t>
      </w:r>
    </w:p>
    <w:p w14:paraId="2C60E280">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根据《中华人民共和国政府采购法》、《中华人民共和国民法典》等法律、法规规定，按照招标文件（采购文件）规定条款和中标（成交）供应商承诺，甲乙双方签订本合同。</w:t>
      </w:r>
    </w:p>
    <w:p w14:paraId="05BB603E">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第一条　合同标的</w:t>
      </w:r>
    </w:p>
    <w:p w14:paraId="2DD62962">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1.供货一览表</w:t>
      </w:r>
    </w:p>
    <w:tbl>
      <w:tblPr>
        <w:tblStyle w:val="39"/>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155"/>
        <w:gridCol w:w="1221"/>
        <w:gridCol w:w="2016"/>
        <w:gridCol w:w="1225"/>
        <w:gridCol w:w="709"/>
        <w:gridCol w:w="1646"/>
      </w:tblGrid>
      <w:tr w14:paraId="00F9B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646" w:type="dxa"/>
            <w:noWrap w:val="0"/>
            <w:vAlign w:val="center"/>
          </w:tcPr>
          <w:p w14:paraId="661860F1">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序号</w:t>
            </w:r>
          </w:p>
        </w:tc>
        <w:tc>
          <w:tcPr>
            <w:tcW w:w="1155" w:type="dxa"/>
            <w:noWrap w:val="0"/>
            <w:vAlign w:val="center"/>
          </w:tcPr>
          <w:p w14:paraId="4C86BE93">
            <w:pPr>
              <w:jc w:val="center"/>
              <w:rPr>
                <w:rFonts w:hint="eastAsia" w:ascii="宋体" w:hAnsi="宋体"/>
                <w:color w:val="auto"/>
                <w:szCs w:val="21"/>
                <w:highlight w:val="none"/>
              </w:rPr>
            </w:pPr>
            <w:r>
              <w:rPr>
                <w:rFonts w:hint="eastAsia" w:ascii="宋体" w:hAnsi="宋体"/>
                <w:color w:val="auto"/>
                <w:szCs w:val="22"/>
                <w:highlight w:val="none"/>
              </w:rPr>
              <w:t>货物规格型号</w:t>
            </w:r>
          </w:p>
        </w:tc>
        <w:tc>
          <w:tcPr>
            <w:tcW w:w="1221" w:type="dxa"/>
            <w:noWrap w:val="0"/>
            <w:vAlign w:val="center"/>
          </w:tcPr>
          <w:p w14:paraId="4387DC05">
            <w:pPr>
              <w:jc w:val="center"/>
              <w:rPr>
                <w:rFonts w:hint="eastAsia" w:ascii="宋体" w:hAnsi="宋体"/>
                <w:color w:val="auto"/>
                <w:szCs w:val="21"/>
                <w:highlight w:val="none"/>
              </w:rPr>
            </w:pPr>
            <w:r>
              <w:rPr>
                <w:rFonts w:hint="eastAsia" w:ascii="宋体" w:hAnsi="宋体"/>
                <w:color w:val="auto"/>
                <w:szCs w:val="22"/>
                <w:highlight w:val="none"/>
              </w:rPr>
              <w:t>品牌</w:t>
            </w:r>
          </w:p>
        </w:tc>
        <w:tc>
          <w:tcPr>
            <w:tcW w:w="2016" w:type="dxa"/>
            <w:noWrap w:val="0"/>
            <w:vAlign w:val="center"/>
          </w:tcPr>
          <w:p w14:paraId="373BB6D2">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生产厂家</w:t>
            </w:r>
          </w:p>
        </w:tc>
        <w:tc>
          <w:tcPr>
            <w:tcW w:w="1225" w:type="dxa"/>
            <w:noWrap w:val="0"/>
            <w:vAlign w:val="center"/>
          </w:tcPr>
          <w:p w14:paraId="25344E88">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数量</w:t>
            </w:r>
          </w:p>
        </w:tc>
        <w:tc>
          <w:tcPr>
            <w:tcW w:w="709" w:type="dxa"/>
            <w:noWrap w:val="0"/>
            <w:vAlign w:val="center"/>
          </w:tcPr>
          <w:p w14:paraId="5A542891">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单位</w:t>
            </w:r>
          </w:p>
        </w:tc>
        <w:tc>
          <w:tcPr>
            <w:tcW w:w="1646" w:type="dxa"/>
            <w:noWrap w:val="0"/>
            <w:vAlign w:val="center"/>
          </w:tcPr>
          <w:p w14:paraId="5B7A8E38">
            <w:pPr>
              <w:snapToGrid w:val="0"/>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rPr>
              <w:t>金 额</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单 价</w:t>
            </w:r>
            <w:r>
              <w:rPr>
                <w:rFonts w:hint="eastAsia" w:ascii="宋体" w:hAnsi="宋体"/>
                <w:color w:val="auto"/>
                <w:szCs w:val="21"/>
                <w:highlight w:val="none"/>
                <w:lang w:eastAsia="zh-CN"/>
              </w:rPr>
              <w:t>）</w:t>
            </w:r>
          </w:p>
          <w:p w14:paraId="6086055F">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（元）</w:t>
            </w:r>
          </w:p>
        </w:tc>
      </w:tr>
      <w:tr w14:paraId="3B14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646" w:type="dxa"/>
            <w:noWrap w:val="0"/>
            <w:vAlign w:val="center"/>
          </w:tcPr>
          <w:p w14:paraId="30C7D1C3">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1155" w:type="dxa"/>
            <w:noWrap w:val="0"/>
            <w:vAlign w:val="center"/>
          </w:tcPr>
          <w:p w14:paraId="6F19D0E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99.6%(ml/ml)</w:t>
            </w:r>
          </w:p>
        </w:tc>
        <w:tc>
          <w:tcPr>
            <w:tcW w:w="1221" w:type="dxa"/>
            <w:noWrap w:val="0"/>
            <w:vAlign w:val="center"/>
          </w:tcPr>
          <w:p w14:paraId="2A32D0A8">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p>
        </w:tc>
        <w:tc>
          <w:tcPr>
            <w:tcW w:w="2016" w:type="dxa"/>
            <w:noWrap w:val="0"/>
            <w:vAlign w:val="center"/>
          </w:tcPr>
          <w:p w14:paraId="3CF94570">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p>
        </w:tc>
        <w:tc>
          <w:tcPr>
            <w:tcW w:w="1225" w:type="dxa"/>
            <w:noWrap w:val="0"/>
            <w:vAlign w:val="center"/>
          </w:tcPr>
          <w:p w14:paraId="6D2E03D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按实际使用量结算</w:t>
            </w:r>
          </w:p>
          <w:p w14:paraId="0C4C5766">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p>
        </w:tc>
        <w:tc>
          <w:tcPr>
            <w:tcW w:w="709" w:type="dxa"/>
            <w:noWrap w:val="0"/>
            <w:vAlign w:val="center"/>
          </w:tcPr>
          <w:p w14:paraId="0D5277A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吨</w:t>
            </w:r>
          </w:p>
        </w:tc>
        <w:tc>
          <w:tcPr>
            <w:tcW w:w="1646" w:type="dxa"/>
            <w:noWrap w:val="0"/>
            <w:vAlign w:val="center"/>
          </w:tcPr>
          <w:p w14:paraId="030B1E3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p w14:paraId="3740677F">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p>
        </w:tc>
      </w:tr>
    </w:tbl>
    <w:p w14:paraId="7FE1ACDC">
      <w:pPr>
        <w:numPr>
          <w:ilvl w:val="0"/>
          <w:numId w:val="3"/>
        </w:numPr>
        <w:snapToGrid w:val="0"/>
        <w:spacing w:line="360" w:lineRule="auto"/>
        <w:ind w:right="420" w:firstLine="420" w:firstLineChars="200"/>
        <w:rPr>
          <w:rFonts w:hint="eastAsia" w:ascii="宋体" w:hAnsi="宋体"/>
          <w:color w:val="auto"/>
          <w:szCs w:val="21"/>
          <w:highlight w:val="none"/>
        </w:rPr>
      </w:pPr>
      <w:r>
        <w:rPr>
          <w:rFonts w:hint="eastAsia" w:ascii="宋体" w:hAnsi="宋体"/>
          <w:color w:val="auto"/>
          <w:szCs w:val="21"/>
          <w:highlight w:val="none"/>
        </w:rPr>
        <w:t>合同合计金额</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单价</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含税</w:t>
      </w:r>
      <w:r>
        <w:rPr>
          <w:rFonts w:hint="eastAsia" w:ascii="宋体" w:hAnsi="宋体"/>
          <w:color w:val="auto"/>
          <w:szCs w:val="21"/>
          <w:highlight w:val="none"/>
        </w:rPr>
        <w:t>包括货物价款，备件、专用工具、安装、调试、检验、技术培训及技术资料和包装、运输等全部费用；除非另有明确约定，甲方无需向乙方支付额外任何价款、费用或报销。如公告规定、采购文件及投标文件对其另有规定的，从其规定。</w:t>
      </w:r>
    </w:p>
    <w:p w14:paraId="015E96BA">
      <w:pPr>
        <w:pStyle w:val="15"/>
        <w:ind w:firstLine="420" w:firstLineChars="200"/>
        <w:rPr>
          <w:rFonts w:hint="default" w:eastAsia="宋体"/>
          <w:color w:val="auto"/>
          <w:highlight w:val="none"/>
          <w:lang w:val="en-US" w:eastAsia="zh-CN"/>
        </w:rPr>
      </w:pPr>
      <w:r>
        <w:rPr>
          <w:rFonts w:hint="eastAsia"/>
          <w:color w:val="auto"/>
          <w:highlight w:val="none"/>
        </w:rPr>
        <w:t>3. 服务期限：</w:t>
      </w:r>
      <w:r>
        <w:rPr>
          <w:rFonts w:hint="eastAsia"/>
          <w:color w:val="auto"/>
          <w:highlight w:val="none"/>
          <w:lang w:val="en-US" w:eastAsia="zh-CN"/>
        </w:rPr>
        <w:t>2026年  月  日至2029年  月  日。</w:t>
      </w:r>
    </w:p>
    <w:p w14:paraId="65219516">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第二条　质量要求</w:t>
      </w:r>
    </w:p>
    <w:p w14:paraId="58EEC1D7">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1.乙方所提供的产品名</w:t>
      </w:r>
      <w:bookmarkStart w:id="205" w:name="_GoBack"/>
      <w:bookmarkEnd w:id="205"/>
      <w:r>
        <w:rPr>
          <w:rFonts w:hint="eastAsia" w:ascii="宋体" w:hAnsi="宋体"/>
          <w:color w:val="auto"/>
          <w:szCs w:val="21"/>
          <w:highlight w:val="none"/>
        </w:rPr>
        <w:t>称、商标品牌、生产厂家、规格型号、技术参数等质量必须与招标文件规定及投标文件承诺相一致。乙方提供的节能和环保产品必须是列入政府采购品目清单的产品。</w:t>
      </w:r>
    </w:p>
    <w:p w14:paraId="6AD9A6F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2.乙方所提供的货物必须是全新、未使用的原装产品，且在正常安装、使用和保养条件下，其使用寿命期内各项指标均达到招标文件规定或者投标文件承诺的质量要求。</w:t>
      </w:r>
    </w:p>
    <w:p w14:paraId="171036D5">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乙方所提供的产品名称、商标品牌、生产厂家、规格型号、技术参数等须与招标文件规定及响应文件承诺相一致；经乙方安装调试完毕的产品，应满足甲方需求、合同目的，能够正常实现招投标文件中要求的功能、参数。</w:t>
      </w:r>
    </w:p>
    <w:p w14:paraId="119FE822">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第三条　权利保证</w:t>
      </w:r>
    </w:p>
    <w:p w14:paraId="0BA43B78">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1.乙方应保证所提供货物在使用时不会侵犯任何第三方的专利权、商标权、工业设计权或者其他权利。</w:t>
      </w:r>
    </w:p>
    <w:p w14:paraId="107F2A15">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2.乙方应按招标文件规定或者投标文件承诺的时间向甲方提供使用货物的有关技术资料。</w:t>
      </w:r>
    </w:p>
    <w:p w14:paraId="71FF2C25">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2293769A">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4.乙方保证将要交付的货物的所有权完全属于乙方且无任何抵押、质押、查封等产权瑕疵。</w:t>
      </w:r>
    </w:p>
    <w:p w14:paraId="2966B4DE">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 乙方应对履行本协议过程中所接触到的甲方的保密信息，包括但不限于患者个人信息、医院内部资料及相关技术资料等负有保密义务，不得进行任何形式的使用或者透露给任何第三方或作为其他商业用途。未经甲方书面同意，乙方不得以任何形式向第三方透露，否则应承担由此给甲方造成的所有损失。乙方对于保密信息的义务应延续至该等信息因合法的原因而成为公开信息。</w:t>
      </w:r>
    </w:p>
    <w:p w14:paraId="3D3BDFCB">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 乙方以及乙方安排完成合同项目的工作人员，应当确保具备与本合同约定所要求相符合的资质与条件，具备相应的工作经验，乙方须完全符合并遵守本合同所涉及的相关法律、法规、规范性文件的规定，确保可以依法开展合同约定的事项。</w:t>
      </w:r>
    </w:p>
    <w:p w14:paraId="67D23152">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第四条　包装和运输</w:t>
      </w:r>
    </w:p>
    <w:p w14:paraId="05BA0D79">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1.乙方提供的货物均应按招标文件规定或者投标文件承诺的要求的包装材料、包装标准、包装方式进行包装，每一包装单元内应附详细的装箱单和质量合格证。</w:t>
      </w:r>
    </w:p>
    <w:p w14:paraId="3D809F63">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2.货物的运输方式：</w:t>
      </w:r>
      <w:r>
        <w:rPr>
          <w:rFonts w:hint="eastAsia" w:ascii="宋体" w:hAnsi="宋体"/>
          <w:color w:val="auto"/>
          <w:szCs w:val="21"/>
          <w:highlight w:val="none"/>
          <w:u w:val="single"/>
        </w:rPr>
        <w:t xml:space="preserve">  陆运（汽车运输） 。</w:t>
      </w:r>
    </w:p>
    <w:p w14:paraId="1ABFBB9B">
      <w:pPr>
        <w:snapToGrid w:val="0"/>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3.乙方负责货物运输，货物运输合理损耗及计算方法：</w:t>
      </w:r>
      <w:r>
        <w:rPr>
          <w:rFonts w:hint="eastAsia" w:ascii="宋体" w:hAnsi="宋体"/>
          <w:color w:val="auto"/>
          <w:szCs w:val="21"/>
          <w:highlight w:val="none"/>
          <w:u w:val="single"/>
        </w:rPr>
        <w:t xml:space="preserve">    无      。</w:t>
      </w:r>
    </w:p>
    <w:p w14:paraId="477B5AD6">
      <w:pPr>
        <w:snapToGrid w:val="0"/>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4.全部产品运输到甲方指定地点所发生包括但不限于运费、保险费、装卸费、仓储费及其他一切费用由乙方承担。货物装卸、转运需要装卸、运输工具的由乙方自行负责。乙方提供的货物包装及快递包装应满足财政部等三部门联合印发《商品包装和快递包装政府采购需求标准（试行）》财办库〔2020〕123号文及《医疗器械经营质量管理规范附录：专门提供医疗器械运输贮存服务的企业质量管理》要求和相关规范。</w:t>
      </w:r>
    </w:p>
    <w:p w14:paraId="317F4D4B">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第五条　交付和验收</w:t>
      </w:r>
    </w:p>
    <w:p w14:paraId="7BFF074F">
      <w:pPr>
        <w:keepNext w:val="0"/>
        <w:keepLines w:val="0"/>
        <w:widowControl/>
        <w:suppressLineNumbers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1.交付时间：</w:t>
      </w:r>
      <w:r>
        <w:rPr>
          <w:rFonts w:hint="eastAsia" w:ascii="宋体" w:hAnsi="宋体" w:eastAsia="宋体"/>
          <w:color w:val="auto"/>
          <w:szCs w:val="21"/>
          <w:highlight w:val="none"/>
          <w:u w:val="single"/>
          <w:lang w:val="en-US" w:eastAsia="zh-CN"/>
        </w:rPr>
        <w:t>1、按甲方要求的时间，24 小时送货上门，一般情况 12 小时内送货上门， 2、紧急情况在 30 分钟内相应，1 小时内送货上门（调用其它站点紧急供应），每次送货上门产品配备质检报告书</w:t>
      </w:r>
      <w:r>
        <w:rPr>
          <w:rFonts w:hint="eastAsia" w:ascii="宋体" w:hAnsi="宋体"/>
          <w:color w:val="auto"/>
          <w:szCs w:val="21"/>
          <w:highlight w:val="none"/>
        </w:rPr>
        <w:t>；交付地点：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甲方</w:t>
      </w:r>
      <w:r>
        <w:rPr>
          <w:rFonts w:hint="eastAsia" w:ascii="宋体" w:hAnsi="宋体"/>
          <w:color w:val="auto"/>
          <w:szCs w:val="21"/>
          <w:highlight w:val="none"/>
          <w:u w:val="single"/>
        </w:rPr>
        <w:t xml:space="preserve">指定地点  </w:t>
      </w:r>
      <w:r>
        <w:rPr>
          <w:rFonts w:hint="eastAsia" w:ascii="宋体" w:hAnsi="宋体"/>
          <w:color w:val="auto"/>
          <w:szCs w:val="21"/>
          <w:highlight w:val="none"/>
        </w:rPr>
        <w:t>。</w:t>
      </w:r>
    </w:p>
    <w:p w14:paraId="6C3B3C2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乙方提供不符合招标文件规定或者投标文件承诺的和本合同规定的货物，甲方有权拒绝接受。甲方如发现乙方所交付的货物有短装、次品、损坏或其他不符合公告规定、采购文件、投标文件承诺、本合同规定之情形的，甲方有权拒绝接受并根据货物具体情形做出现场记录（或由甲乙双方签署备忘录），此现场记录（或备忘录）可用作证明货物应补充更换、存在损坏的有效证据。乙方应负责免费补充、更换货物，由此产生的时间延误与有关费用由乙方承担，验收期限相应顺延。</w:t>
      </w:r>
    </w:p>
    <w:p w14:paraId="728882A8">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乙方交货前应对产品拟提交的货物作出全面检查和对验收文件进行整理，并列出清单，作为甲方收货验收和使用的技术条件依据，检验的结果同样应随货物交甲方。同时，乙方应将所提供货物的装箱清单、用户手册、原厂保修卡、随机资料、工具和备品、备件等一并交付给甲方；如货物属于进口产品的，供货时应同时附上中文使用说明书；乙方不能完整交付货物及本款规定的单证和工具的，必须在甲方指定的期限内补齐，否则视为逾期交货。 在合同标的物到达指定地点后，甲、乙双方代表应对产品的数量、包装、规格、品牌、质量、随付单证等清点，进行初步到货清点、验收。未经甲方清点、验收的货物乙方不得安装调试，已经安装的甲方有权拒绝进行产品验收。</w:t>
      </w:r>
    </w:p>
    <w:p w14:paraId="079CD638">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甲方对乙方提交的货物依据采购文件上的技术规格要求和国家有关质量标准进行现场签收，外观、说明书符合采购文件技术要求的，给予签收，不合格的不予签收。该签收仅指外观、说明书符合采购文件技术要求而非认可货物验收合格。</w:t>
      </w:r>
    </w:p>
    <w:p w14:paraId="10EA4921">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3C3E8890">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6.甲方对验收有异议的，在验收后五个工作日内以书面形式向乙方提出，，乙方应自收到甲方书面异议后三日内及时予以解决，乙方不予答复或未予以实质解决的，视为认可甲方异议及处置意见。</w:t>
      </w:r>
    </w:p>
    <w:p w14:paraId="01A810EC">
      <w:pPr>
        <w:snapToGrid w:val="0"/>
        <w:spacing w:line="360" w:lineRule="auto"/>
        <w:ind w:firstLine="420" w:firstLineChars="200"/>
        <w:rPr>
          <w:rFonts w:hint="eastAsia"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7.其他未尽事宜应严格按照《关于印发广西壮族自治区政府采购项目履约验收管理办法的通知》[桂财采〔2015〕22号]以及《财政部关于进一步加强政府采购需求和履约验收管理。</w:t>
      </w:r>
    </w:p>
    <w:p w14:paraId="6A1FEA35">
      <w:pPr>
        <w:snapToGrid w:val="0"/>
        <w:spacing w:line="360" w:lineRule="auto"/>
        <w:ind w:firstLine="420" w:firstLineChars="200"/>
        <w:rPr>
          <w:rFonts w:hint="eastAsia" w:ascii="宋体" w:hAnsi="宋体" w:eastAsia="宋体"/>
          <w:b w:val="0"/>
          <w:bCs/>
          <w:color w:val="auto"/>
          <w:szCs w:val="21"/>
          <w:highlight w:val="none"/>
          <w:lang w:val="en-US" w:eastAsia="zh-CN"/>
        </w:rPr>
      </w:pPr>
      <w:r>
        <w:rPr>
          <w:rFonts w:hint="eastAsia" w:ascii="宋体" w:hAnsi="宋体"/>
          <w:b w:val="0"/>
          <w:bCs/>
          <w:color w:val="auto"/>
          <w:szCs w:val="21"/>
          <w:highlight w:val="none"/>
          <w:lang w:val="en-US" w:eastAsia="zh-CN"/>
        </w:rPr>
        <w:t>8</w:t>
      </w:r>
      <w:r>
        <w:rPr>
          <w:rFonts w:hint="eastAsia" w:ascii="宋体" w:hAnsi="宋体" w:eastAsia="宋体"/>
          <w:b w:val="0"/>
          <w:bCs/>
          <w:color w:val="auto"/>
          <w:szCs w:val="21"/>
          <w:highlight w:val="none"/>
          <w:lang w:val="en-US" w:eastAsia="zh-CN"/>
        </w:rPr>
        <w:t>. 产品到验收时，甲、乙双方应派代表到现场按照按相关行业标准及甲乙双方确认的方案进行检验，并据实签署《产品验收单》作为凭证。乙方对不合格的产品验收意见提出书面异议期限为叁日，逾期视为无异议。验收合格后由甲乙双方签署货物验收单并加盖甲方公章，甲乙双方各执一份。如涉及短期内无法发现的问题与瑕疵，甲方在检验期限内难以完成全面检验的，以上期限仅视为甲方对标的物的外观瑕疵提出异议的期限，具体期限根据甲方实际使用情况酌情延长。</w:t>
      </w:r>
    </w:p>
    <w:p w14:paraId="6E57D24A">
      <w:pPr>
        <w:snapToGrid w:val="0"/>
        <w:spacing w:line="360" w:lineRule="auto"/>
        <w:ind w:firstLine="420" w:firstLineChars="200"/>
        <w:rPr>
          <w:rFonts w:hint="eastAsia" w:ascii="宋体" w:hAnsi="宋体" w:eastAsia="宋体"/>
          <w:b w:val="0"/>
          <w:bCs/>
          <w:color w:val="auto"/>
          <w:szCs w:val="21"/>
          <w:highlight w:val="none"/>
          <w:lang w:val="en-US" w:eastAsia="zh-CN"/>
        </w:rPr>
      </w:pPr>
      <w:r>
        <w:rPr>
          <w:rFonts w:hint="eastAsia" w:ascii="宋体" w:hAnsi="宋体"/>
          <w:b w:val="0"/>
          <w:bCs/>
          <w:color w:val="auto"/>
          <w:szCs w:val="21"/>
          <w:highlight w:val="none"/>
          <w:lang w:val="en-US" w:eastAsia="zh-CN"/>
        </w:rPr>
        <w:t>9</w:t>
      </w:r>
      <w:r>
        <w:rPr>
          <w:rFonts w:hint="eastAsia" w:ascii="宋体" w:hAnsi="宋体" w:eastAsia="宋体"/>
          <w:b w:val="0"/>
          <w:bCs/>
          <w:color w:val="auto"/>
          <w:szCs w:val="21"/>
          <w:highlight w:val="none"/>
          <w:lang w:val="en-US" w:eastAsia="zh-CN"/>
        </w:rPr>
        <w:t>. 甲、乙双方对产品质量有争议协商不成且需要通过检测/鉴定才能判断时，甲方有权委托具有相应资质的检测/鉴定单位按照相关标准进行检测/鉴定，质量检测/鉴定合格的检测/鉴定费用由甲方承担，质量检测/鉴定不合格的检测费/鉴定用由乙方承担，乙方应当在伍个工作日内更换符合本合同质量要求的合格产品，由此产生的费用由乙方承担，并承担相应违约责任。</w:t>
      </w:r>
    </w:p>
    <w:p w14:paraId="7CD771E5">
      <w:pPr>
        <w:snapToGrid w:val="0"/>
        <w:spacing w:line="360" w:lineRule="auto"/>
        <w:ind w:firstLine="420" w:firstLineChars="200"/>
        <w:rPr>
          <w:rFonts w:hint="eastAsia" w:ascii="宋体" w:hAnsi="宋体" w:eastAsia="宋体"/>
          <w:b w:val="0"/>
          <w:bCs/>
          <w:color w:val="auto"/>
          <w:szCs w:val="21"/>
          <w:highlight w:val="none"/>
          <w:lang w:val="en-US" w:eastAsia="zh-CN"/>
        </w:rPr>
      </w:pPr>
      <w:r>
        <w:rPr>
          <w:rFonts w:hint="eastAsia" w:ascii="宋体" w:hAnsi="宋体"/>
          <w:b w:val="0"/>
          <w:bCs/>
          <w:color w:val="auto"/>
          <w:szCs w:val="21"/>
          <w:highlight w:val="none"/>
          <w:lang w:val="en-US" w:eastAsia="zh-CN"/>
        </w:rPr>
        <w:t>11.</w:t>
      </w:r>
      <w:r>
        <w:rPr>
          <w:rFonts w:hint="eastAsia" w:ascii="宋体" w:hAnsi="宋体" w:eastAsia="宋体"/>
          <w:b w:val="0"/>
          <w:bCs/>
          <w:color w:val="auto"/>
          <w:szCs w:val="21"/>
          <w:highlight w:val="none"/>
          <w:lang w:val="en-US" w:eastAsia="zh-CN"/>
        </w:rPr>
        <w:t xml:space="preserve"> 根据规定或因技术性强需要相关部门检测结果作为验收依据或需要有相关政府部门组织、参加的，应委托相关部门先行检测或邀请相关政府部门组织、参加产品验收。检测、验收所需费用由乙方负责。</w:t>
      </w:r>
    </w:p>
    <w:p w14:paraId="5DE9CD84">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第六条　安装和培训</w:t>
      </w:r>
    </w:p>
    <w:p w14:paraId="4270C9C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一、</w:t>
      </w:r>
      <w:r>
        <w:rPr>
          <w:rFonts w:hint="eastAsia" w:ascii="宋体" w:hAnsi="宋体" w:eastAsia="宋体"/>
          <w:color w:val="auto"/>
          <w:szCs w:val="21"/>
          <w:highlight w:val="none"/>
        </w:rPr>
        <w:t>甲方应提供必要安装条件（如场地、电源、水源等）。</w:t>
      </w:r>
    </w:p>
    <w:p w14:paraId="50BDFEDB">
      <w:pPr>
        <w:keepNext w:val="0"/>
        <w:keepLines w:val="0"/>
        <w:pageBreakBefore w:val="0"/>
        <w:widowControl w:val="0"/>
        <w:kinsoku/>
        <w:wordWrap/>
        <w:overflowPunct/>
        <w:topLinePunct w:val="0"/>
        <w:autoSpaceDE/>
        <w:autoSpaceDN/>
        <w:bidi w:val="0"/>
        <w:adjustRightInd/>
        <w:snapToGrid w:val="0"/>
        <w:spacing w:line="360" w:lineRule="auto"/>
        <w:ind w:left="420" w:leftChars="200" w:firstLine="0" w:firstLineChars="0"/>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val="en-US" w:eastAsia="zh-CN"/>
        </w:rPr>
        <w:t>二、乙方</w:t>
      </w:r>
      <w:r>
        <w:rPr>
          <w:rFonts w:hint="eastAsia" w:ascii="宋体" w:hAnsi="宋体" w:eastAsia="宋体"/>
          <w:color w:val="auto"/>
          <w:szCs w:val="21"/>
          <w:highlight w:val="none"/>
        </w:rPr>
        <w:t>免费为医院提供以下设备：</w:t>
      </w:r>
      <w:r>
        <w:rPr>
          <w:rFonts w:hint="eastAsia" w:ascii="宋体" w:hAnsi="宋体" w:eastAsia="宋体"/>
          <w:color w:val="auto"/>
          <w:szCs w:val="21"/>
          <w:highlight w:val="none"/>
        </w:rPr>
        <w:cr/>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5m³低温液氧储槽</w:t>
      </w:r>
      <w:r>
        <w:rPr>
          <w:rFonts w:hint="eastAsia" w:ascii="宋体" w:hAnsi="宋体" w:eastAsia="宋体"/>
          <w:color w:val="auto"/>
          <w:szCs w:val="21"/>
          <w:highlight w:val="none"/>
          <w:shd w:val="clear" w:color="auto" w:fill="auto"/>
          <w:lang w:eastAsia="zh-CN"/>
        </w:rPr>
        <w:t>四</w:t>
      </w:r>
      <w:r>
        <w:rPr>
          <w:rFonts w:hint="eastAsia" w:ascii="宋体" w:hAnsi="宋体" w:eastAsia="宋体"/>
          <w:color w:val="auto"/>
          <w:szCs w:val="21"/>
          <w:highlight w:val="none"/>
          <w:shd w:val="clear" w:color="auto" w:fill="auto"/>
        </w:rPr>
        <w:t>台</w:t>
      </w:r>
      <w:r>
        <w:rPr>
          <w:rFonts w:hint="eastAsia" w:ascii="宋体" w:hAnsi="宋体" w:eastAsia="宋体"/>
          <w:color w:val="auto"/>
          <w:szCs w:val="21"/>
          <w:highlight w:val="none"/>
        </w:rPr>
        <w:t>（须办理好《特种设备使用证》）</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cr/>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设计压力：0.8/0.1MPa</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cr/>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设计温度：-196/20℃</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cr/>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储槽要求液相、气相均为双阀，达到储槽和汽化器并联交替使用</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cr/>
      </w:r>
      <w:r>
        <w:rPr>
          <w:rFonts w:hint="eastAsia" w:ascii="宋体" w:hAnsi="宋体" w:eastAsia="宋体"/>
          <w:color w:val="auto"/>
          <w:szCs w:val="21"/>
          <w:highlight w:val="none"/>
          <w:lang w:val="en-US" w:eastAsia="zh-CN"/>
        </w:rPr>
        <w:t>5.</w:t>
      </w:r>
      <w:r>
        <w:rPr>
          <w:rFonts w:hint="eastAsia" w:ascii="宋体" w:hAnsi="宋体" w:eastAsia="宋体"/>
          <w:color w:val="auto"/>
          <w:szCs w:val="21"/>
          <w:highlight w:val="none"/>
        </w:rPr>
        <w:t>汽化器两套（≥100</w:t>
      </w:r>
      <w:r>
        <w:rPr>
          <w:rFonts w:hint="eastAsia" w:ascii="宋体" w:hAnsi="宋体" w:eastAsia="宋体"/>
          <w:color w:val="auto"/>
          <w:szCs w:val="21"/>
          <w:highlight w:val="none"/>
          <w:lang w:val="en-US" w:eastAsia="zh-CN"/>
        </w:rPr>
        <w:t>m³</w:t>
      </w:r>
      <w:r>
        <w:rPr>
          <w:rFonts w:hint="eastAsia" w:ascii="宋体" w:hAnsi="宋体" w:eastAsia="宋体"/>
          <w:color w:val="auto"/>
          <w:szCs w:val="21"/>
          <w:highlight w:val="none"/>
        </w:rPr>
        <w:t>/小时）</w:t>
      </w:r>
      <w:r>
        <w:rPr>
          <w:rFonts w:hint="eastAsia" w:ascii="宋体" w:hAnsi="宋体" w:eastAsia="宋体"/>
          <w:color w:val="auto"/>
          <w:szCs w:val="21"/>
          <w:highlight w:val="none"/>
          <w:lang w:eastAsia="zh-CN"/>
        </w:rPr>
        <w:t>；</w:t>
      </w:r>
    </w:p>
    <w:p w14:paraId="2D2B3619">
      <w:pPr>
        <w:keepNext w:val="0"/>
        <w:keepLines w:val="0"/>
        <w:pageBreakBefore w:val="0"/>
        <w:widowControl w:val="0"/>
        <w:kinsoku/>
        <w:wordWrap/>
        <w:overflowPunct/>
        <w:topLinePunct w:val="0"/>
        <w:autoSpaceDE/>
        <w:autoSpaceDN/>
        <w:bidi w:val="0"/>
        <w:adjustRightInd/>
        <w:snapToGrid w:val="0"/>
        <w:spacing w:line="360" w:lineRule="auto"/>
        <w:ind w:left="420" w:leftChars="200" w:firstLine="0" w:firstLineChars="0"/>
        <w:textAlignment w:val="auto"/>
        <w:rPr>
          <w:rFonts w:hint="eastAsia"/>
          <w:color w:val="auto"/>
          <w:highlight w:val="none"/>
        </w:rPr>
      </w:pP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仪表由中标人按照规定时限进行送检。</w:t>
      </w:r>
      <w:r>
        <w:rPr>
          <w:rFonts w:hint="eastAsia" w:ascii="宋体" w:hAnsi="宋体" w:eastAsia="宋体"/>
          <w:color w:val="auto"/>
          <w:szCs w:val="21"/>
          <w:highlight w:val="none"/>
        </w:rPr>
        <w:cr/>
      </w:r>
      <w:r>
        <w:rPr>
          <w:rFonts w:hint="eastAsia" w:ascii="宋体" w:hAnsi="宋体" w:eastAsia="宋体"/>
          <w:color w:val="auto"/>
          <w:szCs w:val="21"/>
          <w:highlight w:val="none"/>
          <w:lang w:val="en-US" w:eastAsia="zh-CN"/>
        </w:rPr>
        <w:t>三、</w:t>
      </w:r>
      <w:r>
        <w:rPr>
          <w:rFonts w:hint="eastAsia" w:ascii="宋体" w:hAnsi="宋体" w:eastAsia="宋体"/>
          <w:color w:val="auto"/>
          <w:szCs w:val="21"/>
          <w:highlight w:val="none"/>
        </w:rPr>
        <w:t>安装要求</w:t>
      </w:r>
      <w:r>
        <w:rPr>
          <w:rFonts w:hint="eastAsia" w:ascii="宋体" w:hAnsi="宋体" w:eastAsia="宋体"/>
          <w:color w:val="auto"/>
          <w:szCs w:val="21"/>
          <w:highlight w:val="none"/>
        </w:rPr>
        <w:cr/>
      </w:r>
      <w:r>
        <w:rPr>
          <w:rFonts w:hint="eastAsia" w:ascii="宋体" w:hAnsi="宋体" w:eastAsia="宋体"/>
          <w:color w:val="auto"/>
          <w:szCs w:val="21"/>
          <w:highlight w:val="none"/>
        </w:rPr>
        <w:t>1、免费提供安装低温液氧储槽等服务。</w:t>
      </w:r>
      <w:r>
        <w:rPr>
          <w:rFonts w:hint="eastAsia" w:ascii="宋体" w:hAnsi="宋体" w:eastAsia="宋体"/>
          <w:color w:val="auto"/>
          <w:szCs w:val="21"/>
          <w:highlight w:val="none"/>
        </w:rPr>
        <w:cr/>
      </w:r>
      <w:r>
        <w:rPr>
          <w:rFonts w:hint="eastAsia" w:ascii="宋体" w:hAnsi="宋体" w:eastAsia="宋体"/>
          <w:color w:val="auto"/>
          <w:szCs w:val="21"/>
          <w:highlight w:val="none"/>
        </w:rPr>
        <w:t>2、收到</w:t>
      </w:r>
      <w:r>
        <w:rPr>
          <w:rFonts w:hint="eastAsia" w:ascii="宋体" w:hAnsi="宋体" w:eastAsia="宋体"/>
          <w:color w:val="auto"/>
          <w:szCs w:val="21"/>
          <w:highlight w:val="none"/>
          <w:lang w:val="en-US" w:eastAsia="zh-CN"/>
        </w:rPr>
        <w:t>甲方</w:t>
      </w:r>
      <w:r>
        <w:rPr>
          <w:rFonts w:hint="eastAsia" w:ascii="宋体" w:hAnsi="宋体" w:eastAsia="宋体"/>
          <w:color w:val="auto"/>
          <w:szCs w:val="21"/>
          <w:highlight w:val="none"/>
        </w:rPr>
        <w:t>安装通知后10日内设备安装完毕并办好手续交付使用。</w:t>
      </w:r>
      <w:r>
        <w:rPr>
          <w:rFonts w:hint="eastAsia" w:ascii="宋体" w:hAnsi="宋体" w:eastAsia="宋体"/>
          <w:color w:val="auto"/>
          <w:szCs w:val="21"/>
          <w:highlight w:val="none"/>
        </w:rPr>
        <w:cr/>
      </w:r>
      <w:r>
        <w:rPr>
          <w:rFonts w:hint="eastAsia" w:ascii="宋体" w:hAnsi="宋体" w:eastAsia="宋体"/>
          <w:color w:val="auto"/>
          <w:szCs w:val="21"/>
          <w:highlight w:val="none"/>
          <w:lang w:val="en-US" w:eastAsia="zh-CN"/>
        </w:rPr>
        <w:t>四</w:t>
      </w:r>
      <w:r>
        <w:rPr>
          <w:rFonts w:hint="eastAsia" w:ascii="宋体" w:hAnsi="宋体" w:eastAsia="宋体"/>
          <w:color w:val="auto"/>
          <w:szCs w:val="21"/>
          <w:highlight w:val="none"/>
        </w:rPr>
        <w:t>、阀门：</w:t>
      </w:r>
      <w:r>
        <w:rPr>
          <w:rFonts w:hint="eastAsia" w:ascii="宋体" w:hAnsi="宋体" w:eastAsia="宋体"/>
          <w:color w:val="auto"/>
          <w:szCs w:val="21"/>
          <w:highlight w:val="none"/>
        </w:rPr>
        <w:cr/>
      </w: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w:t>
      </w:r>
      <w:r>
        <w:rPr>
          <w:rFonts w:hint="eastAsia" w:ascii="宋体" w:hAnsi="宋体" w:eastAsia="宋体"/>
          <w:color w:val="auto"/>
          <w:szCs w:val="21"/>
          <w:highlight w:val="none"/>
        </w:rPr>
        <w:t>低温阀要求：材质：不锈钢（CF8）；适应温度：-196～+80℃</w:t>
      </w:r>
      <w:r>
        <w:rPr>
          <w:rFonts w:hint="eastAsia" w:ascii="宋体" w:hAnsi="宋体" w:eastAsia="宋体"/>
          <w:color w:val="auto"/>
          <w:szCs w:val="21"/>
          <w:highlight w:val="none"/>
        </w:rPr>
        <w:cr/>
      </w: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w:t>
      </w:r>
      <w:r>
        <w:rPr>
          <w:rFonts w:hint="eastAsia" w:ascii="宋体" w:hAnsi="宋体" w:eastAsia="宋体"/>
          <w:color w:val="auto"/>
          <w:szCs w:val="21"/>
          <w:highlight w:val="none"/>
        </w:rPr>
        <w:t>安全阀要求：材质：不锈钢（CF8）</w:t>
      </w:r>
    </w:p>
    <w:p w14:paraId="58408000">
      <w:pPr>
        <w:snapToGrid w:val="0"/>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lang w:val="en-US" w:eastAsia="zh-CN"/>
        </w:rPr>
        <w:t>五、</w:t>
      </w:r>
      <w:r>
        <w:rPr>
          <w:rFonts w:hint="eastAsia" w:ascii="宋体" w:hAnsi="宋体"/>
          <w:color w:val="auto"/>
          <w:szCs w:val="21"/>
          <w:highlight w:val="none"/>
        </w:rPr>
        <w:t>乙方投标文件承诺负责甲方有关人员的培训。培训时间、地点：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双方另行协商</w:t>
      </w:r>
      <w:r>
        <w:rPr>
          <w:rFonts w:hint="eastAsia" w:ascii="宋体" w:hAnsi="宋体"/>
          <w:color w:val="auto"/>
          <w:szCs w:val="21"/>
          <w:highlight w:val="none"/>
          <w:u w:val="single"/>
        </w:rPr>
        <w:t xml:space="preserve">  。</w:t>
      </w:r>
    </w:p>
    <w:p w14:paraId="76ADC53C">
      <w:pPr>
        <w:snapToGrid w:val="0"/>
        <w:spacing w:line="360" w:lineRule="auto"/>
        <w:ind w:firstLine="420" w:firstLineChars="200"/>
        <w:rPr>
          <w:rFonts w:hint="eastAsia" w:ascii="宋体" w:hAnsi="宋体" w:eastAsia="宋体"/>
          <w:color w:val="auto"/>
          <w:szCs w:val="21"/>
          <w:highlight w:val="none"/>
          <w:u w:val="single"/>
          <w:lang w:val="en-US" w:eastAsia="zh-CN"/>
        </w:rPr>
      </w:pPr>
      <w:r>
        <w:rPr>
          <w:rFonts w:hint="eastAsia" w:ascii="宋体" w:hAnsi="宋体"/>
          <w:color w:val="auto"/>
          <w:szCs w:val="21"/>
          <w:highlight w:val="none"/>
          <w:u w:val="single"/>
          <w:lang w:val="en-US" w:eastAsia="zh-CN"/>
        </w:rPr>
        <w:t>六、产品安装、调试、培训期间乙方应严格做好安全防护措施，设置安全警示标识，及时消除安全隐患，做到安全、文明施工（作业），并承担相关费用。安装、调试、培训期间发生安全事故的，责任由乙方承担，由此造成甲方、乙方人员或者第三方损失的，乙方予以赔偿。</w:t>
      </w:r>
    </w:p>
    <w:p w14:paraId="752C2E2A">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第七条  售后服务、保修期</w:t>
      </w:r>
    </w:p>
    <w:p w14:paraId="0C74296A">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1.乙方应按照国家有关法律法规和“三包”规定以及本合同所附的《服务承诺》，为甲方提供售后服务。</w:t>
      </w:r>
    </w:p>
    <w:p w14:paraId="685EE2F3">
      <w:pPr>
        <w:keepNext w:val="0"/>
        <w:keepLines w:val="0"/>
        <w:widowControl/>
        <w:suppressLineNumbers w:val="0"/>
        <w:ind w:firstLine="420" w:firstLineChars="200"/>
        <w:jc w:val="left"/>
        <w:rPr>
          <w:rFonts w:hint="eastAsia" w:ascii="宋体" w:hAnsi="宋体" w:eastAsia="宋体"/>
          <w:color w:val="auto"/>
          <w:szCs w:val="21"/>
          <w:highlight w:val="none"/>
          <w:u w:val="single"/>
        </w:rPr>
      </w:pPr>
      <w:r>
        <w:rPr>
          <w:rFonts w:hint="eastAsia" w:ascii="宋体" w:hAnsi="宋体"/>
          <w:color w:val="auto"/>
          <w:szCs w:val="21"/>
          <w:highlight w:val="none"/>
        </w:rPr>
        <w:t>2.货物保修期：</w:t>
      </w:r>
      <w:r>
        <w:rPr>
          <w:rFonts w:hint="eastAsia" w:ascii="宋体" w:hAnsi="宋体" w:eastAsia="宋体"/>
          <w:color w:val="auto"/>
          <w:szCs w:val="21"/>
          <w:highlight w:val="none"/>
        </w:rPr>
        <w:t xml:space="preserve"> </w:t>
      </w:r>
      <w:r>
        <w:rPr>
          <w:rFonts w:hint="eastAsia" w:ascii="宋体" w:hAnsi="宋体" w:eastAsia="宋体"/>
          <w:color w:val="auto"/>
          <w:szCs w:val="21"/>
          <w:highlight w:val="none"/>
          <w:u w:val="single"/>
          <w:lang w:val="en-US" w:eastAsia="zh-CN"/>
        </w:rPr>
        <w:t>合同期内乙方负责免费维修、维护、保养，并不另收取任何费用</w:t>
      </w:r>
      <w:r>
        <w:rPr>
          <w:rFonts w:hint="eastAsia" w:ascii="宋体" w:hAnsi="宋体" w:eastAsia="宋体"/>
          <w:color w:val="auto"/>
          <w:szCs w:val="21"/>
          <w:highlight w:val="none"/>
          <w:u w:val="single"/>
        </w:rPr>
        <w:t>。</w:t>
      </w:r>
    </w:p>
    <w:p w14:paraId="2A951597">
      <w:pPr>
        <w:snapToGrid w:val="0"/>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3.乙方提供的服务承诺和售后服务及保修期责任等其它具体约定事项。（见合同附件）</w:t>
      </w:r>
    </w:p>
    <w:p w14:paraId="098E5F71">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第八条　付款方式</w:t>
      </w:r>
    </w:p>
    <w:p w14:paraId="28AF6516">
      <w:pPr>
        <w:snapToGrid w:val="0"/>
        <w:spacing w:line="360" w:lineRule="auto"/>
        <w:ind w:left="-61" w:leftChars="-29" w:firstLine="514" w:firstLineChars="245"/>
        <w:rPr>
          <w:rFonts w:hint="eastAsia" w:ascii="宋体" w:hAnsi="宋体" w:cs="方正楷体_GB2312"/>
          <w:color w:val="auto"/>
          <w:szCs w:val="21"/>
          <w:highlight w:val="none"/>
          <w:shd w:val="clear" w:color="auto" w:fill="FFFFFF"/>
        </w:rPr>
      </w:pPr>
      <w:r>
        <w:rPr>
          <w:rFonts w:hint="eastAsia" w:ascii="宋体" w:hAnsi="宋体"/>
          <w:color w:val="auto"/>
          <w:szCs w:val="21"/>
          <w:highlight w:val="none"/>
          <w:lang w:val="en-US" w:eastAsia="zh-CN"/>
        </w:rPr>
        <w:t>付款周期按月</w:t>
      </w:r>
      <w:r>
        <w:rPr>
          <w:rFonts w:hint="eastAsia" w:ascii="宋体" w:hAnsi="宋体"/>
          <w:color w:val="auto"/>
          <w:szCs w:val="21"/>
          <w:highlight w:val="none"/>
        </w:rPr>
        <w:t>，</w:t>
      </w:r>
      <w:r>
        <w:rPr>
          <w:rFonts w:hint="eastAsia" w:ascii="宋体" w:hAnsi="宋体"/>
          <w:color w:val="auto"/>
          <w:szCs w:val="21"/>
          <w:highlight w:val="none"/>
          <w:lang w:eastAsia="zh-CN"/>
        </w:rPr>
        <w:t>单价</w:t>
      </w:r>
      <w:r>
        <w:rPr>
          <w:rFonts w:hint="eastAsia" w:ascii="宋体" w:hAnsi="宋体"/>
          <w:color w:val="auto"/>
          <w:szCs w:val="21"/>
          <w:highlight w:val="none"/>
          <w:lang w:val="en-US" w:eastAsia="zh-CN"/>
        </w:rPr>
        <w:t>****元/吨，</w:t>
      </w:r>
      <w:r>
        <w:rPr>
          <w:rFonts w:hint="eastAsia" w:ascii="宋体" w:hAnsi="宋体"/>
          <w:color w:val="auto"/>
          <w:szCs w:val="21"/>
          <w:highlight w:val="none"/>
        </w:rPr>
        <w:t>按实际供应量结算</w:t>
      </w:r>
      <w:r>
        <w:rPr>
          <w:rFonts w:hint="eastAsia" w:ascii="宋体" w:hAnsi="宋体"/>
          <w:color w:val="auto"/>
          <w:szCs w:val="21"/>
          <w:highlight w:val="none"/>
          <w:lang w:eastAsia="zh-CN"/>
        </w:rPr>
        <w:t>。甲方</w:t>
      </w:r>
      <w:r>
        <w:rPr>
          <w:rFonts w:hint="eastAsia" w:ascii="宋体" w:hAnsi="宋体" w:cs="方正楷体_GB2312"/>
          <w:color w:val="auto"/>
          <w:szCs w:val="21"/>
          <w:highlight w:val="none"/>
          <w:shd w:val="clear" w:color="auto" w:fill="FFFFFF"/>
        </w:rPr>
        <w:t>应在</w:t>
      </w:r>
      <w:r>
        <w:rPr>
          <w:rFonts w:hint="eastAsia" w:ascii="宋体" w:hAnsi="宋体" w:cs="方正楷体_GB2312"/>
          <w:color w:val="auto"/>
          <w:szCs w:val="21"/>
          <w:highlight w:val="none"/>
          <w:shd w:val="clear" w:color="auto" w:fill="FFFFFF"/>
          <w:lang w:eastAsia="zh-CN"/>
        </w:rPr>
        <w:t>乙方</w:t>
      </w:r>
      <w:r>
        <w:rPr>
          <w:rFonts w:hint="eastAsia" w:ascii="宋体" w:hAnsi="宋体" w:cs="方正楷体_GB2312"/>
          <w:color w:val="auto"/>
          <w:szCs w:val="21"/>
          <w:highlight w:val="none"/>
          <w:shd w:val="clear" w:color="auto" w:fill="FFFFFF"/>
        </w:rPr>
        <w:t>将液态氧运输到医院指定地点后，凭</w:t>
      </w:r>
      <w:r>
        <w:rPr>
          <w:rFonts w:hint="eastAsia" w:ascii="宋体" w:hAnsi="宋体" w:cs="方正楷体_GB2312"/>
          <w:color w:val="auto"/>
          <w:szCs w:val="21"/>
          <w:highlight w:val="none"/>
          <w:shd w:val="clear" w:color="auto" w:fill="FFFFFF"/>
          <w:lang w:eastAsia="zh-CN"/>
        </w:rPr>
        <w:t>乙方</w:t>
      </w:r>
      <w:r>
        <w:rPr>
          <w:rFonts w:hint="eastAsia" w:ascii="宋体" w:hAnsi="宋体" w:cs="方正楷体_GB2312"/>
          <w:color w:val="auto"/>
          <w:szCs w:val="21"/>
          <w:highlight w:val="none"/>
          <w:shd w:val="clear" w:color="auto" w:fill="FFFFFF"/>
        </w:rPr>
        <w:t>有效完税发票通过银行转账的方式支付液态氧费用到</w:t>
      </w:r>
      <w:r>
        <w:rPr>
          <w:rFonts w:hint="eastAsia" w:ascii="宋体" w:hAnsi="宋体" w:cs="方正楷体_GB2312"/>
          <w:color w:val="auto"/>
          <w:szCs w:val="21"/>
          <w:highlight w:val="none"/>
          <w:shd w:val="clear" w:color="auto" w:fill="FFFFFF"/>
          <w:lang w:eastAsia="zh-CN"/>
        </w:rPr>
        <w:t>乙方</w:t>
      </w:r>
      <w:r>
        <w:rPr>
          <w:rFonts w:hint="eastAsia" w:ascii="宋体" w:hAnsi="宋体" w:cs="方正楷体_GB2312"/>
          <w:color w:val="auto"/>
          <w:szCs w:val="21"/>
          <w:highlight w:val="none"/>
          <w:shd w:val="clear" w:color="auto" w:fill="FFFFFF"/>
        </w:rPr>
        <w:t>指定的银行帐号上。乙方未开具全额发票的，甲方有权不支付合同款。</w:t>
      </w:r>
    </w:p>
    <w:p w14:paraId="51D03BB7">
      <w:pPr>
        <w:snapToGrid w:val="0"/>
        <w:spacing w:line="360" w:lineRule="auto"/>
        <w:ind w:left="-61" w:leftChars="-29" w:firstLine="517" w:firstLineChars="245"/>
        <w:rPr>
          <w:rFonts w:hint="eastAsia" w:ascii="宋体" w:hAnsi="宋体"/>
          <w:b/>
          <w:color w:val="auto"/>
          <w:szCs w:val="21"/>
          <w:highlight w:val="none"/>
        </w:rPr>
      </w:pPr>
      <w:r>
        <w:rPr>
          <w:rFonts w:hint="eastAsia" w:ascii="宋体" w:hAnsi="宋体"/>
          <w:b/>
          <w:color w:val="auto"/>
          <w:szCs w:val="21"/>
          <w:highlight w:val="none"/>
        </w:rPr>
        <w:t>第九条　履约保证金</w:t>
      </w:r>
    </w:p>
    <w:p w14:paraId="72CC651C">
      <w:pPr>
        <w:autoSpaceDE w:val="0"/>
        <w:autoSpaceDN w:val="0"/>
        <w:snapToGrid w:val="0"/>
        <w:spacing w:line="360" w:lineRule="auto"/>
        <w:ind w:firstLine="424" w:firstLineChars="202"/>
        <w:textAlignment w:val="bottom"/>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本项目不收取履约保证金。</w:t>
      </w:r>
    </w:p>
    <w:p w14:paraId="436D4274">
      <w:pPr>
        <w:snapToGrid w:val="0"/>
        <w:spacing w:line="360" w:lineRule="auto"/>
        <w:ind w:left="-61" w:firstLine="514"/>
        <w:rPr>
          <w:rFonts w:hint="eastAsia" w:ascii="宋体" w:hAnsi="宋体"/>
          <w:b/>
          <w:color w:val="auto"/>
          <w:szCs w:val="21"/>
          <w:highlight w:val="none"/>
        </w:rPr>
      </w:pPr>
      <w:r>
        <w:rPr>
          <w:rFonts w:hint="eastAsia" w:ascii="宋体" w:hAnsi="宋体"/>
          <w:b/>
          <w:color w:val="auto"/>
          <w:szCs w:val="21"/>
          <w:highlight w:val="none"/>
        </w:rPr>
        <w:t>第十条  税费</w:t>
      </w:r>
    </w:p>
    <w:p w14:paraId="65DBF218">
      <w:pPr>
        <w:snapToGrid w:val="0"/>
        <w:spacing w:line="360" w:lineRule="auto"/>
        <w:ind w:left="-61" w:firstLine="514"/>
        <w:rPr>
          <w:rFonts w:hint="eastAsia" w:ascii="宋体" w:hAnsi="宋体"/>
          <w:color w:val="auto"/>
          <w:szCs w:val="21"/>
          <w:highlight w:val="none"/>
        </w:rPr>
      </w:pPr>
      <w:r>
        <w:rPr>
          <w:rFonts w:hint="eastAsia" w:ascii="宋体" w:hAnsi="宋体"/>
          <w:color w:val="auto"/>
          <w:szCs w:val="21"/>
          <w:highlight w:val="none"/>
        </w:rPr>
        <w:t>本合同执行中相关的一切税费均由乙方负担，合同另有约定的除外。</w:t>
      </w:r>
    </w:p>
    <w:p w14:paraId="7DEC27BB">
      <w:pPr>
        <w:snapToGrid w:val="0"/>
        <w:spacing w:line="360" w:lineRule="auto"/>
        <w:ind w:left="-61" w:firstLine="514"/>
        <w:rPr>
          <w:rFonts w:hint="eastAsia" w:ascii="宋体" w:hAnsi="宋体"/>
          <w:color w:val="auto"/>
          <w:szCs w:val="21"/>
          <w:highlight w:val="none"/>
        </w:rPr>
      </w:pPr>
      <w:r>
        <w:rPr>
          <w:rFonts w:hint="eastAsia" w:ascii="宋体" w:hAnsi="宋体"/>
          <w:b/>
          <w:color w:val="auto"/>
          <w:szCs w:val="21"/>
          <w:highlight w:val="none"/>
        </w:rPr>
        <w:t>第十一条  质量保证及售后服务</w:t>
      </w:r>
    </w:p>
    <w:p w14:paraId="4191A64F">
      <w:pPr>
        <w:pStyle w:val="20"/>
        <w:snapToGrid w:val="0"/>
        <w:spacing w:line="360" w:lineRule="auto"/>
        <w:ind w:firstLine="420" w:firstLineChars="200"/>
        <w:rPr>
          <w:rFonts w:hint="eastAsia" w:hAnsi="宋体"/>
          <w:color w:val="auto"/>
          <w:highlight w:val="none"/>
        </w:rPr>
      </w:pPr>
      <w:r>
        <w:rPr>
          <w:rFonts w:hint="eastAsia" w:hAnsi="宋体"/>
          <w:bCs/>
          <w:color w:val="auto"/>
          <w:highlight w:val="none"/>
        </w:rPr>
        <w:t>1.</w:t>
      </w:r>
      <w:r>
        <w:rPr>
          <w:rFonts w:hint="eastAsia" w:hAnsi="宋体"/>
          <w:color w:val="auto"/>
          <w:highlight w:val="none"/>
        </w:rPr>
        <w:t>乙方应按招标文件规定的产品名称、商标品牌、生产厂家、规格型号、技术参数、质量标准向甲方提供未经使用的全新产品。不符合要求的，根据实际情况，经双方协商，可按以下办法处理：</w:t>
      </w:r>
    </w:p>
    <w:p w14:paraId="48072A2D">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⑴更换：由乙方承担所发生的全部费用。</w:t>
      </w:r>
    </w:p>
    <w:p w14:paraId="62515047">
      <w:pPr>
        <w:pStyle w:val="20"/>
        <w:snapToGrid w:val="0"/>
        <w:spacing w:line="360" w:lineRule="auto"/>
        <w:ind w:firstLine="420"/>
        <w:rPr>
          <w:rFonts w:hint="eastAsia" w:hAnsi="宋体"/>
          <w:color w:val="auto"/>
          <w:highlight w:val="none"/>
        </w:rPr>
      </w:pPr>
      <w:r>
        <w:rPr>
          <w:rFonts w:hint="eastAsia" w:hAnsi="宋体"/>
          <w:color w:val="auto"/>
          <w:highlight w:val="none"/>
        </w:rPr>
        <w:t>⑵贬值处理：由甲乙双方合议定价。</w:t>
      </w:r>
    </w:p>
    <w:p w14:paraId="52C034A4">
      <w:pPr>
        <w:pStyle w:val="20"/>
        <w:snapToGrid w:val="0"/>
        <w:spacing w:line="360" w:lineRule="auto"/>
        <w:ind w:firstLine="420"/>
        <w:rPr>
          <w:rFonts w:hint="eastAsia" w:hAnsi="宋体"/>
          <w:color w:val="auto"/>
          <w:highlight w:val="none"/>
        </w:rPr>
      </w:pPr>
      <w:r>
        <w:rPr>
          <w:rFonts w:hint="eastAsia" w:hAnsi="宋体"/>
          <w:color w:val="auto"/>
          <w:highlight w:val="none"/>
        </w:rPr>
        <w:t>⑶退货处理：乙方应退还甲方支付的合同款，同时应承担该货物的直接费用（运输、保险、检验、货款利息及银行手续费等）。</w:t>
      </w:r>
    </w:p>
    <w:p w14:paraId="73993175">
      <w:pPr>
        <w:pStyle w:val="20"/>
        <w:snapToGrid w:val="0"/>
        <w:spacing w:line="360" w:lineRule="auto"/>
        <w:ind w:firstLine="420" w:firstLineChars="200"/>
        <w:rPr>
          <w:rFonts w:hint="eastAsia" w:ascii="宋体" w:hAnsi="宋体" w:eastAsia="宋体"/>
          <w:bCs/>
          <w:color w:val="auto"/>
          <w:highlight w:val="none"/>
        </w:rPr>
      </w:pPr>
      <w:r>
        <w:rPr>
          <w:rFonts w:hint="eastAsia" w:ascii="宋体" w:hAnsi="宋体" w:eastAsia="宋体"/>
          <w:bCs/>
          <w:color w:val="auto"/>
          <w:highlight w:val="none"/>
          <w:lang w:val="en-US" w:eastAsia="zh-CN"/>
        </w:rPr>
        <w:t>2.</w:t>
      </w:r>
      <w:r>
        <w:rPr>
          <w:rFonts w:hint="eastAsia" w:ascii="宋体" w:hAnsi="宋体" w:eastAsia="宋体"/>
          <w:bCs/>
          <w:color w:val="auto"/>
          <w:highlight w:val="none"/>
        </w:rPr>
        <w:t>如在使用过程中发生质量问题，乙方在接到甲方通知后到达甲方现场处理的时间</w:t>
      </w:r>
      <w:r>
        <w:rPr>
          <w:rFonts w:hint="eastAsia" w:ascii="宋体" w:hAnsi="宋体" w:eastAsia="宋体"/>
          <w:bCs/>
          <w:color w:val="auto"/>
          <w:highlight w:val="none"/>
          <w:lang w:eastAsia="zh-CN"/>
        </w:rPr>
        <w:t>：</w:t>
      </w:r>
      <w:r>
        <w:rPr>
          <w:rFonts w:hint="eastAsia" w:ascii="宋体" w:hAnsi="宋体" w:eastAsia="宋体"/>
          <w:bCs/>
          <w:color w:val="auto"/>
          <w:highlight w:val="none"/>
          <w:u w:val="single"/>
          <w:lang w:val="en-US" w:eastAsia="zh-CN"/>
        </w:rPr>
        <w:t>1</w:t>
      </w:r>
      <w:r>
        <w:rPr>
          <w:rFonts w:hint="eastAsia" w:ascii="宋体" w:hAnsi="宋体" w:eastAsia="宋体"/>
          <w:bCs/>
          <w:color w:val="auto"/>
          <w:highlight w:val="none"/>
          <w:u w:val="single"/>
        </w:rPr>
        <w:t>小时内</w:t>
      </w:r>
      <w:r>
        <w:rPr>
          <w:rFonts w:hint="eastAsia" w:ascii="宋体" w:hAnsi="宋体" w:eastAsia="宋体"/>
          <w:bCs/>
          <w:color w:val="auto"/>
          <w:highlight w:val="none"/>
        </w:rPr>
        <w:t>。</w:t>
      </w:r>
    </w:p>
    <w:p w14:paraId="65EC124D">
      <w:pPr>
        <w:pStyle w:val="20"/>
        <w:snapToGrid w:val="0"/>
        <w:spacing w:line="360" w:lineRule="auto"/>
        <w:ind w:firstLine="420" w:firstLineChars="200"/>
        <w:rPr>
          <w:rFonts w:hint="eastAsia" w:ascii="宋体" w:hAnsi="宋体" w:eastAsia="宋体"/>
          <w:bCs/>
          <w:color w:val="auto"/>
          <w:highlight w:val="none"/>
          <w:lang w:val="en-US" w:eastAsia="zh-CN"/>
        </w:rPr>
      </w:pPr>
      <w:r>
        <w:rPr>
          <w:rFonts w:hint="eastAsia" w:ascii="宋体" w:hAnsi="宋体" w:eastAsia="宋体"/>
          <w:bCs/>
          <w:color w:val="auto"/>
          <w:highlight w:val="none"/>
          <w:lang w:val="en-US" w:eastAsia="zh-CN"/>
        </w:rPr>
        <w:t>3.质量标准：医用氧按照《中国药典》2015版“氧”标准供应，并随时跟踪国家相关最新标准执行。</w:t>
      </w:r>
    </w:p>
    <w:p w14:paraId="06A71FB9">
      <w:pPr>
        <w:pStyle w:val="20"/>
        <w:snapToGrid w:val="0"/>
        <w:spacing w:line="360" w:lineRule="auto"/>
        <w:ind w:firstLine="420" w:firstLineChars="200"/>
        <w:rPr>
          <w:rFonts w:hint="eastAsia" w:ascii="宋体" w:hAnsi="宋体" w:eastAsia="宋体"/>
          <w:bCs/>
          <w:color w:val="auto"/>
          <w:highlight w:val="none"/>
        </w:rPr>
      </w:pPr>
      <w:r>
        <w:rPr>
          <w:rFonts w:hint="eastAsia" w:ascii="宋体" w:hAnsi="宋体" w:eastAsia="宋体"/>
          <w:bCs/>
          <w:color w:val="auto"/>
          <w:highlight w:val="none"/>
          <w:lang w:val="en-US" w:eastAsia="zh-CN"/>
        </w:rPr>
        <w:t>4</w:t>
      </w:r>
      <w:r>
        <w:rPr>
          <w:rFonts w:hint="eastAsia" w:ascii="宋体" w:hAnsi="宋体" w:eastAsia="宋体"/>
          <w:bCs/>
          <w:color w:val="auto"/>
          <w:highlight w:val="none"/>
        </w:rPr>
        <w:t>.在保修期内，乙方应对货物出现的质量及安全问题负责处理解决并承担一切费用。</w:t>
      </w:r>
    </w:p>
    <w:p w14:paraId="79BE6E12">
      <w:pPr>
        <w:pStyle w:val="20"/>
        <w:snapToGrid w:val="0"/>
        <w:spacing w:line="360" w:lineRule="auto"/>
        <w:ind w:firstLine="420" w:firstLineChars="200"/>
        <w:rPr>
          <w:rFonts w:hint="eastAsia" w:ascii="宋体" w:hAnsi="宋体" w:eastAsia="宋体"/>
          <w:bCs/>
          <w:color w:val="auto"/>
          <w:highlight w:val="none"/>
        </w:rPr>
      </w:pPr>
      <w:r>
        <w:rPr>
          <w:rFonts w:hint="eastAsia" w:ascii="宋体" w:hAnsi="宋体" w:eastAsia="宋体"/>
          <w:bCs/>
          <w:color w:val="auto"/>
          <w:highlight w:val="none"/>
          <w:lang w:val="en-US" w:eastAsia="zh-CN"/>
        </w:rPr>
        <w:t>5</w:t>
      </w:r>
      <w:r>
        <w:rPr>
          <w:rFonts w:hint="eastAsia" w:ascii="宋体" w:hAnsi="宋体" w:eastAsia="宋体"/>
          <w:bCs/>
          <w:color w:val="auto"/>
          <w:highlight w:val="none"/>
        </w:rPr>
        <w:t>.上述的货物保修期为</w:t>
      </w:r>
      <w:r>
        <w:rPr>
          <w:rFonts w:hint="eastAsia" w:ascii="宋体" w:hAnsi="宋体" w:eastAsia="宋体"/>
          <w:bCs/>
          <w:color w:val="auto"/>
          <w:highlight w:val="none"/>
          <w:lang w:eastAsia="zh-CN"/>
        </w:rPr>
        <w:t>合同服务期</w:t>
      </w:r>
      <w:r>
        <w:rPr>
          <w:rFonts w:hint="eastAsia" w:ascii="宋体" w:hAnsi="宋体" w:eastAsia="宋体"/>
          <w:bCs/>
          <w:color w:val="auto"/>
          <w:highlight w:val="none"/>
        </w:rPr>
        <w:t>，因人为因素出现的故障不在免费保修范围内。超过保修期的机器设备，终生维修，维修时只收部件成本费。</w:t>
      </w:r>
    </w:p>
    <w:p w14:paraId="6EFFD2C4">
      <w:pPr>
        <w:snapToGrid w:val="0"/>
        <w:spacing w:line="360" w:lineRule="auto"/>
        <w:ind w:left="-61" w:firstLine="514"/>
        <w:rPr>
          <w:rFonts w:hint="eastAsia" w:ascii="宋体" w:hAnsi="宋体"/>
          <w:color w:val="auto"/>
          <w:szCs w:val="21"/>
          <w:highlight w:val="none"/>
        </w:rPr>
      </w:pPr>
      <w:r>
        <w:rPr>
          <w:rFonts w:hint="eastAsia" w:ascii="宋体" w:hAnsi="宋体"/>
          <w:b/>
          <w:color w:val="auto"/>
          <w:szCs w:val="21"/>
          <w:highlight w:val="none"/>
        </w:rPr>
        <w:t>第十二条  调试和验收（本条款适用于甲方自行验收，委托第三方验收的另行规定）</w:t>
      </w:r>
    </w:p>
    <w:p w14:paraId="6F01A34C">
      <w:pPr>
        <w:pStyle w:val="20"/>
        <w:snapToGrid w:val="0"/>
        <w:spacing w:line="360" w:lineRule="auto"/>
        <w:ind w:firstLine="420" w:firstLineChars="200"/>
        <w:jc w:val="left"/>
        <w:rPr>
          <w:rFonts w:hint="eastAsia" w:hAnsi="宋体"/>
          <w:color w:val="auto"/>
          <w:highlight w:val="none"/>
        </w:rPr>
      </w:pPr>
      <w:r>
        <w:rPr>
          <w:rFonts w:hint="eastAsia" w:hAnsi="宋体"/>
          <w:color w:val="auto"/>
          <w:highlight w:val="none"/>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14:paraId="1F0D2635">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2.乙方交货前应对产品作出全面检查和对验收文件进行整理，并列出清单，作为甲方收货验收和使用的技术条件依据，检验的结果应随货物交甲方。</w:t>
      </w:r>
    </w:p>
    <w:p w14:paraId="7ADBBC87">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3.甲方对乙方提供的货物在使用前进行调试时，乙方需负责安装并培训甲方的使用操作人员，并协助甲方一起调试，直到符合技术要求，甲方才做最终验收。</w:t>
      </w:r>
    </w:p>
    <w:p w14:paraId="197FFE5E">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4.对技术复杂的货物，甲方应请国家认可的专业检测机构参与初步验收及最终验收，并由其出具质量检测报告。</w:t>
      </w:r>
    </w:p>
    <w:p w14:paraId="3F570F2F">
      <w:pPr>
        <w:snapToGrid w:val="0"/>
        <w:spacing w:line="360" w:lineRule="auto"/>
        <w:ind w:left="-61" w:firstLine="514"/>
        <w:rPr>
          <w:rFonts w:hint="eastAsia" w:ascii="宋体" w:hAnsi="宋体"/>
          <w:color w:val="auto"/>
          <w:szCs w:val="21"/>
          <w:highlight w:val="none"/>
        </w:rPr>
      </w:pPr>
      <w:r>
        <w:rPr>
          <w:rFonts w:hint="eastAsia" w:ascii="宋体" w:hAnsi="宋体"/>
          <w:color w:val="auto"/>
          <w:szCs w:val="21"/>
          <w:highlight w:val="none"/>
        </w:rPr>
        <w:t>5. 验收时乙方必须在现场，验收完毕后作出验收结果报告；验收费用按招标文件约定承担方负责。</w:t>
      </w:r>
    </w:p>
    <w:p w14:paraId="35F51220">
      <w:pPr>
        <w:pStyle w:val="20"/>
        <w:snapToGrid w:val="0"/>
        <w:spacing w:line="360" w:lineRule="auto"/>
        <w:ind w:firstLine="413" w:firstLineChars="196"/>
        <w:rPr>
          <w:rFonts w:hint="eastAsia" w:hAnsi="宋体"/>
          <w:b/>
          <w:color w:val="auto"/>
          <w:highlight w:val="none"/>
        </w:rPr>
      </w:pPr>
      <w:r>
        <w:rPr>
          <w:rFonts w:hint="eastAsia" w:hAnsi="宋体"/>
          <w:b/>
          <w:color w:val="auto"/>
          <w:highlight w:val="none"/>
        </w:rPr>
        <w:t>第十三条  货物包装、发运及运输</w:t>
      </w:r>
    </w:p>
    <w:p w14:paraId="043987FC">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1.乙方应在货物发运前对其进行满足运输距离、防潮、防震、防锈和防破损装卸等要求包装，以保证货物安全运达甲方指定地点。</w:t>
      </w:r>
    </w:p>
    <w:p w14:paraId="6566FBFC">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2. 使用说明书（货物属于进口产品的，供货时应同时附上中文使用说明书）、质量检验证明书、随配附件和工具以及清单一并附于货物内。</w:t>
      </w:r>
    </w:p>
    <w:p w14:paraId="32C1F520">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3.乙方在货物发运手续办理完毕后二十四小时内或者货到甲方四十八小时前通知甲方，以准备接货。</w:t>
      </w:r>
    </w:p>
    <w:p w14:paraId="02F0A7C0">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4.货物在交付甲方前发生的风险均由乙方负责。</w:t>
      </w:r>
    </w:p>
    <w:p w14:paraId="7AF4BF2F">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5.货物在规</w:t>
      </w:r>
      <w:r>
        <w:rPr>
          <w:rFonts w:hint="eastAsia" w:hAnsi="宋体"/>
          <w:color w:val="auto"/>
          <w:spacing w:val="-8"/>
          <w:highlight w:val="none"/>
        </w:rPr>
        <w:t>定的交付期限内由乙方送达甲方指定的地点视为交付，乙方同时需通知甲方货物已送达。</w:t>
      </w:r>
    </w:p>
    <w:p w14:paraId="4016A130">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第十四条　违约责任</w:t>
      </w:r>
    </w:p>
    <w:p w14:paraId="5EE2D808">
      <w:pPr>
        <w:pStyle w:val="20"/>
        <w:snapToGrid w:val="0"/>
        <w:spacing w:line="360" w:lineRule="auto"/>
        <w:ind w:firstLine="420" w:firstLineChars="200"/>
        <w:rPr>
          <w:rFonts w:hint="eastAsia" w:hAnsi="宋体"/>
          <w:color w:val="auto"/>
          <w:highlight w:val="none"/>
        </w:rPr>
      </w:pPr>
      <w:r>
        <w:rPr>
          <w:rFonts w:hint="eastAsia" w:ascii="宋体" w:hAnsi="宋体" w:eastAsia="宋体"/>
          <w:color w:val="auto"/>
          <w:highlight w:val="none"/>
        </w:rPr>
        <w:t xml:space="preserve">1.乙方应确保所供氧的质量与及时性，并确保所供氧气设备设施的安全性，否则引起的相关责任由乙方承担，造成甲方或者第三方损失的，乙方应负责赔偿。                             </w:t>
      </w:r>
      <w:r>
        <w:rPr>
          <w:rFonts w:hint="eastAsia" w:hAnsi="宋体"/>
          <w:color w:val="auto"/>
          <w:highlight w:val="none"/>
        </w:rPr>
        <w:t xml:space="preserve">         </w:t>
      </w:r>
    </w:p>
    <w:p w14:paraId="7045A7EB">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2.乙方提供的货物如侵犯了第三方合法权益而引发的任何纠纷或者诉讼，均由乙方负责交涉并承担全部责任。</w:t>
      </w:r>
    </w:p>
    <w:p w14:paraId="22B4C43C">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3.因包装、运输引起的货物损坏，按质量不合格处罚。</w:t>
      </w:r>
    </w:p>
    <w:p w14:paraId="0199A87F">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4.甲方无故延期接收货物、乙方逾期交货的，每天向对方偿付违约货款额3‰违约金，但违约金累计不得超过违约货款额5%，超过</w:t>
      </w:r>
      <w:r>
        <w:rPr>
          <w:rFonts w:hint="eastAsia" w:hAnsi="宋体"/>
          <w:color w:val="auto"/>
          <w:highlight w:val="none"/>
          <w:u w:val="single"/>
        </w:rPr>
        <w:t xml:space="preserve">  </w:t>
      </w:r>
      <w:r>
        <w:rPr>
          <w:rFonts w:hint="eastAsia" w:hAnsi="宋体"/>
          <w:color w:val="auto"/>
          <w:highlight w:val="none"/>
          <w:u w:val="single"/>
          <w:lang w:val="en-US" w:eastAsia="zh-CN"/>
        </w:rPr>
        <w:t xml:space="preserve">30 </w:t>
      </w:r>
      <w:r>
        <w:rPr>
          <w:rFonts w:hint="eastAsia" w:hAnsi="宋体"/>
          <w:color w:val="auto"/>
          <w:highlight w:val="none"/>
          <w:u w:val="single"/>
        </w:rPr>
        <w:t xml:space="preserve"> </w:t>
      </w:r>
      <w:r>
        <w:rPr>
          <w:rFonts w:hint="eastAsia" w:hAnsi="宋体"/>
          <w:color w:val="auto"/>
          <w:highlight w:val="none"/>
        </w:rPr>
        <w:t>天对方有权解除合同，违约方承担因此给对方造成经济损失；甲方延期付货款的，每天向乙方偿付延期货款额3‰滞纳金，但滞纳金累计不得超过延期货款额5%。</w:t>
      </w:r>
    </w:p>
    <w:p w14:paraId="1D0A2F7E">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5. 乙方未按本合同和投标文件中规定的服务承诺提供售后服务的，乙方应按本合同合计金额 5%向甲方支付违约金</w:t>
      </w:r>
      <w:r>
        <w:rPr>
          <w:rFonts w:hint="eastAsia" w:hAnsi="宋体"/>
          <w:color w:val="auto"/>
          <w:highlight w:val="none"/>
          <w:lang w:eastAsia="zh-CN"/>
        </w:rPr>
        <w:t>，同时甲方有权根据本合同约定自行交由第三方提供售后服务，乙方每次除向甲方支付违约金外，还需承担甲方为此支出的配件费、工时费等一切售后服务相关费用。</w:t>
      </w:r>
    </w:p>
    <w:p w14:paraId="0F5EEB76">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6. 乙方提供的货物在质量保证期内，因设计、工艺或者材料的缺陷和其它质量原因造成的问题，由乙方负责，费用从余款中扣除，不足另补。</w:t>
      </w:r>
    </w:p>
    <w:p w14:paraId="50F29D94">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7. 甲乙双方有其它违约行为的，由违约方向对方支付违约内容涉及货款额的5%，违约内容涉及货款额的5%不足以赔偿经济损失的按实际赔偿。</w:t>
      </w:r>
    </w:p>
    <w:p w14:paraId="5F2656A2">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8.乙方未按约提供合法有效的足额发票的，除须向甲方补开发票外，还须向甲方支付相当于不符合合同约定的发票票面金额30%的违约金。</w:t>
      </w:r>
    </w:p>
    <w:p w14:paraId="7EE25196">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9.乙方违反第三条第3款约定的，应向甲方一次性支付合同合计金额30%的违约金。</w:t>
      </w:r>
    </w:p>
    <w:p w14:paraId="1E610B2B">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10.乙方的其他违约行为，按违约货款额5%收取违约金。</w:t>
      </w:r>
    </w:p>
    <w:p w14:paraId="442AF280">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11.甲方解除合同的，除有权要求乙方按相应违约条款承担违约责任外，还有权要求乙方按本合同合计金额的30%支付违约金。</w:t>
      </w:r>
    </w:p>
    <w:p w14:paraId="026EF5EA">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12.任何一方存在任何违约行为的，除按合同约定承担违约责任外，还应赔偿守约方的一切经济损失，包括直接的财产损失，以及因违约造成的可能产生的预期经济损失以及守约为应对相关处罚、纠纷、诉讼支出的全部费用（包括但不限于守约方因此承担的处罚、赔偿责任、发生的当事人以及代理人差旅费、诉讼费、公告费、律师费、公证费、保全费、诉讼保全保险费、评估费、鉴定费及其他损失等）。</w:t>
      </w:r>
    </w:p>
    <w:p w14:paraId="60ED3453">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13. 按本合同约定或法律规定，甲方主张解除合同的，自甲方解除合同的书面通知送达乙方之日起合同解除，乙方应赔偿由此给甲方造成的全部损失。甲方不支付乙方任何费用，乙方对解除合同有异议的异议期为叁日。乙方应当在合同解除后伍日内退还甲方支付的所有费用（如有），自费运回所交付的货物，付清违约金、赔偿金。</w:t>
      </w:r>
    </w:p>
    <w:p w14:paraId="5D36C9E3">
      <w:pPr>
        <w:pStyle w:val="20"/>
        <w:snapToGrid w:val="0"/>
        <w:spacing w:line="360" w:lineRule="auto"/>
        <w:ind w:firstLine="413" w:firstLineChars="196"/>
        <w:rPr>
          <w:rFonts w:hint="eastAsia" w:hAnsi="宋体"/>
          <w:b/>
          <w:color w:val="auto"/>
          <w:highlight w:val="none"/>
        </w:rPr>
      </w:pPr>
      <w:r>
        <w:rPr>
          <w:rFonts w:hint="eastAsia" w:hAnsi="宋体"/>
          <w:b/>
          <w:color w:val="auto"/>
          <w:highlight w:val="none"/>
        </w:rPr>
        <w:t>第十五条  不可抗力事件处理</w:t>
      </w:r>
    </w:p>
    <w:p w14:paraId="06A379B7">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1.在合同有效期内，任何一方因不可抗力事件导致不能履行合同，则合同履行期可延长，其延长期与不可抗力影响期相同。</w:t>
      </w:r>
    </w:p>
    <w:p w14:paraId="0071910D">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2.不可抗力事件发生后，应立即通知对方，并寄送有关权威机构出具的证明。</w:t>
      </w:r>
    </w:p>
    <w:p w14:paraId="203DE0B8">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3.不可抗力事件延续一百二十天以上，双方应通过友好协商，确定是否继续履行合同。</w:t>
      </w:r>
    </w:p>
    <w:p w14:paraId="57B99C12">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第十六条  合同争议解决</w:t>
      </w:r>
    </w:p>
    <w:p w14:paraId="09498AE5">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 因货物质量问题发生争议的，应邀请国家认可的质量检测机构对货物质量进行鉴定。货物符合标准的，鉴定费由甲方承担；货物不符合标准的，鉴定费由乙方承担。</w:t>
      </w:r>
    </w:p>
    <w:p w14:paraId="7AA2CD5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 因履行本合同引起的或者与本合同有关的争议，甲乙双方应首先通过友好协商解决，如果协商不能解决，可向甲方所在地</w:t>
      </w:r>
      <w:r>
        <w:rPr>
          <w:rFonts w:hint="eastAsia" w:ascii="宋体" w:hAnsi="宋体" w:cs="宋体"/>
          <w:color w:val="auto"/>
          <w:szCs w:val="21"/>
          <w:highlight w:val="none"/>
        </w:rPr>
        <w:t>有管辖权的</w:t>
      </w:r>
      <w:r>
        <w:rPr>
          <w:rFonts w:hint="eastAsia" w:ascii="宋体" w:hAnsi="宋体"/>
          <w:color w:val="auto"/>
          <w:szCs w:val="21"/>
          <w:highlight w:val="none"/>
        </w:rPr>
        <w:t>人民法院提起诉讼。</w:t>
      </w:r>
    </w:p>
    <w:p w14:paraId="46320AA0">
      <w:pPr>
        <w:snapToGrid w:val="0"/>
        <w:spacing w:line="360" w:lineRule="auto"/>
        <w:ind w:left="-61" w:firstLine="514"/>
        <w:rPr>
          <w:rFonts w:hint="eastAsia" w:ascii="宋体" w:hAnsi="宋体"/>
          <w:color w:val="auto"/>
          <w:szCs w:val="21"/>
          <w:highlight w:val="none"/>
        </w:rPr>
      </w:pPr>
      <w:r>
        <w:rPr>
          <w:rFonts w:hint="eastAsia" w:ascii="宋体" w:hAnsi="宋体"/>
          <w:color w:val="auto"/>
          <w:szCs w:val="21"/>
          <w:highlight w:val="none"/>
        </w:rPr>
        <w:t>3.诉讼期间，本合同继续履行。</w:t>
      </w:r>
    </w:p>
    <w:p w14:paraId="3686386A">
      <w:pPr>
        <w:pStyle w:val="20"/>
        <w:snapToGrid w:val="0"/>
        <w:spacing w:line="360" w:lineRule="auto"/>
        <w:ind w:firstLine="413" w:firstLineChars="196"/>
        <w:rPr>
          <w:rFonts w:hint="eastAsia" w:hAnsi="宋体"/>
          <w:b/>
          <w:color w:val="auto"/>
          <w:highlight w:val="none"/>
        </w:rPr>
      </w:pPr>
      <w:r>
        <w:rPr>
          <w:rFonts w:hint="eastAsia" w:hAnsi="宋体"/>
          <w:b/>
          <w:color w:val="auto"/>
          <w:highlight w:val="none"/>
        </w:rPr>
        <w:t>第十七条  合同生效及其它</w:t>
      </w:r>
    </w:p>
    <w:p w14:paraId="2C579AA8">
      <w:pPr>
        <w:pStyle w:val="20"/>
        <w:snapToGrid w:val="0"/>
        <w:spacing w:line="360" w:lineRule="auto"/>
        <w:ind w:firstLine="420" w:firstLineChars="200"/>
        <w:rPr>
          <w:rFonts w:hint="eastAsia" w:ascii="宋体" w:hAnsi="宋体" w:eastAsia="宋体" w:cs="Times New Roman"/>
          <w:b w:val="0"/>
          <w:color w:val="auto"/>
          <w:szCs w:val="21"/>
          <w:highlight w:val="none"/>
        </w:rPr>
      </w:pPr>
      <w:r>
        <w:rPr>
          <w:rFonts w:hint="eastAsia" w:ascii="宋体" w:hAnsi="宋体" w:eastAsia="宋体" w:cs="Times New Roman"/>
          <w:b w:val="0"/>
          <w:color w:val="auto"/>
          <w:szCs w:val="21"/>
          <w:highlight w:val="none"/>
        </w:rPr>
        <w:t>1.合同经双方法定代表人或者委托代理人签字并加盖单位公章后生效（委托代理人签字的需后附授权委托书，格式自拟）。</w:t>
      </w:r>
    </w:p>
    <w:p w14:paraId="48911213">
      <w:pPr>
        <w:pStyle w:val="20"/>
        <w:snapToGrid w:val="0"/>
        <w:spacing w:line="360" w:lineRule="auto"/>
        <w:ind w:firstLine="420" w:firstLineChars="200"/>
        <w:rPr>
          <w:rFonts w:hint="eastAsia" w:ascii="宋体" w:hAnsi="宋体" w:eastAsia="宋体" w:cs="Times New Roman"/>
          <w:b w:val="0"/>
          <w:color w:val="auto"/>
          <w:szCs w:val="21"/>
          <w:highlight w:val="none"/>
        </w:rPr>
      </w:pPr>
      <w:r>
        <w:rPr>
          <w:rFonts w:hint="eastAsia" w:ascii="宋体" w:hAnsi="宋体" w:eastAsia="宋体" w:cs="Times New Roman"/>
          <w:b w:val="0"/>
          <w:color w:val="auto"/>
          <w:szCs w:val="21"/>
          <w:highlight w:val="none"/>
        </w:rPr>
        <w:t>2.合同执行中涉及采购资金和采购内容修改或者补充的，须经财政部门审批，并签书面补充协议报财政部门备案，方可作为主合同不可分割的一部分。</w:t>
      </w:r>
    </w:p>
    <w:p w14:paraId="45BB048C">
      <w:pPr>
        <w:pStyle w:val="20"/>
        <w:snapToGrid w:val="0"/>
        <w:spacing w:line="360" w:lineRule="auto"/>
        <w:ind w:left="420" w:leftChars="200"/>
        <w:rPr>
          <w:rFonts w:hint="eastAsia" w:ascii="宋体" w:hAnsi="宋体" w:eastAsia="宋体" w:cs="Times New Roman"/>
          <w:b w:val="0"/>
          <w:color w:val="auto"/>
          <w:szCs w:val="21"/>
          <w:highlight w:val="none"/>
        </w:rPr>
      </w:pPr>
      <w:r>
        <w:rPr>
          <w:rFonts w:hint="eastAsia" w:ascii="宋体" w:hAnsi="宋体" w:eastAsia="宋体" w:cs="Times New Roman"/>
          <w:b w:val="0"/>
          <w:color w:val="auto"/>
          <w:szCs w:val="21"/>
          <w:highlight w:val="none"/>
        </w:rPr>
        <w:t>3.本合同未尽事宜，遵照《中华人民共和国民法典》有关条文执行。</w:t>
      </w:r>
    </w:p>
    <w:p w14:paraId="267AE885">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第十八条　合同的变更、终止与转让</w:t>
      </w:r>
    </w:p>
    <w:p w14:paraId="093D44BC">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 除《中华人民共和国政府采购法》第五十条规定的情形外，本合同一经签订，甲乙双方不得擅自变更、中止或者终止。</w:t>
      </w:r>
    </w:p>
    <w:p w14:paraId="3D66F236">
      <w:pPr>
        <w:snapToGrid w:val="0"/>
        <w:spacing w:line="360" w:lineRule="auto"/>
        <w:ind w:left="-61" w:firstLine="514"/>
        <w:rPr>
          <w:rFonts w:hint="eastAsia" w:ascii="宋体" w:hAnsi="宋体"/>
          <w:color w:val="auto"/>
          <w:szCs w:val="21"/>
          <w:highlight w:val="none"/>
        </w:rPr>
      </w:pPr>
      <w:r>
        <w:rPr>
          <w:rFonts w:hint="eastAsia" w:ascii="宋体" w:hAnsi="宋体"/>
          <w:color w:val="auto"/>
          <w:szCs w:val="21"/>
          <w:highlight w:val="none"/>
        </w:rPr>
        <w:t>2. 乙方不得擅自转让（无进口资格的供应商委托进口货物除外）其应履行的合同义务。</w:t>
      </w:r>
    </w:p>
    <w:p w14:paraId="45231A83">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第十九条　</w:t>
      </w:r>
      <w:r>
        <w:rPr>
          <w:rFonts w:hint="eastAsia" w:ascii="宋体" w:hAnsi="宋体" w:cs="微软雅黑"/>
          <w:color w:val="auto"/>
          <w:spacing w:val="-2"/>
          <w:kern w:val="0"/>
          <w:szCs w:val="21"/>
          <w:highlight w:val="none"/>
        </w:rPr>
        <w:t>本</w:t>
      </w:r>
      <w:r>
        <w:rPr>
          <w:rFonts w:hint="eastAsia" w:ascii="宋体" w:hAnsi="宋体" w:cs="微软雅黑"/>
          <w:color w:val="auto"/>
          <w:kern w:val="0"/>
          <w:szCs w:val="21"/>
          <w:highlight w:val="none"/>
        </w:rPr>
        <w:t>合同书</w:t>
      </w:r>
      <w:r>
        <w:rPr>
          <w:rFonts w:hint="eastAsia" w:ascii="宋体" w:hAnsi="宋体" w:cs="微软雅黑"/>
          <w:color w:val="auto"/>
          <w:spacing w:val="-2"/>
          <w:kern w:val="0"/>
          <w:szCs w:val="21"/>
          <w:highlight w:val="none"/>
        </w:rPr>
        <w:t>与</w:t>
      </w:r>
      <w:r>
        <w:rPr>
          <w:rFonts w:hint="eastAsia" w:ascii="宋体" w:hAnsi="宋体" w:cs="微软雅黑"/>
          <w:color w:val="auto"/>
          <w:kern w:val="0"/>
          <w:szCs w:val="21"/>
          <w:highlight w:val="none"/>
        </w:rPr>
        <w:t>下</w:t>
      </w:r>
      <w:r>
        <w:rPr>
          <w:rFonts w:hint="eastAsia" w:ascii="宋体" w:hAnsi="宋体" w:cs="微软雅黑"/>
          <w:color w:val="auto"/>
          <w:spacing w:val="-2"/>
          <w:kern w:val="0"/>
          <w:szCs w:val="21"/>
          <w:highlight w:val="none"/>
        </w:rPr>
        <w:t>列</w:t>
      </w:r>
      <w:r>
        <w:rPr>
          <w:rFonts w:hint="eastAsia" w:ascii="宋体" w:hAnsi="宋体" w:cs="微软雅黑"/>
          <w:color w:val="auto"/>
          <w:kern w:val="0"/>
          <w:szCs w:val="21"/>
          <w:highlight w:val="none"/>
        </w:rPr>
        <w:t>文</w:t>
      </w:r>
      <w:r>
        <w:rPr>
          <w:rFonts w:hint="eastAsia" w:ascii="宋体" w:hAnsi="宋体" w:cs="微软雅黑"/>
          <w:color w:val="auto"/>
          <w:spacing w:val="-2"/>
          <w:kern w:val="0"/>
          <w:szCs w:val="21"/>
          <w:highlight w:val="none"/>
        </w:rPr>
        <w:t>件一</w:t>
      </w:r>
      <w:r>
        <w:rPr>
          <w:rFonts w:hint="eastAsia" w:ascii="宋体" w:hAnsi="宋体" w:cs="微软雅黑"/>
          <w:color w:val="auto"/>
          <w:kern w:val="0"/>
          <w:szCs w:val="21"/>
          <w:highlight w:val="none"/>
        </w:rPr>
        <w:t>起构</w:t>
      </w:r>
      <w:r>
        <w:rPr>
          <w:rFonts w:hint="eastAsia" w:ascii="宋体" w:hAnsi="宋体" w:cs="微软雅黑"/>
          <w:color w:val="auto"/>
          <w:spacing w:val="-2"/>
          <w:kern w:val="0"/>
          <w:szCs w:val="21"/>
          <w:highlight w:val="none"/>
        </w:rPr>
        <w:t>成</w:t>
      </w:r>
      <w:r>
        <w:rPr>
          <w:rFonts w:hint="eastAsia" w:ascii="宋体" w:hAnsi="宋体" w:cs="微软雅黑"/>
          <w:color w:val="auto"/>
          <w:kern w:val="0"/>
          <w:szCs w:val="21"/>
          <w:highlight w:val="none"/>
        </w:rPr>
        <w:t>合</w:t>
      </w:r>
      <w:r>
        <w:rPr>
          <w:rFonts w:hint="eastAsia" w:ascii="宋体" w:hAnsi="宋体" w:cs="微软雅黑"/>
          <w:color w:val="auto"/>
          <w:spacing w:val="-2"/>
          <w:kern w:val="0"/>
          <w:szCs w:val="21"/>
          <w:highlight w:val="none"/>
        </w:rPr>
        <w:t>同</w:t>
      </w:r>
      <w:r>
        <w:rPr>
          <w:rFonts w:hint="eastAsia" w:ascii="宋体" w:hAnsi="宋体" w:cs="微软雅黑"/>
          <w:color w:val="auto"/>
          <w:kern w:val="0"/>
          <w:szCs w:val="21"/>
          <w:highlight w:val="none"/>
        </w:rPr>
        <w:t>文</w:t>
      </w:r>
      <w:r>
        <w:rPr>
          <w:rFonts w:hint="eastAsia" w:ascii="宋体" w:hAnsi="宋体" w:cs="微软雅黑"/>
          <w:color w:val="auto"/>
          <w:spacing w:val="-2"/>
          <w:kern w:val="0"/>
          <w:szCs w:val="21"/>
          <w:highlight w:val="none"/>
        </w:rPr>
        <w:t>件</w:t>
      </w:r>
    </w:p>
    <w:p w14:paraId="7F6D73A4">
      <w:pPr>
        <w:pStyle w:val="20"/>
        <w:snapToGrid w:val="0"/>
        <w:spacing w:line="360" w:lineRule="auto"/>
        <w:ind w:left="420" w:leftChars="200"/>
        <w:rPr>
          <w:rFonts w:hint="eastAsia" w:hAnsi="宋体"/>
          <w:color w:val="auto"/>
          <w:highlight w:val="none"/>
        </w:rPr>
      </w:pPr>
      <w:r>
        <w:rPr>
          <w:rFonts w:hint="eastAsia" w:hAnsi="宋体"/>
          <w:color w:val="auto"/>
          <w:highlight w:val="none"/>
        </w:rPr>
        <w:t>1.</w:t>
      </w:r>
      <w:r>
        <w:rPr>
          <w:rFonts w:hint="eastAsia" w:hAnsi="宋体"/>
          <w:color w:val="auto"/>
          <w:highlight w:val="none"/>
          <w:lang w:val="en-US" w:eastAsia="zh-CN"/>
        </w:rPr>
        <w:t>技术文件</w:t>
      </w:r>
      <w:r>
        <w:rPr>
          <w:rFonts w:hint="eastAsia" w:hAnsi="宋体"/>
          <w:color w:val="auto"/>
          <w:highlight w:val="none"/>
        </w:rPr>
        <w:t>；</w:t>
      </w:r>
    </w:p>
    <w:p w14:paraId="5661C662">
      <w:pPr>
        <w:pStyle w:val="20"/>
        <w:snapToGrid w:val="0"/>
        <w:spacing w:line="360" w:lineRule="auto"/>
        <w:ind w:left="420" w:leftChars="200"/>
        <w:rPr>
          <w:rFonts w:hint="eastAsia" w:hAnsi="宋体"/>
          <w:color w:val="auto"/>
          <w:highlight w:val="none"/>
        </w:rPr>
      </w:pPr>
      <w:r>
        <w:rPr>
          <w:rFonts w:hint="eastAsia" w:hAnsi="宋体"/>
          <w:color w:val="auto"/>
          <w:highlight w:val="none"/>
        </w:rPr>
        <w:t>2.</w:t>
      </w:r>
      <w:r>
        <w:rPr>
          <w:rFonts w:hint="eastAsia" w:hAnsi="宋体"/>
          <w:color w:val="auto"/>
          <w:highlight w:val="none"/>
          <w:lang w:val="en-US" w:eastAsia="zh-CN"/>
        </w:rPr>
        <w:t>报价文件</w:t>
      </w:r>
      <w:r>
        <w:rPr>
          <w:rFonts w:hint="eastAsia" w:hAnsi="宋体"/>
          <w:color w:val="auto"/>
          <w:highlight w:val="none"/>
        </w:rPr>
        <w:t>；</w:t>
      </w:r>
    </w:p>
    <w:p w14:paraId="0ED48F03">
      <w:pPr>
        <w:pStyle w:val="20"/>
        <w:snapToGrid w:val="0"/>
        <w:spacing w:line="360" w:lineRule="auto"/>
        <w:ind w:left="420" w:leftChars="200"/>
        <w:rPr>
          <w:rFonts w:hint="eastAsia" w:hAnsi="宋体"/>
          <w:color w:val="auto"/>
          <w:highlight w:val="none"/>
        </w:rPr>
      </w:pPr>
      <w:r>
        <w:rPr>
          <w:rFonts w:hint="eastAsia" w:hAnsi="宋体"/>
          <w:color w:val="auto"/>
          <w:highlight w:val="none"/>
        </w:rPr>
        <w:t>3.</w:t>
      </w:r>
      <w:r>
        <w:rPr>
          <w:rFonts w:hint="eastAsia" w:hAnsi="宋体"/>
          <w:color w:val="auto"/>
          <w:highlight w:val="none"/>
          <w:lang w:val="en-US" w:eastAsia="zh-CN"/>
        </w:rPr>
        <w:t>其他文书、文件</w:t>
      </w:r>
      <w:r>
        <w:rPr>
          <w:rFonts w:hint="eastAsia" w:hAnsi="宋体"/>
          <w:color w:val="auto"/>
          <w:highlight w:val="none"/>
        </w:rPr>
        <w:t>；</w:t>
      </w:r>
    </w:p>
    <w:p w14:paraId="6D068FE0">
      <w:pPr>
        <w:pStyle w:val="20"/>
        <w:snapToGrid w:val="0"/>
        <w:spacing w:line="360" w:lineRule="auto"/>
        <w:ind w:left="420" w:leftChars="200"/>
        <w:rPr>
          <w:rFonts w:hint="eastAsia" w:hAnsi="宋体"/>
          <w:color w:val="auto"/>
          <w:highlight w:val="none"/>
        </w:rPr>
      </w:pPr>
      <w:r>
        <w:rPr>
          <w:rFonts w:hint="eastAsia" w:hAnsi="宋体"/>
          <w:color w:val="auto"/>
          <w:highlight w:val="none"/>
        </w:rPr>
        <w:t>上述合同文件互相补充和解释。如果合同文件之间存在矛盾或者不一致之处，以上述文件的排列顺序在先者为准。</w:t>
      </w:r>
    </w:p>
    <w:p w14:paraId="51F5AFFA">
      <w:pPr>
        <w:pStyle w:val="20"/>
        <w:snapToGrid w:val="0"/>
        <w:spacing w:line="360" w:lineRule="auto"/>
        <w:ind w:left="420" w:leftChars="200"/>
        <w:rPr>
          <w:rFonts w:hint="eastAsia" w:hAnsi="宋体"/>
          <w:b/>
          <w:bCs/>
          <w:color w:val="auto"/>
          <w:highlight w:val="none"/>
        </w:rPr>
      </w:pPr>
      <w:r>
        <w:rPr>
          <w:rFonts w:hint="eastAsia" w:hAnsi="宋体"/>
          <w:b/>
          <w:bCs/>
          <w:color w:val="auto"/>
          <w:highlight w:val="none"/>
        </w:rPr>
        <w:t>第二十条 通知</w:t>
      </w:r>
    </w:p>
    <w:p w14:paraId="18E478F6">
      <w:pPr>
        <w:pStyle w:val="20"/>
        <w:snapToGrid w:val="0"/>
        <w:spacing w:line="360" w:lineRule="auto"/>
        <w:ind w:left="420" w:leftChars="200"/>
        <w:rPr>
          <w:rFonts w:hint="eastAsia" w:hAnsi="宋体"/>
          <w:color w:val="auto"/>
          <w:highlight w:val="none"/>
        </w:rPr>
      </w:pPr>
      <w:r>
        <w:rPr>
          <w:rFonts w:hint="eastAsia" w:hAnsi="宋体"/>
          <w:color w:val="auto"/>
          <w:highlight w:val="none"/>
        </w:rPr>
        <w:t>双方确认本合同落款通讯地址作为文书送达地址，该通讯地址适用于包括双方合同履行过程中的各类通知、协议等文件以及就合同发生争议进入诉讼、仲裁程序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电子邮件、传真送达的，一经发送，即视为送达。本合同中的通知、送达条款与信息安全保密条款、争议解决条款均为独立条款，不受合同整体或其他条款的效力的影响。</w:t>
      </w:r>
    </w:p>
    <w:p w14:paraId="72C6AAD0">
      <w:pPr>
        <w:pStyle w:val="20"/>
        <w:snapToGrid w:val="0"/>
        <w:spacing w:line="360" w:lineRule="auto"/>
        <w:ind w:left="420" w:leftChars="200"/>
        <w:rPr>
          <w:rFonts w:hint="eastAsia" w:hAnsi="宋体"/>
          <w:b/>
          <w:bCs/>
          <w:color w:val="auto"/>
          <w:highlight w:val="none"/>
        </w:rPr>
      </w:pPr>
      <w:r>
        <w:rPr>
          <w:rFonts w:hint="eastAsia" w:hAnsi="宋体"/>
          <w:b/>
          <w:bCs/>
          <w:color w:val="auto"/>
          <w:highlight w:val="none"/>
        </w:rPr>
        <w:t>第二十一条 反商业贿赂</w:t>
      </w:r>
    </w:p>
    <w:p w14:paraId="3881827D">
      <w:pPr>
        <w:pStyle w:val="20"/>
        <w:snapToGrid w:val="0"/>
        <w:spacing w:line="360" w:lineRule="auto"/>
        <w:ind w:left="420" w:leftChars="200" w:firstLine="420" w:firstLineChars="200"/>
        <w:rPr>
          <w:rFonts w:hint="eastAsia" w:ascii="宋体" w:hAnsi="宋体"/>
          <w:color w:val="auto"/>
          <w:szCs w:val="21"/>
          <w:highlight w:val="none"/>
        </w:rPr>
      </w:pPr>
      <w:r>
        <w:rPr>
          <w:rFonts w:hint="eastAsia" w:hAnsi="宋体"/>
          <w:color w:val="auto"/>
          <w:highlight w:val="none"/>
        </w:rPr>
        <w:t>乙方不得向甲方以及经办人、工作人员或其他相关人员提供、给予合同约定外的任何利益，包括但不限于明扣、暗扣、现金、购物卡、实物、有价证券、旅游或其他非物质性利益等，否则构成重大违约。</w:t>
      </w:r>
    </w:p>
    <w:p w14:paraId="5A247ED3">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第二十</w:t>
      </w:r>
      <w:r>
        <w:rPr>
          <w:rFonts w:hint="eastAsia" w:ascii="宋体" w:hAnsi="宋体"/>
          <w:b/>
          <w:color w:val="auto"/>
          <w:szCs w:val="21"/>
          <w:highlight w:val="none"/>
          <w:lang w:val="en-US" w:eastAsia="zh-CN"/>
        </w:rPr>
        <w:t>二</w:t>
      </w:r>
      <w:r>
        <w:rPr>
          <w:rFonts w:hint="eastAsia" w:ascii="宋体" w:hAnsi="宋体"/>
          <w:b/>
          <w:color w:val="auto"/>
          <w:szCs w:val="21"/>
          <w:highlight w:val="none"/>
        </w:rPr>
        <w:t>条　</w:t>
      </w:r>
      <w:r>
        <w:rPr>
          <w:rFonts w:hint="eastAsia" w:ascii="宋体" w:hAnsi="宋体"/>
          <w:color w:val="auto"/>
          <w:szCs w:val="21"/>
          <w:highlight w:val="none"/>
        </w:rPr>
        <w:t>本合同一式</w:t>
      </w:r>
      <w:r>
        <w:rPr>
          <w:rFonts w:hint="eastAsia" w:ascii="宋体" w:hAnsi="宋体"/>
          <w:color w:val="auto"/>
          <w:szCs w:val="21"/>
          <w:highlight w:val="none"/>
          <w:lang w:val="en-US" w:eastAsia="zh-CN"/>
        </w:rPr>
        <w:t>七</w:t>
      </w:r>
      <w:r>
        <w:rPr>
          <w:rFonts w:hint="eastAsia" w:ascii="宋体" w:hAnsi="宋体"/>
          <w:color w:val="auto"/>
          <w:szCs w:val="21"/>
          <w:highlight w:val="none"/>
        </w:rPr>
        <w:t>份，具有同等法律效力</w:t>
      </w:r>
      <w:r>
        <w:rPr>
          <w:rFonts w:hint="eastAsia" w:ascii="宋体" w:hAnsi="宋体"/>
          <w:color w:val="auto"/>
          <w:szCs w:val="21"/>
          <w:highlight w:val="none"/>
          <w:lang w:eastAsia="zh-CN"/>
        </w:rPr>
        <w:t>。</w:t>
      </w:r>
      <w:r>
        <w:rPr>
          <w:rFonts w:hint="eastAsia" w:ascii="宋体" w:hAnsi="宋体"/>
          <w:color w:val="auto"/>
          <w:szCs w:val="21"/>
          <w:highlight w:val="none"/>
        </w:rPr>
        <w:t>甲</w:t>
      </w:r>
      <w:r>
        <w:rPr>
          <w:rFonts w:hint="eastAsia" w:ascii="宋体" w:hAnsi="宋体"/>
          <w:color w:val="auto"/>
          <w:szCs w:val="21"/>
          <w:highlight w:val="none"/>
          <w:lang w:val="en-US" w:eastAsia="zh-CN"/>
        </w:rPr>
        <w:t>方执五份，</w:t>
      </w:r>
      <w:r>
        <w:rPr>
          <w:rFonts w:hint="eastAsia" w:ascii="宋体" w:hAnsi="宋体"/>
          <w:color w:val="auto"/>
          <w:szCs w:val="21"/>
          <w:highlight w:val="none"/>
        </w:rPr>
        <w:t>乙方</w:t>
      </w:r>
      <w:r>
        <w:rPr>
          <w:rFonts w:hint="eastAsia" w:ascii="宋体" w:hAnsi="宋体"/>
          <w:color w:val="auto"/>
          <w:szCs w:val="21"/>
          <w:highlight w:val="none"/>
          <w:lang w:val="en-US" w:eastAsia="zh-CN"/>
        </w:rPr>
        <w:t>执一</w:t>
      </w:r>
      <w:r>
        <w:rPr>
          <w:rFonts w:hint="eastAsia" w:ascii="宋体" w:hAnsi="宋体"/>
          <w:color w:val="auto"/>
          <w:szCs w:val="21"/>
          <w:highlight w:val="none"/>
        </w:rPr>
        <w:t>份</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代理机构执一份</w:t>
      </w:r>
      <w:r>
        <w:rPr>
          <w:rFonts w:hint="eastAsia" w:ascii="宋体" w:hAnsi="宋体"/>
          <w:color w:val="auto"/>
          <w:szCs w:val="21"/>
          <w:highlight w:val="none"/>
        </w:rPr>
        <w:t>。</w:t>
      </w:r>
    </w:p>
    <w:p w14:paraId="1014E952">
      <w:pPr>
        <w:spacing w:line="52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宋体" w:hAnsi="宋体" w:cs="宋体"/>
          <w:color w:val="auto"/>
          <w:szCs w:val="21"/>
          <w:highlight w:val="none"/>
        </w:rPr>
        <w:t>本合同经甲乙双方法定代表人或被授权代表签字并加盖单位公章后生效。</w:t>
      </w:r>
    </w:p>
    <w:p w14:paraId="44CFEC18">
      <w:pPr>
        <w:spacing w:line="520" w:lineRule="exact"/>
        <w:ind w:firstLine="420" w:firstLineChars="200"/>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1"/>
          <w:szCs w:val="21"/>
          <w:highlight w:val="none"/>
          <w:shd w:val="clear" w:color="auto" w:fill="FFFFFF"/>
        </w:rPr>
        <w:t>（以下无正文）</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0"/>
        <w:gridCol w:w="4413"/>
      </w:tblGrid>
      <w:tr w14:paraId="66A18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20" w:type="dxa"/>
            <w:noWrap w:val="0"/>
            <w:vAlign w:val="center"/>
          </w:tcPr>
          <w:p w14:paraId="0E8402FC">
            <w:pPr>
              <w:snapToGrid w:val="0"/>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甲方（章）</w:t>
            </w:r>
            <w:r>
              <w:rPr>
                <w:rFonts w:hint="eastAsia" w:ascii="宋体" w:hAnsi="宋体"/>
                <w:color w:val="auto"/>
                <w:szCs w:val="21"/>
                <w:highlight w:val="none"/>
                <w:lang w:eastAsia="zh-CN"/>
              </w:rPr>
              <w:t>：广西壮族自治区职业病防治研究院</w:t>
            </w:r>
          </w:p>
          <w:p w14:paraId="3FC1B1B7">
            <w:pPr>
              <w:snapToGrid w:val="0"/>
              <w:spacing w:line="360" w:lineRule="auto"/>
              <w:rPr>
                <w:rFonts w:hint="eastAsia" w:ascii="宋体" w:hAnsi="宋体"/>
                <w:color w:val="auto"/>
                <w:szCs w:val="21"/>
                <w:highlight w:val="none"/>
              </w:rPr>
            </w:pPr>
          </w:p>
          <w:p w14:paraId="32A7941A">
            <w:pPr>
              <w:snapToGrid w:val="0"/>
              <w:spacing w:line="360" w:lineRule="auto"/>
              <w:ind w:firstLine="945" w:firstLineChars="450"/>
              <w:jc w:val="right"/>
              <w:rPr>
                <w:rFonts w:hint="eastAsia" w:ascii="宋体" w:hAnsi="宋体"/>
                <w:color w:val="auto"/>
                <w:szCs w:val="21"/>
                <w:highlight w:val="none"/>
              </w:rPr>
            </w:pPr>
            <w:r>
              <w:rPr>
                <w:rFonts w:hint="eastAsia" w:ascii="宋体" w:hAnsi="宋体"/>
                <w:color w:val="auto"/>
                <w:szCs w:val="21"/>
                <w:highlight w:val="none"/>
                <w:lang w:val="en-US" w:eastAsia="zh-CN"/>
              </w:rPr>
              <w:t>2026</w:t>
            </w: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   日</w:t>
            </w:r>
          </w:p>
        </w:tc>
        <w:tc>
          <w:tcPr>
            <w:tcW w:w="4413" w:type="dxa"/>
            <w:noWrap w:val="0"/>
            <w:vAlign w:val="center"/>
          </w:tcPr>
          <w:p w14:paraId="781AE993">
            <w:pPr>
              <w:snapToGrid w:val="0"/>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乙方（章）</w:t>
            </w:r>
            <w:r>
              <w:rPr>
                <w:rFonts w:hint="eastAsia" w:ascii="宋体" w:hAnsi="宋体"/>
                <w:color w:val="auto"/>
                <w:szCs w:val="21"/>
                <w:highlight w:val="none"/>
                <w:lang w:eastAsia="zh-CN"/>
              </w:rPr>
              <w:t>：</w:t>
            </w:r>
          </w:p>
          <w:p w14:paraId="791AA305">
            <w:pPr>
              <w:snapToGrid w:val="0"/>
              <w:spacing w:line="360" w:lineRule="auto"/>
              <w:rPr>
                <w:rFonts w:hint="eastAsia" w:ascii="宋体" w:hAnsi="宋体"/>
                <w:color w:val="auto"/>
                <w:szCs w:val="21"/>
                <w:highlight w:val="none"/>
              </w:rPr>
            </w:pPr>
          </w:p>
          <w:p w14:paraId="05D98822">
            <w:pPr>
              <w:snapToGrid w:val="0"/>
              <w:spacing w:line="360" w:lineRule="auto"/>
              <w:jc w:val="right"/>
              <w:rPr>
                <w:rFonts w:hint="eastAsia" w:ascii="宋体" w:hAnsi="宋体"/>
                <w:color w:val="auto"/>
                <w:szCs w:val="21"/>
                <w:highlight w:val="none"/>
              </w:rPr>
            </w:pPr>
            <w:r>
              <w:rPr>
                <w:rFonts w:hint="eastAsia" w:ascii="宋体" w:hAnsi="宋体"/>
                <w:color w:val="auto"/>
                <w:szCs w:val="21"/>
                <w:highlight w:val="none"/>
                <w:lang w:val="en-US" w:eastAsia="zh-CN"/>
              </w:rPr>
              <w:t>2026</w:t>
            </w: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   日</w:t>
            </w:r>
          </w:p>
        </w:tc>
      </w:tr>
      <w:tr w14:paraId="18D60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620" w:type="dxa"/>
            <w:noWrap w:val="0"/>
            <w:vAlign w:val="center"/>
          </w:tcPr>
          <w:p w14:paraId="1A2CA15A">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单位地址：南宁市青秀区柳沙路2号</w:t>
            </w:r>
          </w:p>
        </w:tc>
        <w:tc>
          <w:tcPr>
            <w:tcW w:w="4413" w:type="dxa"/>
            <w:noWrap w:val="0"/>
            <w:vAlign w:val="center"/>
          </w:tcPr>
          <w:p w14:paraId="6B5BE5AC">
            <w:pPr>
              <w:snapToGrid w:val="0"/>
              <w:spacing w:line="36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t>单位地址：</w:t>
            </w:r>
          </w:p>
        </w:tc>
      </w:tr>
      <w:tr w14:paraId="30346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4620" w:type="dxa"/>
            <w:noWrap w:val="0"/>
            <w:vAlign w:val="top"/>
          </w:tcPr>
          <w:p w14:paraId="57D111BD">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法定代表人或者委托代理人：</w:t>
            </w:r>
          </w:p>
        </w:tc>
        <w:tc>
          <w:tcPr>
            <w:tcW w:w="4413" w:type="dxa"/>
            <w:noWrap w:val="0"/>
            <w:vAlign w:val="top"/>
          </w:tcPr>
          <w:p w14:paraId="3258E37A">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法定代表人或者委托代理人：</w:t>
            </w:r>
          </w:p>
        </w:tc>
      </w:tr>
      <w:tr w14:paraId="4AEC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620" w:type="dxa"/>
            <w:noWrap w:val="0"/>
            <w:vAlign w:val="center"/>
          </w:tcPr>
          <w:p w14:paraId="101C646A">
            <w:pPr>
              <w:snapToGrid w:val="0"/>
              <w:spacing w:line="360" w:lineRule="auto"/>
              <w:rPr>
                <w:rFonts w:hint="default" w:ascii="宋体" w:hAnsi="宋体"/>
                <w:color w:val="auto"/>
                <w:szCs w:val="21"/>
                <w:highlight w:val="none"/>
                <w:lang w:val="en-US"/>
              </w:rPr>
            </w:pPr>
            <w:r>
              <w:rPr>
                <w:rFonts w:hint="eastAsia" w:ascii="宋体" w:hAnsi="宋体"/>
                <w:color w:val="auto"/>
                <w:szCs w:val="21"/>
                <w:highlight w:val="none"/>
              </w:rPr>
              <w:t>电话：</w:t>
            </w:r>
            <w:r>
              <w:rPr>
                <w:rFonts w:hint="eastAsia" w:ascii="宋体" w:hAnsi="宋体"/>
                <w:color w:val="auto"/>
                <w:szCs w:val="21"/>
                <w:highlight w:val="none"/>
                <w:lang w:val="en-US" w:eastAsia="zh-CN"/>
              </w:rPr>
              <w:t>0771-5719960</w:t>
            </w:r>
          </w:p>
        </w:tc>
        <w:tc>
          <w:tcPr>
            <w:tcW w:w="4413" w:type="dxa"/>
            <w:noWrap w:val="0"/>
            <w:vAlign w:val="center"/>
          </w:tcPr>
          <w:p w14:paraId="00857977">
            <w:pPr>
              <w:snapToGrid w:val="0"/>
              <w:spacing w:line="36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t>电话：</w:t>
            </w:r>
          </w:p>
        </w:tc>
      </w:tr>
      <w:tr w14:paraId="791FC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620" w:type="dxa"/>
            <w:noWrap w:val="0"/>
            <w:vAlign w:val="center"/>
          </w:tcPr>
          <w:p w14:paraId="2995431C">
            <w:pPr>
              <w:snapToGrid w:val="0"/>
              <w:spacing w:line="360" w:lineRule="auto"/>
              <w:rPr>
                <w:rFonts w:hint="eastAsia" w:ascii="宋体" w:hAnsi="宋体" w:eastAsia="宋体"/>
                <w:color w:val="auto"/>
                <w:szCs w:val="21"/>
                <w:highlight w:val="none"/>
                <w:lang w:val="en-US" w:eastAsia="zh-CN"/>
              </w:rPr>
            </w:pPr>
            <w:r>
              <w:rPr>
                <w:rFonts w:hint="eastAsia" w:ascii="宋体" w:hAnsi="宋体"/>
                <w:color w:val="auto"/>
                <w:szCs w:val="21"/>
                <w:highlight w:val="none"/>
              </w:rPr>
              <w:t>电子邮箱：</w:t>
            </w:r>
            <w:r>
              <w:rPr>
                <w:rFonts w:hint="eastAsia" w:ascii="宋体" w:hAnsi="宋体"/>
                <w:color w:val="auto"/>
                <w:szCs w:val="21"/>
                <w:highlight w:val="none"/>
                <w:lang w:val="en-US" w:eastAsia="zh-CN"/>
              </w:rPr>
              <w:t>/</w:t>
            </w:r>
          </w:p>
        </w:tc>
        <w:tc>
          <w:tcPr>
            <w:tcW w:w="4413" w:type="dxa"/>
            <w:noWrap w:val="0"/>
            <w:vAlign w:val="center"/>
          </w:tcPr>
          <w:p w14:paraId="4E0BB11D">
            <w:pPr>
              <w:snapToGrid w:val="0"/>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电子邮箱：</w:t>
            </w:r>
            <w:r>
              <w:rPr>
                <w:rFonts w:hint="eastAsia" w:ascii="宋体" w:hAnsi="宋体"/>
                <w:color w:val="auto"/>
                <w:szCs w:val="21"/>
                <w:highlight w:val="none"/>
                <w:lang w:val="en-US" w:eastAsia="zh-CN"/>
              </w:rPr>
              <w:t>/</w:t>
            </w:r>
          </w:p>
        </w:tc>
      </w:tr>
      <w:tr w14:paraId="0A136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20" w:type="dxa"/>
            <w:noWrap w:val="0"/>
            <w:vAlign w:val="center"/>
          </w:tcPr>
          <w:p w14:paraId="429EC801">
            <w:pPr>
              <w:snapToGrid w:val="0"/>
              <w:spacing w:line="360" w:lineRule="auto"/>
              <w:rPr>
                <w:rFonts w:hint="eastAsia" w:ascii="宋体" w:hAnsi="宋体" w:eastAsia="宋体"/>
                <w:color w:val="auto"/>
                <w:szCs w:val="21"/>
                <w:highlight w:val="none"/>
                <w:lang w:val="en-US" w:eastAsia="zh-CN"/>
              </w:rPr>
            </w:pPr>
            <w:r>
              <w:rPr>
                <w:rFonts w:hint="eastAsia" w:ascii="宋体" w:hAnsi="宋体"/>
                <w:color w:val="auto"/>
                <w:szCs w:val="21"/>
                <w:highlight w:val="none"/>
              </w:rPr>
              <w:t>开户银行：</w:t>
            </w:r>
            <w:r>
              <w:rPr>
                <w:rFonts w:hint="eastAsia" w:ascii="宋体" w:hAnsi="宋体"/>
                <w:color w:val="auto"/>
                <w:szCs w:val="21"/>
                <w:highlight w:val="none"/>
                <w:lang w:val="en-US" w:eastAsia="zh-CN"/>
              </w:rPr>
              <w:t>/</w:t>
            </w:r>
          </w:p>
        </w:tc>
        <w:tc>
          <w:tcPr>
            <w:tcW w:w="4413" w:type="dxa"/>
            <w:noWrap w:val="0"/>
            <w:vAlign w:val="center"/>
          </w:tcPr>
          <w:p w14:paraId="76899B02">
            <w:pPr>
              <w:snapToGrid w:val="0"/>
              <w:spacing w:line="36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t>开户银行：</w:t>
            </w:r>
          </w:p>
        </w:tc>
      </w:tr>
      <w:tr w14:paraId="7ED06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620" w:type="dxa"/>
            <w:noWrap w:val="0"/>
            <w:vAlign w:val="center"/>
          </w:tcPr>
          <w:p w14:paraId="59053B44">
            <w:pPr>
              <w:snapToGrid w:val="0"/>
              <w:spacing w:line="360" w:lineRule="auto"/>
              <w:rPr>
                <w:rFonts w:hint="eastAsia" w:ascii="宋体" w:hAnsi="宋体" w:eastAsia="宋体"/>
                <w:color w:val="auto"/>
                <w:szCs w:val="21"/>
                <w:highlight w:val="none"/>
                <w:lang w:val="en-US" w:eastAsia="zh-CN"/>
              </w:rPr>
            </w:pPr>
            <w:r>
              <w:rPr>
                <w:rFonts w:hint="eastAsia" w:ascii="宋体" w:hAnsi="宋体"/>
                <w:color w:val="auto"/>
                <w:szCs w:val="21"/>
                <w:highlight w:val="none"/>
              </w:rPr>
              <w:t>账号：</w:t>
            </w:r>
            <w:r>
              <w:rPr>
                <w:rFonts w:hint="eastAsia" w:ascii="宋体" w:hAnsi="宋体"/>
                <w:color w:val="auto"/>
                <w:szCs w:val="21"/>
                <w:highlight w:val="none"/>
                <w:lang w:val="en-US" w:eastAsia="zh-CN"/>
              </w:rPr>
              <w:t>/</w:t>
            </w:r>
          </w:p>
        </w:tc>
        <w:tc>
          <w:tcPr>
            <w:tcW w:w="4413" w:type="dxa"/>
            <w:noWrap w:val="0"/>
            <w:vAlign w:val="center"/>
          </w:tcPr>
          <w:p w14:paraId="0468C046">
            <w:pPr>
              <w:snapToGrid w:val="0"/>
              <w:spacing w:line="36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t>账号：</w:t>
            </w:r>
          </w:p>
        </w:tc>
      </w:tr>
      <w:tr w14:paraId="5EF46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620" w:type="dxa"/>
            <w:noWrap w:val="0"/>
            <w:vAlign w:val="center"/>
          </w:tcPr>
          <w:p w14:paraId="1EC80796">
            <w:pPr>
              <w:snapToGrid w:val="0"/>
              <w:spacing w:line="360" w:lineRule="auto"/>
              <w:rPr>
                <w:rFonts w:hint="eastAsia" w:ascii="宋体" w:hAnsi="宋体" w:eastAsia="宋体"/>
                <w:color w:val="auto"/>
                <w:szCs w:val="21"/>
                <w:highlight w:val="none"/>
                <w:lang w:val="en-US" w:eastAsia="zh-CN"/>
              </w:rPr>
            </w:pPr>
            <w:r>
              <w:rPr>
                <w:rFonts w:hint="eastAsia" w:ascii="宋体" w:hAnsi="宋体"/>
                <w:color w:val="auto"/>
                <w:szCs w:val="21"/>
                <w:highlight w:val="none"/>
              </w:rPr>
              <w:t>邮政编码：</w:t>
            </w:r>
            <w:r>
              <w:rPr>
                <w:rFonts w:hint="eastAsia" w:ascii="宋体" w:hAnsi="宋体"/>
                <w:color w:val="auto"/>
                <w:szCs w:val="21"/>
                <w:highlight w:val="none"/>
                <w:lang w:val="en-US" w:eastAsia="zh-CN"/>
              </w:rPr>
              <w:t>/</w:t>
            </w:r>
          </w:p>
        </w:tc>
        <w:tc>
          <w:tcPr>
            <w:tcW w:w="4413" w:type="dxa"/>
            <w:noWrap w:val="0"/>
            <w:vAlign w:val="center"/>
          </w:tcPr>
          <w:p w14:paraId="7EBC004A">
            <w:pPr>
              <w:snapToGrid w:val="0"/>
              <w:spacing w:line="36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t>邮政编码：</w:t>
            </w:r>
          </w:p>
        </w:tc>
      </w:tr>
    </w:tbl>
    <w:p w14:paraId="023339B1">
      <w:pPr>
        <w:snapToGrid w:val="0"/>
        <w:spacing w:after="20" w:line="400" w:lineRule="exact"/>
        <w:ind w:left="210" w:leftChars="100" w:right="567" w:firstLine="422" w:firstLineChars="200"/>
        <w:rPr>
          <w:rFonts w:hint="eastAsia" w:ascii="宋体" w:hAnsi="宋体" w:cs="宋体"/>
          <w:b/>
          <w:color w:val="auto"/>
          <w:szCs w:val="21"/>
          <w:highlight w:val="none"/>
        </w:rPr>
      </w:pPr>
      <w:bookmarkStart w:id="189" w:name="_Hlk140217754"/>
    </w:p>
    <w:p w14:paraId="6C6629A6">
      <w:pPr>
        <w:rPr>
          <w:rFonts w:hint="eastAsia" w:ascii="宋体" w:hAnsi="宋体" w:cs="宋体"/>
          <w:color w:val="auto"/>
          <w:highlight w:val="none"/>
        </w:rPr>
      </w:pPr>
    </w:p>
    <w:p w14:paraId="0DD24786">
      <w:pPr>
        <w:snapToGrid w:val="0"/>
        <w:spacing w:line="360" w:lineRule="auto"/>
        <w:jc w:val="center"/>
        <w:rPr>
          <w:rFonts w:hint="eastAsia" w:ascii="宋体" w:hAnsi="宋体" w:cs="宋体"/>
          <w:b/>
          <w:color w:val="auto"/>
          <w:sz w:val="36"/>
          <w:szCs w:val="36"/>
          <w:highlight w:val="none"/>
        </w:rPr>
      </w:pPr>
    </w:p>
    <w:p w14:paraId="227E0AF7">
      <w:pPr>
        <w:snapToGrid w:val="0"/>
        <w:spacing w:line="360" w:lineRule="auto"/>
        <w:jc w:val="both"/>
        <w:rPr>
          <w:rFonts w:hint="eastAsia" w:ascii="宋体" w:hAnsi="宋体" w:eastAsia="宋体" w:cs="宋体"/>
          <w:b/>
          <w:color w:val="auto"/>
          <w:sz w:val="36"/>
          <w:szCs w:val="36"/>
          <w:highlight w:val="none"/>
          <w:lang w:val="en-US" w:eastAsia="zh-CN"/>
        </w:rPr>
      </w:pPr>
    </w:p>
    <w:p w14:paraId="5368DDE4">
      <w:pPr>
        <w:snapToGrid w:val="0"/>
        <w:spacing w:line="360" w:lineRule="auto"/>
        <w:jc w:val="center"/>
        <w:rPr>
          <w:rFonts w:hint="eastAsia" w:ascii="宋体" w:hAnsi="宋体" w:cs="宋体"/>
          <w:b/>
          <w:color w:val="auto"/>
          <w:sz w:val="36"/>
          <w:szCs w:val="36"/>
          <w:highlight w:val="none"/>
        </w:rPr>
      </w:pPr>
    </w:p>
    <w:p w14:paraId="5D757BAD">
      <w:pPr>
        <w:widowControl/>
        <w:shd w:val="clear" w:color="auto" w:fill="FFFFFF"/>
        <w:spacing w:line="520" w:lineRule="exact"/>
        <w:jc w:val="both"/>
        <w:outlineLvl w:val="1"/>
        <w:rPr>
          <w:rFonts w:hint="eastAsia" w:ascii="宋体" w:hAnsi="宋体" w:cs="方正小标宋简体"/>
          <w:color w:val="auto"/>
          <w:kern w:val="0"/>
          <w:sz w:val="44"/>
          <w:szCs w:val="44"/>
          <w:highlight w:val="none"/>
        </w:rPr>
      </w:pPr>
    </w:p>
    <w:p w14:paraId="0B971F52">
      <w:pPr>
        <w:widowControl/>
        <w:shd w:val="clear" w:color="auto" w:fill="auto"/>
        <w:spacing w:line="240" w:lineRule="auto"/>
        <w:jc w:val="center"/>
        <w:outlineLvl w:val="9"/>
        <w:rPr>
          <w:rFonts w:hint="eastAsia" w:ascii="宋体" w:hAnsi="宋体" w:cs="方正小标宋简体"/>
          <w:color w:val="auto"/>
          <w:kern w:val="0"/>
          <w:sz w:val="44"/>
          <w:szCs w:val="44"/>
          <w:highlight w:val="none"/>
        </w:rPr>
      </w:pPr>
      <w:r>
        <w:rPr>
          <w:rFonts w:hint="eastAsia" w:ascii="方正小标宋简体" w:hAnsi="方正小标宋简体" w:eastAsia="方正小标宋简体" w:cs="方正小标宋简体"/>
          <w:color w:val="auto"/>
          <w:kern w:val="2"/>
          <w:sz w:val="44"/>
          <w:szCs w:val="44"/>
          <w:highlight w:val="none"/>
          <w:lang w:bidi="ar"/>
        </w:rPr>
        <w:t>购销廉洁承诺协议书</w:t>
      </w:r>
    </w:p>
    <w:p w14:paraId="40EAA534">
      <w:pPr>
        <w:widowControl/>
        <w:shd w:val="clear" w:color="auto" w:fill="FFFFFF"/>
        <w:spacing w:line="520" w:lineRule="exact"/>
        <w:jc w:val="center"/>
        <w:outlineLvl w:val="1"/>
        <w:rPr>
          <w:rFonts w:hint="eastAsia" w:ascii="宋体" w:hAnsi="宋体" w:cs="方正小标宋简体"/>
          <w:color w:val="auto"/>
          <w:kern w:val="0"/>
          <w:sz w:val="44"/>
          <w:szCs w:val="44"/>
          <w:highlight w:val="none"/>
        </w:rPr>
      </w:pPr>
    </w:p>
    <w:p w14:paraId="6939F300">
      <w:pPr>
        <w:spacing w:line="520" w:lineRule="exact"/>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甲方：</w:t>
      </w:r>
      <w:r>
        <w:rPr>
          <w:rFonts w:hint="eastAsia" w:ascii="仿宋" w:hAnsi="仿宋" w:eastAsia="仿宋" w:cs="仿宋"/>
          <w:color w:val="auto"/>
          <w:kern w:val="0"/>
          <w:sz w:val="21"/>
          <w:szCs w:val="21"/>
          <w:highlight w:val="none"/>
          <w:shd w:val="clear" w:color="auto" w:fill="FFFFFF"/>
          <w:lang w:eastAsia="zh-CN"/>
        </w:rPr>
        <w:t>广西壮族自治区职业病防治研究院</w:t>
      </w:r>
    </w:p>
    <w:p w14:paraId="67A971C6">
      <w:pPr>
        <w:spacing w:line="520" w:lineRule="exact"/>
        <w:rPr>
          <w:rFonts w:hint="eastAsia" w:ascii="仿宋" w:hAnsi="仿宋" w:eastAsia="仿宋" w:cs="仿宋"/>
          <w:color w:val="auto"/>
          <w:kern w:val="0"/>
          <w:sz w:val="21"/>
          <w:szCs w:val="21"/>
          <w:highlight w:val="none"/>
          <w:shd w:val="clear" w:color="auto" w:fill="FFFFFF"/>
          <w:lang w:val="en-US" w:eastAsia="zh-CN"/>
        </w:rPr>
      </w:pPr>
      <w:r>
        <w:rPr>
          <w:rFonts w:hint="eastAsia" w:ascii="仿宋" w:hAnsi="仿宋" w:eastAsia="仿宋" w:cs="仿宋"/>
          <w:color w:val="auto"/>
          <w:kern w:val="0"/>
          <w:sz w:val="21"/>
          <w:szCs w:val="21"/>
          <w:highlight w:val="none"/>
          <w:shd w:val="clear" w:color="auto" w:fill="FFFFFF"/>
        </w:rPr>
        <w:t>乙方</w:t>
      </w:r>
      <w:r>
        <w:rPr>
          <w:rFonts w:hint="eastAsia" w:ascii="仿宋" w:hAnsi="仿宋" w:eastAsia="仿宋" w:cs="仿宋"/>
          <w:color w:val="auto"/>
          <w:kern w:val="0"/>
          <w:sz w:val="21"/>
          <w:szCs w:val="21"/>
          <w:highlight w:val="none"/>
          <w:shd w:val="clear" w:color="auto" w:fill="FFFFFF"/>
          <w:lang w:eastAsia="zh-CN"/>
        </w:rPr>
        <w:t>：</w:t>
      </w:r>
    </w:p>
    <w:p w14:paraId="02AFA2ED">
      <w:pPr>
        <w:spacing w:line="52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为了进一步规范医疗购销行为，建立健全防治商业贿赂长效机制，杜绝在甲方</w:t>
      </w:r>
      <w:r>
        <w:rPr>
          <w:rFonts w:hint="eastAsia" w:ascii="仿宋" w:hAnsi="仿宋" w:eastAsia="仿宋" w:cs="仿宋"/>
          <w:color w:val="auto"/>
          <w:kern w:val="0"/>
          <w:sz w:val="21"/>
          <w:szCs w:val="21"/>
          <w:highlight w:val="none"/>
          <w:shd w:val="clear" w:color="auto" w:fill="FFFFFF"/>
          <w:lang w:val="en-US" w:eastAsia="zh-CN"/>
        </w:rPr>
        <w:t>招标采购项目</w:t>
      </w:r>
      <w:r>
        <w:rPr>
          <w:rFonts w:hint="eastAsia" w:ascii="仿宋" w:hAnsi="仿宋" w:eastAsia="仿宋" w:cs="仿宋"/>
          <w:color w:val="auto"/>
          <w:kern w:val="0"/>
          <w:sz w:val="21"/>
          <w:szCs w:val="21"/>
          <w:highlight w:val="none"/>
          <w:shd w:val="clear" w:color="auto" w:fill="FFFFFF"/>
        </w:rPr>
        <w:t>中出现“回扣”和“提成”等不正之风，经甲乙双方协商，同意签订本</w:t>
      </w:r>
      <w:r>
        <w:rPr>
          <w:rFonts w:hint="eastAsia" w:ascii="仿宋" w:hAnsi="仿宋" w:eastAsia="仿宋" w:cs="仿宋"/>
          <w:color w:val="auto"/>
          <w:kern w:val="0"/>
          <w:sz w:val="21"/>
          <w:szCs w:val="21"/>
          <w:highlight w:val="none"/>
          <w:shd w:val="clear" w:color="auto" w:fill="FFFFFF"/>
          <w:lang w:val="en-US" w:eastAsia="zh-CN"/>
        </w:rPr>
        <w:t>购销</w:t>
      </w:r>
      <w:r>
        <w:rPr>
          <w:rFonts w:hint="eastAsia" w:ascii="仿宋" w:hAnsi="仿宋" w:eastAsia="仿宋" w:cs="仿宋"/>
          <w:color w:val="auto"/>
          <w:kern w:val="0"/>
          <w:sz w:val="21"/>
          <w:szCs w:val="21"/>
          <w:highlight w:val="none"/>
          <w:shd w:val="clear" w:color="auto" w:fill="FFFFFF"/>
        </w:rPr>
        <w:t>廉洁承诺协议书并予以共同遵守：</w:t>
      </w:r>
    </w:p>
    <w:p w14:paraId="510A936C">
      <w:pPr>
        <w:spacing w:line="52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一、甲方</w:t>
      </w:r>
      <w:r>
        <w:rPr>
          <w:rFonts w:hint="eastAsia" w:ascii="仿宋" w:hAnsi="仿宋" w:eastAsia="仿宋" w:cs="仿宋"/>
          <w:color w:val="auto"/>
          <w:kern w:val="0"/>
          <w:sz w:val="21"/>
          <w:szCs w:val="21"/>
          <w:highlight w:val="none"/>
          <w:shd w:val="clear" w:color="auto" w:fill="FFFFFF"/>
          <w:lang w:val="en-US" w:eastAsia="zh-CN"/>
        </w:rPr>
        <w:t>招标采购项目</w:t>
      </w:r>
      <w:r>
        <w:rPr>
          <w:rFonts w:hint="eastAsia" w:ascii="仿宋" w:hAnsi="仿宋" w:eastAsia="仿宋" w:cs="仿宋"/>
          <w:color w:val="auto"/>
          <w:kern w:val="0"/>
          <w:sz w:val="21"/>
          <w:szCs w:val="21"/>
          <w:highlight w:val="none"/>
          <w:shd w:val="clear" w:color="auto" w:fill="FFFFFF"/>
        </w:rPr>
        <w:t>时，不得以任何方式向乙方索取回扣，或者索要、收受乙方除产品发票外的任何赞助，不得要求乙方支付任何费用。</w:t>
      </w:r>
    </w:p>
    <w:p w14:paraId="7E56D80B">
      <w:pPr>
        <w:spacing w:line="52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二、甲方工作人员不得以暗示或其他任何形式索取回扣、提成、有价证券、现金、购物卡等。如甲方工作人员暗示或索要，乙方应予拒绝，并有责任如实向甲方纪检监察部门反映情况。</w:t>
      </w:r>
    </w:p>
    <w:p w14:paraId="49B80E30">
      <w:pPr>
        <w:spacing w:line="52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三、甲方工作人员不得</w:t>
      </w:r>
      <w:r>
        <w:rPr>
          <w:rFonts w:hint="eastAsia" w:ascii="仿宋" w:hAnsi="仿宋" w:eastAsia="仿宋" w:cs="仿宋"/>
          <w:color w:val="auto"/>
          <w:kern w:val="0"/>
          <w:sz w:val="21"/>
          <w:szCs w:val="21"/>
          <w:highlight w:val="none"/>
          <w:shd w:val="clear" w:color="auto" w:fill="FFFFFF"/>
          <w:lang w:val="en-US" w:eastAsia="zh-CN"/>
        </w:rPr>
        <w:t>向</w:t>
      </w:r>
      <w:r>
        <w:rPr>
          <w:rFonts w:hint="eastAsia" w:ascii="仿宋" w:hAnsi="仿宋" w:eastAsia="仿宋" w:cs="仿宋"/>
          <w:color w:val="auto"/>
          <w:kern w:val="0"/>
          <w:sz w:val="21"/>
          <w:szCs w:val="21"/>
          <w:highlight w:val="none"/>
          <w:shd w:val="clear" w:color="auto" w:fill="FFFFFF"/>
        </w:rPr>
        <w:t>乙方</w:t>
      </w:r>
      <w:r>
        <w:rPr>
          <w:rFonts w:hint="eastAsia" w:ascii="仿宋" w:hAnsi="仿宋" w:eastAsia="仿宋" w:cs="仿宋"/>
          <w:color w:val="auto"/>
          <w:kern w:val="0"/>
          <w:sz w:val="21"/>
          <w:szCs w:val="21"/>
          <w:highlight w:val="none"/>
          <w:shd w:val="clear" w:color="auto" w:fill="FFFFFF"/>
          <w:lang w:val="en-US" w:eastAsia="zh-CN"/>
        </w:rPr>
        <w:t>透露招标采购项目中未公开的具体需求技术参数产品参数等相</w:t>
      </w:r>
      <w:r>
        <w:rPr>
          <w:rFonts w:hint="eastAsia" w:ascii="仿宋" w:hAnsi="仿宋" w:eastAsia="仿宋" w:cs="仿宋"/>
          <w:color w:val="auto"/>
          <w:kern w:val="0"/>
          <w:sz w:val="21"/>
          <w:szCs w:val="21"/>
          <w:highlight w:val="none"/>
          <w:shd w:val="clear" w:color="auto" w:fill="FFFFFF"/>
        </w:rPr>
        <w:t>关信息。</w:t>
      </w:r>
    </w:p>
    <w:p w14:paraId="7881ECB3">
      <w:pPr>
        <w:spacing w:line="52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四、乙方不得暗中给予甲方工作人员回扣，不得以提成和赠送有价证券、现金、信用卡、购物卡、宴请、娱乐及提供国内或境外旅游活动等手段影响甲方</w:t>
      </w:r>
      <w:r>
        <w:rPr>
          <w:rFonts w:hint="eastAsia" w:ascii="仿宋" w:hAnsi="仿宋" w:eastAsia="仿宋" w:cs="仿宋"/>
          <w:color w:val="auto"/>
          <w:kern w:val="0"/>
          <w:sz w:val="21"/>
          <w:szCs w:val="21"/>
          <w:highlight w:val="none"/>
          <w:shd w:val="clear" w:color="auto" w:fill="FFFFFF"/>
          <w:lang w:val="en-US" w:eastAsia="zh-CN"/>
        </w:rPr>
        <w:t>对</w:t>
      </w:r>
      <w:r>
        <w:rPr>
          <w:rFonts w:hint="eastAsia" w:ascii="仿宋" w:hAnsi="仿宋" w:eastAsia="仿宋" w:cs="仿宋"/>
          <w:color w:val="auto"/>
          <w:kern w:val="0"/>
          <w:sz w:val="21"/>
          <w:szCs w:val="21"/>
          <w:highlight w:val="none"/>
          <w:shd w:val="clear" w:color="auto" w:fill="FFFFFF"/>
          <w:lang w:val="en-US" w:eastAsia="zh-CN" w:bidi="ar"/>
        </w:rPr>
        <w:t>产品和相关业务的选择权</w:t>
      </w:r>
      <w:r>
        <w:rPr>
          <w:rFonts w:hint="eastAsia" w:ascii="仿宋" w:hAnsi="仿宋" w:eastAsia="仿宋" w:cs="仿宋"/>
          <w:color w:val="auto"/>
          <w:kern w:val="0"/>
          <w:sz w:val="21"/>
          <w:szCs w:val="21"/>
          <w:highlight w:val="none"/>
          <w:shd w:val="clear" w:color="auto" w:fill="FFFFFF"/>
        </w:rPr>
        <w:t>。</w:t>
      </w:r>
    </w:p>
    <w:p w14:paraId="6121B913">
      <w:pPr>
        <w:spacing w:line="52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五、乙方洽谈业务，必须在工作时间到甲方指定科室联系商谈；不得到临床、医技等科室推销产品、不得借故到甲方主管领导、部门负责人及相关工作人员家中访谈或向介绍人提供任何好处费；不得为甲方工作人员及其配偶、子女及其他亲属提供各种无偿服务，报销应由其个人承担的费用。</w:t>
      </w:r>
    </w:p>
    <w:p w14:paraId="68CA2E68">
      <w:pPr>
        <w:spacing w:line="52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六、乙方在销售活动中，自觉遵守国家和地方的有关法律、法规，严格执行合同条款，不得以次充好，不降低产品质量，做到诚信经营。</w:t>
      </w:r>
    </w:p>
    <w:p w14:paraId="35C1B775">
      <w:pPr>
        <w:spacing w:line="52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七、甲乙方双方应共同遵守商业道德，友好合作，杜绝弄虚作假，商业欺诈，商业贿赂等不道德和非法行为，要规范合同行为，诚实守约，严格履行合同，决不利用非法手段谋取不正当利益，公平公正处理业务。</w:t>
      </w:r>
    </w:p>
    <w:p w14:paraId="5DB20A13">
      <w:pPr>
        <w:spacing w:line="52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八、甲方工作人员违反本协议，情节较轻的，由甲方对其进行组织或行政处理；情节较重的构成违纪的，由甲方纪检监察部门处理；情节严重涉嫌犯罪的，移交司法机关处理。</w:t>
      </w:r>
    </w:p>
    <w:p w14:paraId="0953895B">
      <w:pPr>
        <w:spacing w:line="52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九、乙方如违反上述条款，一经发现，甲方有权解除购销合同，列入不良行为记录，计入黑名单，禁止参加甲方</w:t>
      </w:r>
      <w:r>
        <w:rPr>
          <w:rFonts w:hint="eastAsia" w:ascii="仿宋" w:hAnsi="仿宋" w:eastAsia="仿宋" w:cs="仿宋"/>
          <w:color w:val="auto"/>
          <w:kern w:val="0"/>
          <w:sz w:val="21"/>
          <w:szCs w:val="21"/>
          <w:highlight w:val="none"/>
          <w:shd w:val="clear" w:color="auto" w:fill="FFFFFF"/>
          <w:lang w:val="en-US" w:eastAsia="zh-CN"/>
        </w:rPr>
        <w:t>招标采购项目</w:t>
      </w:r>
      <w:r>
        <w:rPr>
          <w:rFonts w:hint="eastAsia" w:ascii="仿宋" w:hAnsi="仿宋" w:eastAsia="仿宋" w:cs="仿宋"/>
          <w:color w:val="auto"/>
          <w:kern w:val="0"/>
          <w:sz w:val="21"/>
          <w:szCs w:val="21"/>
          <w:highlight w:val="none"/>
          <w:shd w:val="clear" w:color="auto" w:fill="FFFFFF"/>
        </w:rPr>
        <w:t>2年以上，造成经济损失的乙方需承担赔偿责任，涉嫌违法的，交由司法机关处理。</w:t>
      </w:r>
    </w:p>
    <w:p w14:paraId="765D916A">
      <w:pPr>
        <w:spacing w:line="52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十、甲方纪检监察部门联系方式：0771-5316844。</w:t>
      </w:r>
    </w:p>
    <w:p w14:paraId="1A564C8F">
      <w:pPr>
        <w:spacing w:line="58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sz w:val="21"/>
          <w:szCs w:val="21"/>
          <w:highlight w:val="none"/>
          <w:lang w:val="en-US" w:eastAsia="zh-CN"/>
        </w:rPr>
        <w:t>十一、</w:t>
      </w:r>
      <w:r>
        <w:rPr>
          <w:rFonts w:hint="eastAsia" w:ascii="仿宋" w:hAnsi="仿宋" w:eastAsia="仿宋" w:cs="仿宋"/>
          <w:color w:val="auto"/>
          <w:sz w:val="21"/>
          <w:szCs w:val="21"/>
          <w:highlight w:val="none"/>
        </w:rPr>
        <w:t>本</w:t>
      </w:r>
      <w:r>
        <w:rPr>
          <w:rFonts w:hint="eastAsia" w:ascii="仿宋" w:hAnsi="仿宋" w:eastAsia="仿宋" w:cs="仿宋"/>
          <w:color w:val="auto"/>
          <w:sz w:val="21"/>
          <w:szCs w:val="21"/>
          <w:highlight w:val="none"/>
          <w:lang w:val="en-US" w:eastAsia="zh-CN"/>
        </w:rPr>
        <w:t>协议</w:t>
      </w:r>
      <w:r>
        <w:rPr>
          <w:rFonts w:hint="eastAsia" w:ascii="仿宋" w:hAnsi="仿宋" w:eastAsia="仿宋" w:cs="仿宋"/>
          <w:color w:val="auto"/>
          <w:sz w:val="21"/>
          <w:szCs w:val="21"/>
          <w:highlight w:val="none"/>
        </w:rPr>
        <w:t>作为</w:t>
      </w:r>
      <w:r>
        <w:rPr>
          <w:rFonts w:hint="eastAsia" w:ascii="仿宋" w:hAnsi="仿宋" w:eastAsia="仿宋" w:cs="仿宋"/>
          <w:color w:val="auto"/>
          <w:sz w:val="21"/>
          <w:szCs w:val="21"/>
          <w:highlight w:val="none"/>
          <w:lang w:val="en-US" w:eastAsia="zh-CN"/>
        </w:rPr>
        <w:t>招标采购项目</w:t>
      </w:r>
      <w:r>
        <w:rPr>
          <w:rFonts w:hint="eastAsia" w:ascii="仿宋" w:hAnsi="仿宋" w:eastAsia="仿宋" w:cs="仿宋"/>
          <w:color w:val="auto"/>
          <w:sz w:val="21"/>
          <w:szCs w:val="21"/>
          <w:highlight w:val="none"/>
        </w:rPr>
        <w:t>合同的重要组成部分，与</w:t>
      </w:r>
      <w:r>
        <w:rPr>
          <w:rFonts w:hint="eastAsia" w:ascii="仿宋" w:hAnsi="仿宋" w:eastAsia="仿宋" w:cs="仿宋"/>
          <w:color w:val="auto"/>
          <w:sz w:val="21"/>
          <w:szCs w:val="21"/>
          <w:highlight w:val="none"/>
          <w:lang w:val="en-US" w:eastAsia="zh-CN"/>
        </w:rPr>
        <w:t>招标采购项目</w:t>
      </w:r>
      <w:r>
        <w:rPr>
          <w:rFonts w:hint="eastAsia" w:ascii="仿宋" w:hAnsi="仿宋" w:eastAsia="仿宋" w:cs="仿宋"/>
          <w:color w:val="auto"/>
          <w:sz w:val="21"/>
          <w:szCs w:val="21"/>
          <w:highlight w:val="none"/>
        </w:rPr>
        <w:t>合同一并执行，具有同等的法律效力。</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shd w:val="clear" w:color="auto" w:fill="FFFFFF"/>
        </w:rPr>
        <w:t>  十</w:t>
      </w:r>
      <w:r>
        <w:rPr>
          <w:rFonts w:hint="eastAsia" w:ascii="仿宋" w:hAnsi="仿宋" w:eastAsia="仿宋" w:cs="仿宋"/>
          <w:color w:val="auto"/>
          <w:kern w:val="0"/>
          <w:sz w:val="21"/>
          <w:szCs w:val="21"/>
          <w:highlight w:val="none"/>
          <w:shd w:val="clear" w:color="auto" w:fill="FFFFFF"/>
          <w:lang w:val="en-US" w:eastAsia="zh-CN"/>
        </w:rPr>
        <w:t>二</w:t>
      </w:r>
      <w:r>
        <w:rPr>
          <w:rFonts w:hint="eastAsia" w:ascii="仿宋" w:hAnsi="仿宋" w:eastAsia="仿宋" w:cs="仿宋"/>
          <w:color w:val="auto"/>
          <w:kern w:val="0"/>
          <w:sz w:val="21"/>
          <w:szCs w:val="21"/>
          <w:highlight w:val="none"/>
          <w:shd w:val="clear" w:color="auto" w:fill="FFFFFF"/>
        </w:rPr>
        <w:t>、本承诺协议书一式</w:t>
      </w:r>
      <w:r>
        <w:rPr>
          <w:rFonts w:hint="eastAsia" w:ascii="仿宋" w:hAnsi="仿宋" w:eastAsia="仿宋" w:cs="仿宋"/>
          <w:color w:val="auto"/>
          <w:kern w:val="0"/>
          <w:sz w:val="21"/>
          <w:szCs w:val="21"/>
          <w:highlight w:val="none"/>
          <w:shd w:val="clear" w:color="auto" w:fill="FFFFFF"/>
          <w:lang w:val="en-US" w:eastAsia="zh-CN"/>
        </w:rPr>
        <w:t>肆</w:t>
      </w:r>
      <w:r>
        <w:rPr>
          <w:rFonts w:hint="eastAsia" w:ascii="仿宋" w:hAnsi="仿宋" w:eastAsia="仿宋" w:cs="仿宋"/>
          <w:color w:val="auto"/>
          <w:kern w:val="0"/>
          <w:sz w:val="21"/>
          <w:szCs w:val="21"/>
          <w:highlight w:val="none"/>
          <w:shd w:val="clear" w:color="auto" w:fill="FFFFFF"/>
        </w:rPr>
        <w:t>份，乙方执</w:t>
      </w:r>
      <w:r>
        <w:rPr>
          <w:rFonts w:hint="eastAsia" w:ascii="仿宋" w:hAnsi="仿宋" w:eastAsia="仿宋" w:cs="仿宋"/>
          <w:color w:val="auto"/>
          <w:kern w:val="0"/>
          <w:sz w:val="21"/>
          <w:szCs w:val="21"/>
          <w:highlight w:val="none"/>
          <w:shd w:val="clear" w:color="auto" w:fill="FFFFFF"/>
          <w:lang w:val="en-US" w:eastAsia="zh-CN"/>
        </w:rPr>
        <w:t>壹</w:t>
      </w:r>
      <w:r>
        <w:rPr>
          <w:rFonts w:hint="eastAsia" w:ascii="仿宋" w:hAnsi="仿宋" w:eastAsia="仿宋" w:cs="仿宋"/>
          <w:color w:val="auto"/>
          <w:kern w:val="0"/>
          <w:sz w:val="21"/>
          <w:szCs w:val="21"/>
          <w:highlight w:val="none"/>
          <w:shd w:val="clear" w:color="auto" w:fill="FFFFFF"/>
        </w:rPr>
        <w:t>份，甲方执叁份，院办执</w:t>
      </w:r>
      <w:r>
        <w:rPr>
          <w:rFonts w:hint="eastAsia" w:ascii="仿宋" w:hAnsi="仿宋" w:eastAsia="仿宋" w:cs="仿宋"/>
          <w:color w:val="auto"/>
          <w:kern w:val="0"/>
          <w:sz w:val="21"/>
          <w:szCs w:val="21"/>
          <w:highlight w:val="none"/>
          <w:shd w:val="clear" w:color="auto" w:fill="FFFFFF"/>
          <w:lang w:val="en-US" w:eastAsia="zh-CN"/>
        </w:rPr>
        <w:t>壹</w:t>
      </w:r>
      <w:r>
        <w:rPr>
          <w:rFonts w:hint="eastAsia" w:ascii="仿宋" w:hAnsi="仿宋" w:eastAsia="仿宋" w:cs="仿宋"/>
          <w:color w:val="auto"/>
          <w:kern w:val="0"/>
          <w:sz w:val="21"/>
          <w:szCs w:val="21"/>
          <w:highlight w:val="none"/>
          <w:shd w:val="clear" w:color="auto" w:fill="FFFFFF"/>
        </w:rPr>
        <w:t>份、</w:t>
      </w:r>
      <w:r>
        <w:rPr>
          <w:rFonts w:hint="eastAsia" w:ascii="仿宋" w:hAnsi="仿宋" w:eastAsia="仿宋" w:cs="仿宋"/>
          <w:color w:val="auto"/>
          <w:kern w:val="0"/>
          <w:sz w:val="21"/>
          <w:szCs w:val="21"/>
          <w:highlight w:val="none"/>
          <w:shd w:val="clear" w:color="auto" w:fill="FFFFFF"/>
          <w:lang w:val="en-US" w:eastAsia="zh-CN"/>
        </w:rPr>
        <w:t>招标采购科</w:t>
      </w:r>
      <w:r>
        <w:rPr>
          <w:rFonts w:hint="eastAsia" w:ascii="仿宋" w:hAnsi="仿宋" w:eastAsia="仿宋" w:cs="仿宋"/>
          <w:color w:val="auto"/>
          <w:kern w:val="0"/>
          <w:sz w:val="21"/>
          <w:szCs w:val="21"/>
          <w:highlight w:val="none"/>
          <w:shd w:val="clear" w:color="auto" w:fill="FFFFFF"/>
        </w:rPr>
        <w:t>执</w:t>
      </w:r>
      <w:r>
        <w:rPr>
          <w:rFonts w:hint="eastAsia" w:ascii="仿宋" w:hAnsi="仿宋" w:eastAsia="仿宋" w:cs="仿宋"/>
          <w:color w:val="auto"/>
          <w:kern w:val="0"/>
          <w:sz w:val="21"/>
          <w:szCs w:val="21"/>
          <w:highlight w:val="none"/>
          <w:shd w:val="clear" w:color="auto" w:fill="FFFFFF"/>
          <w:lang w:val="en-US" w:eastAsia="zh-CN"/>
        </w:rPr>
        <w:t>壹</w:t>
      </w:r>
      <w:r>
        <w:rPr>
          <w:rFonts w:hint="eastAsia" w:ascii="仿宋" w:hAnsi="仿宋" w:eastAsia="仿宋" w:cs="仿宋"/>
          <w:color w:val="auto"/>
          <w:kern w:val="0"/>
          <w:sz w:val="21"/>
          <w:szCs w:val="21"/>
          <w:highlight w:val="none"/>
          <w:shd w:val="clear" w:color="auto" w:fill="FFFFFF"/>
        </w:rPr>
        <w:t>份、纪检监察部门执</w:t>
      </w:r>
      <w:r>
        <w:rPr>
          <w:rFonts w:hint="eastAsia" w:ascii="仿宋" w:hAnsi="仿宋" w:eastAsia="仿宋" w:cs="仿宋"/>
          <w:color w:val="auto"/>
          <w:kern w:val="0"/>
          <w:sz w:val="21"/>
          <w:szCs w:val="21"/>
          <w:highlight w:val="none"/>
          <w:shd w:val="clear" w:color="auto" w:fill="FFFFFF"/>
          <w:lang w:val="en-US" w:eastAsia="zh-CN"/>
        </w:rPr>
        <w:t>壹</w:t>
      </w:r>
      <w:r>
        <w:rPr>
          <w:rFonts w:hint="eastAsia" w:ascii="仿宋" w:hAnsi="仿宋" w:eastAsia="仿宋" w:cs="仿宋"/>
          <w:color w:val="auto"/>
          <w:kern w:val="0"/>
          <w:sz w:val="21"/>
          <w:szCs w:val="21"/>
          <w:highlight w:val="none"/>
          <w:shd w:val="clear" w:color="auto" w:fill="FFFFFF"/>
        </w:rPr>
        <w:t>份，自双方签字</w:t>
      </w:r>
      <w:r>
        <w:rPr>
          <w:rFonts w:hint="eastAsia" w:ascii="仿宋" w:hAnsi="仿宋" w:eastAsia="仿宋" w:cs="仿宋"/>
          <w:color w:val="auto"/>
          <w:kern w:val="0"/>
          <w:sz w:val="21"/>
          <w:szCs w:val="21"/>
          <w:highlight w:val="none"/>
          <w:shd w:val="clear" w:color="auto" w:fill="FFFFFF"/>
          <w:lang w:val="en-US" w:eastAsia="zh-CN"/>
        </w:rPr>
        <w:t>盖章</w:t>
      </w:r>
      <w:r>
        <w:rPr>
          <w:rFonts w:hint="eastAsia" w:ascii="仿宋" w:hAnsi="仿宋" w:eastAsia="仿宋" w:cs="仿宋"/>
          <w:color w:val="auto"/>
          <w:kern w:val="0"/>
          <w:sz w:val="21"/>
          <w:szCs w:val="21"/>
          <w:highlight w:val="none"/>
          <w:shd w:val="clear" w:color="auto" w:fill="FFFFFF"/>
        </w:rPr>
        <w:t>之日起生效。</w:t>
      </w:r>
    </w:p>
    <w:p w14:paraId="6FD1D9CE">
      <w:pPr>
        <w:spacing w:line="520" w:lineRule="exact"/>
        <w:ind w:firstLine="420" w:firstLineChars="200"/>
        <w:rPr>
          <w:rFonts w:hint="eastAsia" w:ascii="仿宋" w:hAnsi="仿宋" w:eastAsia="仿宋" w:cs="仿宋"/>
          <w:color w:val="auto"/>
          <w:kern w:val="0"/>
          <w:sz w:val="21"/>
          <w:szCs w:val="21"/>
          <w:highlight w:val="none"/>
          <w:shd w:val="clear" w:color="auto" w:fill="FFFFFF"/>
        </w:rPr>
      </w:pPr>
    </w:p>
    <w:p w14:paraId="761C3499">
      <w:pPr>
        <w:spacing w:line="520" w:lineRule="exact"/>
        <w:ind w:firstLine="420" w:firstLineChars="200"/>
        <w:rPr>
          <w:rFonts w:hint="eastAsia" w:ascii="仿宋" w:hAnsi="仿宋" w:eastAsia="仿宋" w:cs="仿宋"/>
          <w:color w:val="auto"/>
          <w:kern w:val="0"/>
          <w:sz w:val="21"/>
          <w:szCs w:val="21"/>
          <w:highlight w:val="none"/>
          <w:shd w:val="clear" w:color="auto" w:fill="FFFFFF"/>
        </w:rPr>
      </w:pPr>
    </w:p>
    <w:p w14:paraId="65DB5B72">
      <w:pPr>
        <w:spacing w:line="520" w:lineRule="exact"/>
        <w:ind w:left="6720" w:hanging="5040" w:hangingChars="24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甲方（盖章）：</w:t>
      </w:r>
      <w:r>
        <w:rPr>
          <w:rFonts w:hint="eastAsia" w:ascii="仿宋" w:hAnsi="仿宋" w:eastAsia="仿宋" w:cs="仿宋"/>
          <w:color w:val="auto"/>
          <w:kern w:val="0"/>
          <w:sz w:val="21"/>
          <w:szCs w:val="21"/>
          <w:highlight w:val="none"/>
          <w:shd w:val="clear" w:color="auto" w:fill="FFFFFF"/>
          <w:lang w:val="en-US" w:eastAsia="zh-CN"/>
        </w:rPr>
        <w:t xml:space="preserve">                          </w:t>
      </w:r>
      <w:r>
        <w:rPr>
          <w:rFonts w:hint="eastAsia" w:ascii="仿宋" w:hAnsi="仿宋" w:eastAsia="仿宋" w:cs="仿宋"/>
          <w:color w:val="auto"/>
          <w:kern w:val="0"/>
          <w:sz w:val="21"/>
          <w:szCs w:val="21"/>
          <w:highlight w:val="none"/>
          <w:shd w:val="clear" w:color="auto" w:fill="FFFFFF"/>
        </w:rPr>
        <w:t>乙方（盖章）：</w:t>
      </w:r>
      <w:r>
        <w:rPr>
          <w:rFonts w:hint="eastAsia" w:ascii="宋体" w:hAnsi="Courier New" w:eastAsia="宋体" w:cs="Times New Roman"/>
          <w:b w:val="0"/>
          <w:color w:val="auto"/>
          <w:sz w:val="21"/>
          <w:szCs w:val="21"/>
          <w:highlight w:val="none"/>
          <w:u w:val="none"/>
          <w:lang w:val="en-US" w:eastAsia="zh-CN"/>
        </w:rPr>
        <w:t xml:space="preserve"> </w:t>
      </w:r>
    </w:p>
    <w:p w14:paraId="60BACC88">
      <w:pPr>
        <w:spacing w:line="520" w:lineRule="exact"/>
        <w:ind w:firstLine="0" w:firstLineChars="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lang w:eastAsia="zh-CN"/>
        </w:rPr>
        <w:t>广西壮族自治区职业病防治研究院</w:t>
      </w:r>
      <w:r>
        <w:rPr>
          <w:rFonts w:hint="eastAsia" w:ascii="仿宋" w:hAnsi="仿宋" w:eastAsia="仿宋" w:cs="仿宋"/>
          <w:color w:val="auto"/>
          <w:kern w:val="0"/>
          <w:sz w:val="21"/>
          <w:szCs w:val="21"/>
          <w:highlight w:val="none"/>
          <w:shd w:val="clear" w:color="auto" w:fill="FFFFFF"/>
        </w:rPr>
        <w:t xml:space="preserve">  </w:t>
      </w:r>
      <w:r>
        <w:rPr>
          <w:rFonts w:hint="eastAsia" w:ascii="仿宋" w:hAnsi="仿宋" w:eastAsia="仿宋" w:cs="仿宋"/>
          <w:color w:val="auto"/>
          <w:kern w:val="0"/>
          <w:sz w:val="21"/>
          <w:szCs w:val="21"/>
          <w:highlight w:val="none"/>
          <w:shd w:val="clear" w:color="auto" w:fill="FFFFFF"/>
          <w:lang w:val="en-US" w:eastAsia="zh-CN"/>
        </w:rPr>
        <w:t xml:space="preserve">        </w:t>
      </w:r>
      <w:r>
        <w:rPr>
          <w:rFonts w:hint="eastAsia" w:ascii="仿宋" w:hAnsi="仿宋" w:eastAsia="仿宋" w:cs="仿宋"/>
          <w:color w:val="auto"/>
          <w:kern w:val="0"/>
          <w:sz w:val="21"/>
          <w:szCs w:val="21"/>
          <w:highlight w:val="none"/>
          <w:shd w:val="clear" w:color="auto" w:fill="FFFFFF"/>
        </w:rPr>
        <w:t xml:space="preserve"> </w:t>
      </w:r>
    </w:p>
    <w:p w14:paraId="75621CCE">
      <w:pPr>
        <w:spacing w:line="520" w:lineRule="exact"/>
        <w:rPr>
          <w:rFonts w:hint="eastAsia" w:ascii="仿宋" w:hAnsi="仿宋" w:eastAsia="仿宋" w:cs="仿宋"/>
          <w:color w:val="auto"/>
          <w:kern w:val="0"/>
          <w:sz w:val="21"/>
          <w:szCs w:val="21"/>
          <w:highlight w:val="none"/>
          <w:shd w:val="clear" w:color="auto" w:fill="FFFFFF"/>
        </w:rPr>
      </w:pPr>
    </w:p>
    <w:p w14:paraId="0BE482F3">
      <w:pPr>
        <w:spacing w:line="520" w:lineRule="exact"/>
        <w:rPr>
          <w:rFonts w:hint="eastAsia" w:ascii="宋体" w:hAnsi="宋体" w:eastAsia="宋体" w:cs="宋体"/>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 xml:space="preserve">签约代表：                      </w:t>
      </w:r>
      <w:r>
        <w:rPr>
          <w:rFonts w:hint="eastAsia" w:ascii="仿宋" w:hAnsi="仿宋" w:eastAsia="仿宋" w:cs="仿宋"/>
          <w:color w:val="auto"/>
          <w:kern w:val="0"/>
          <w:sz w:val="21"/>
          <w:szCs w:val="21"/>
          <w:highlight w:val="none"/>
          <w:shd w:val="clear" w:color="auto" w:fill="FFFFFF"/>
          <w:lang w:val="en-US" w:eastAsia="zh-CN"/>
        </w:rPr>
        <w:t xml:space="preserve">        </w:t>
      </w:r>
      <w:r>
        <w:rPr>
          <w:rFonts w:hint="eastAsia" w:ascii="仿宋" w:hAnsi="仿宋" w:eastAsia="仿宋" w:cs="仿宋"/>
          <w:color w:val="auto"/>
          <w:kern w:val="0"/>
          <w:sz w:val="21"/>
          <w:szCs w:val="21"/>
          <w:highlight w:val="none"/>
          <w:shd w:val="clear" w:color="auto" w:fill="FFFFFF"/>
        </w:rPr>
        <w:t>签约代表：</w:t>
      </w:r>
      <w:r>
        <w:rPr>
          <w:rFonts w:hint="eastAsia" w:ascii="仿宋" w:hAnsi="仿宋" w:eastAsia="仿宋" w:cs="仿宋"/>
          <w:color w:val="auto"/>
          <w:kern w:val="0"/>
          <w:sz w:val="21"/>
          <w:szCs w:val="21"/>
          <w:highlight w:val="none"/>
        </w:rPr>
        <w:br w:type="textWrapping"/>
      </w:r>
    </w:p>
    <w:p w14:paraId="35AFD671">
      <w:pPr>
        <w:spacing w:line="520" w:lineRule="exact"/>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 xml:space="preserve">日期：  </w:t>
      </w:r>
      <w:r>
        <w:rPr>
          <w:rFonts w:hint="eastAsia" w:ascii="仿宋" w:hAnsi="仿宋" w:eastAsia="仿宋" w:cs="仿宋"/>
          <w:color w:val="auto"/>
          <w:kern w:val="0"/>
          <w:sz w:val="21"/>
          <w:szCs w:val="21"/>
          <w:highlight w:val="none"/>
          <w:shd w:val="clear" w:color="auto" w:fill="FFFFFF"/>
          <w:lang w:val="en-US" w:eastAsia="zh-CN"/>
        </w:rPr>
        <w:t>2026年  月  日</w:t>
      </w:r>
      <w:r>
        <w:rPr>
          <w:rFonts w:hint="eastAsia" w:ascii="仿宋" w:hAnsi="仿宋" w:eastAsia="仿宋" w:cs="仿宋"/>
          <w:color w:val="auto"/>
          <w:kern w:val="0"/>
          <w:sz w:val="21"/>
          <w:szCs w:val="21"/>
          <w:highlight w:val="none"/>
          <w:shd w:val="clear" w:color="auto" w:fill="FFFFFF"/>
        </w:rPr>
        <w:t xml:space="preserve">         </w:t>
      </w:r>
      <w:r>
        <w:rPr>
          <w:rFonts w:hint="eastAsia" w:ascii="仿宋" w:hAnsi="仿宋" w:eastAsia="仿宋" w:cs="仿宋"/>
          <w:color w:val="auto"/>
          <w:kern w:val="0"/>
          <w:sz w:val="21"/>
          <w:szCs w:val="21"/>
          <w:highlight w:val="none"/>
          <w:shd w:val="clear" w:color="auto" w:fill="FFFFFF"/>
          <w:lang w:val="en-US" w:eastAsia="zh-CN"/>
        </w:rPr>
        <w:t xml:space="preserve">        </w:t>
      </w:r>
      <w:r>
        <w:rPr>
          <w:rFonts w:hint="eastAsia" w:ascii="仿宋" w:hAnsi="仿宋" w:eastAsia="仿宋" w:cs="仿宋"/>
          <w:color w:val="auto"/>
          <w:kern w:val="0"/>
          <w:sz w:val="21"/>
          <w:szCs w:val="21"/>
          <w:highlight w:val="none"/>
          <w:shd w:val="clear" w:color="auto" w:fill="FFFFFF"/>
        </w:rPr>
        <w:t xml:space="preserve">日期： </w:t>
      </w:r>
      <w:r>
        <w:rPr>
          <w:rFonts w:hint="eastAsia" w:ascii="仿宋" w:hAnsi="仿宋" w:eastAsia="仿宋" w:cs="仿宋"/>
          <w:color w:val="auto"/>
          <w:kern w:val="0"/>
          <w:sz w:val="21"/>
          <w:szCs w:val="21"/>
          <w:highlight w:val="none"/>
          <w:shd w:val="clear" w:color="auto" w:fill="FFFFFF"/>
          <w:lang w:val="en-US" w:eastAsia="zh-CN"/>
        </w:rPr>
        <w:t>2026年  月  日</w:t>
      </w:r>
    </w:p>
    <w:bookmarkEnd w:id="189"/>
    <w:p w14:paraId="3452C571">
      <w:pPr>
        <w:snapToGrid w:val="0"/>
        <w:spacing w:before="50" w:after="120" w:afterLines="50" w:line="360" w:lineRule="auto"/>
        <w:ind w:firstLine="0" w:firstLineChars="0"/>
        <w:jc w:val="left"/>
        <w:rPr>
          <w:rFonts w:hint="eastAsia"/>
          <w:color w:val="auto"/>
          <w:sz w:val="24"/>
          <w:highlight w:val="none"/>
        </w:rPr>
      </w:pPr>
    </w:p>
    <w:p w14:paraId="4CEBE2F4">
      <w:pPr>
        <w:spacing w:before="4" w:line="360" w:lineRule="auto"/>
        <w:rPr>
          <w:rFonts w:ascii="宋体" w:hAnsi="宋体" w:eastAsia="宋体" w:cs="宋体"/>
          <w:color w:val="auto"/>
          <w:sz w:val="6"/>
          <w:szCs w:val="6"/>
          <w:highlight w:val="none"/>
        </w:rPr>
      </w:pPr>
    </w:p>
    <w:p w14:paraId="01F6AF49">
      <w:pPr>
        <w:snapToGrid w:val="0"/>
        <w:spacing w:line="360" w:lineRule="auto"/>
        <w:ind w:firstLine="120" w:firstLineChars="200"/>
        <w:rPr>
          <w:rFonts w:ascii="宋体" w:hAnsi="宋体" w:eastAsia="宋体" w:cs="Calibri"/>
          <w:color w:val="auto"/>
          <w:sz w:val="6"/>
          <w:szCs w:val="6"/>
          <w:highlight w:val="none"/>
        </w:rPr>
      </w:pPr>
    </w:p>
    <w:p w14:paraId="06A682A6">
      <w:pPr>
        <w:pStyle w:val="2"/>
        <w:jc w:val="center"/>
        <w:rPr>
          <w:rFonts w:hint="eastAsia" w:ascii="宋体" w:hAnsi="宋体" w:cs="宋体"/>
          <w:color w:val="auto"/>
          <w:highlight w:val="none"/>
        </w:rPr>
      </w:pPr>
      <w:r>
        <w:rPr>
          <w:rFonts w:hint="eastAsia" w:hAnsi="宋体" w:cs="宋体"/>
          <w:b/>
          <w:color w:val="auto"/>
          <w:sz w:val="21"/>
          <w:highlight w:val="none"/>
        </w:rPr>
        <w:br w:type="page"/>
      </w:r>
    </w:p>
    <w:p w14:paraId="6AC4B2F3">
      <w:pPr>
        <w:pStyle w:val="2"/>
        <w:jc w:val="center"/>
        <w:rPr>
          <w:rFonts w:hint="eastAsia" w:ascii="宋体" w:hAnsi="宋体" w:cs="宋体"/>
          <w:color w:val="auto"/>
          <w:highlight w:val="none"/>
        </w:rPr>
      </w:pPr>
      <w:r>
        <w:rPr>
          <w:rFonts w:hint="eastAsia" w:ascii="宋体" w:hAnsi="宋体" w:cs="宋体"/>
          <w:color w:val="auto"/>
          <w:highlight w:val="none"/>
        </w:rPr>
        <w:t>第六章　投标文件格式</w:t>
      </w:r>
      <w:bookmarkEnd w:id="186"/>
      <w:bookmarkEnd w:id="187"/>
      <w:bookmarkEnd w:id="188"/>
    </w:p>
    <w:p w14:paraId="054AE307">
      <w:pPr>
        <w:snapToGrid w:val="0"/>
        <w:spacing w:before="50" w:after="50"/>
        <w:rPr>
          <w:rFonts w:hint="eastAsia" w:ascii="宋体" w:hAnsi="宋体" w:cs="宋体"/>
          <w:color w:val="auto"/>
          <w:sz w:val="32"/>
          <w:szCs w:val="20"/>
          <w:highlight w:val="none"/>
        </w:rPr>
      </w:pPr>
    </w:p>
    <w:p w14:paraId="3FB14F21">
      <w:pPr>
        <w:snapToGrid w:val="0"/>
        <w:spacing w:before="50" w:after="50"/>
        <w:rPr>
          <w:rFonts w:hint="eastAsia" w:ascii="宋体" w:hAnsi="宋体" w:cs="宋体"/>
          <w:color w:val="auto"/>
          <w:sz w:val="32"/>
          <w:szCs w:val="20"/>
          <w:highlight w:val="none"/>
        </w:rPr>
      </w:pPr>
    </w:p>
    <w:p w14:paraId="7CA01EA8">
      <w:pPr>
        <w:snapToGrid w:val="0"/>
        <w:spacing w:before="50" w:after="50"/>
        <w:rPr>
          <w:rFonts w:hint="eastAsia" w:ascii="宋体" w:hAnsi="宋体" w:cs="宋体"/>
          <w:color w:val="auto"/>
          <w:sz w:val="32"/>
          <w:szCs w:val="20"/>
          <w:highlight w:val="none"/>
        </w:rPr>
      </w:pPr>
    </w:p>
    <w:p w14:paraId="0B6C2C54">
      <w:pPr>
        <w:snapToGrid w:val="0"/>
        <w:spacing w:before="50" w:after="50"/>
        <w:rPr>
          <w:rFonts w:hint="eastAsia" w:ascii="宋体" w:hAnsi="宋体" w:cs="宋体"/>
          <w:color w:val="auto"/>
          <w:sz w:val="32"/>
          <w:szCs w:val="20"/>
          <w:highlight w:val="none"/>
        </w:rPr>
      </w:pPr>
    </w:p>
    <w:p w14:paraId="1B9EEE6B">
      <w:pPr>
        <w:snapToGrid w:val="0"/>
        <w:spacing w:before="50" w:after="50"/>
        <w:rPr>
          <w:rFonts w:hint="eastAsia" w:ascii="宋体" w:hAnsi="宋体" w:cs="宋体"/>
          <w:color w:val="auto"/>
          <w:sz w:val="32"/>
          <w:szCs w:val="20"/>
          <w:highlight w:val="none"/>
        </w:rPr>
      </w:pPr>
    </w:p>
    <w:p w14:paraId="6D1BCB07">
      <w:pPr>
        <w:snapToGrid w:val="0"/>
        <w:spacing w:before="50" w:after="50"/>
        <w:rPr>
          <w:rFonts w:hint="eastAsia" w:ascii="宋体" w:hAnsi="宋体" w:cs="宋体"/>
          <w:color w:val="auto"/>
          <w:sz w:val="32"/>
          <w:szCs w:val="20"/>
          <w:highlight w:val="none"/>
        </w:rPr>
      </w:pPr>
    </w:p>
    <w:p w14:paraId="258FFABF">
      <w:pPr>
        <w:snapToGrid w:val="0"/>
        <w:spacing w:before="50" w:after="50"/>
        <w:rPr>
          <w:rFonts w:hint="eastAsia" w:ascii="宋体" w:hAnsi="宋体" w:cs="宋体"/>
          <w:color w:val="auto"/>
          <w:sz w:val="32"/>
          <w:szCs w:val="20"/>
          <w:highlight w:val="none"/>
        </w:rPr>
      </w:pPr>
    </w:p>
    <w:p w14:paraId="3D81D208">
      <w:pPr>
        <w:snapToGrid w:val="0"/>
        <w:spacing w:before="50" w:after="50"/>
        <w:rPr>
          <w:rFonts w:hint="eastAsia" w:ascii="宋体" w:hAnsi="宋体" w:cs="宋体"/>
          <w:color w:val="auto"/>
          <w:sz w:val="32"/>
          <w:szCs w:val="20"/>
          <w:highlight w:val="none"/>
        </w:rPr>
      </w:pPr>
    </w:p>
    <w:p w14:paraId="718EEB17">
      <w:pPr>
        <w:outlineLvl w:val="1"/>
        <w:rPr>
          <w:rFonts w:hint="eastAsia" w:ascii="宋体" w:hAnsi="宋体" w:cs="宋体"/>
          <w:b/>
          <w:color w:val="auto"/>
          <w:sz w:val="28"/>
          <w:szCs w:val="28"/>
          <w:highlight w:val="none"/>
        </w:rPr>
      </w:pPr>
      <w:r>
        <w:rPr>
          <w:rFonts w:hint="eastAsia" w:ascii="宋体" w:hAnsi="宋体" w:cs="宋体"/>
          <w:color w:val="auto"/>
          <w:sz w:val="32"/>
          <w:szCs w:val="20"/>
          <w:highlight w:val="none"/>
        </w:rPr>
        <w:br w:type="page"/>
      </w:r>
      <w:bookmarkStart w:id="190" w:name="_Toc19686836"/>
      <w:bookmarkStart w:id="191" w:name="_Toc2369"/>
      <w:bookmarkStart w:id="192" w:name="_Toc7400"/>
      <w:bookmarkStart w:id="193" w:name="_Toc254970698"/>
      <w:bookmarkStart w:id="194" w:name="_Toc254970557"/>
      <w:r>
        <w:rPr>
          <w:rFonts w:hint="eastAsia" w:ascii="宋体" w:hAnsi="宋体" w:cs="宋体"/>
          <w:b/>
          <w:color w:val="auto"/>
          <w:sz w:val="28"/>
          <w:szCs w:val="28"/>
          <w:highlight w:val="none"/>
        </w:rPr>
        <w:t>一、报价文件格式</w:t>
      </w:r>
      <w:bookmarkEnd w:id="190"/>
      <w:bookmarkEnd w:id="191"/>
      <w:bookmarkEnd w:id="192"/>
    </w:p>
    <w:p w14:paraId="67EEFFB0">
      <w:pPr>
        <w:snapToGrid w:val="0"/>
        <w:spacing w:before="120" w:beforeLines="50" w:after="50" w:line="360" w:lineRule="auto"/>
        <w:ind w:left="142"/>
        <w:jc w:val="left"/>
        <w:rPr>
          <w:rFonts w:hint="eastAsia" w:ascii="宋体" w:hAnsi="宋体" w:cs="宋体"/>
          <w:color w:val="auto"/>
          <w:sz w:val="24"/>
          <w:szCs w:val="20"/>
          <w:highlight w:val="none"/>
        </w:rPr>
      </w:pPr>
      <w:r>
        <w:rPr>
          <w:rFonts w:hint="eastAsia" w:ascii="宋体" w:hAnsi="宋体" w:cs="宋体"/>
          <w:b/>
          <w:color w:val="auto"/>
          <w:sz w:val="24"/>
          <w:highlight w:val="none"/>
        </w:rPr>
        <w:t xml:space="preserve">1. 报价文件封面格式： </w:t>
      </w:r>
    </w:p>
    <w:p w14:paraId="15D3D7D5">
      <w:pPr>
        <w:snapToGrid w:val="0"/>
        <w:spacing w:before="120" w:beforeLines="50" w:after="50" w:line="360" w:lineRule="auto"/>
        <w:ind w:left="142"/>
        <w:jc w:val="center"/>
        <w:rPr>
          <w:rFonts w:hint="eastAsia"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484C7BB0">
      <w:pPr>
        <w:snapToGrid w:val="0"/>
        <w:spacing w:before="120" w:beforeLines="50" w:after="50" w:line="400" w:lineRule="exact"/>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p>
    <w:p w14:paraId="734C5715">
      <w:pPr>
        <w:snapToGrid w:val="0"/>
        <w:spacing w:before="120" w:beforeLines="50" w:after="50" w:line="400" w:lineRule="exact"/>
        <w:jc w:val="center"/>
        <w:rPr>
          <w:rFonts w:hint="eastAsia" w:ascii="宋体" w:hAnsi="宋体" w:cs="宋体"/>
          <w:bCs/>
          <w:color w:val="auto"/>
          <w:sz w:val="24"/>
          <w:szCs w:val="20"/>
          <w:highlight w:val="none"/>
        </w:rPr>
      </w:pPr>
    </w:p>
    <w:p w14:paraId="615D0DD0">
      <w:pPr>
        <w:snapToGrid w:val="0"/>
        <w:spacing w:before="120" w:beforeLines="50" w:after="50" w:line="40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报价文件</w:t>
      </w:r>
    </w:p>
    <w:p w14:paraId="0A732CC7">
      <w:pPr>
        <w:snapToGrid w:val="0"/>
        <w:spacing w:before="120" w:beforeLines="50" w:after="50" w:line="400" w:lineRule="exact"/>
        <w:rPr>
          <w:rFonts w:hint="eastAsia" w:ascii="宋体" w:hAnsi="宋体" w:cs="宋体"/>
          <w:bCs/>
          <w:color w:val="auto"/>
          <w:sz w:val="24"/>
          <w:szCs w:val="20"/>
          <w:highlight w:val="none"/>
        </w:rPr>
      </w:pPr>
    </w:p>
    <w:p w14:paraId="4918C57F">
      <w:pPr>
        <w:snapToGrid w:val="0"/>
        <w:spacing w:before="120" w:beforeLines="50" w:after="50" w:line="400" w:lineRule="exact"/>
        <w:rPr>
          <w:rFonts w:hint="eastAsia" w:ascii="宋体" w:hAnsi="宋体" w:cs="宋体"/>
          <w:bCs/>
          <w:color w:val="auto"/>
          <w:sz w:val="24"/>
          <w:szCs w:val="20"/>
          <w:highlight w:val="none"/>
        </w:rPr>
      </w:pPr>
    </w:p>
    <w:p w14:paraId="60F19806">
      <w:pPr>
        <w:snapToGrid w:val="0"/>
        <w:spacing w:before="120" w:beforeLines="50" w:after="50" w:line="400" w:lineRule="exact"/>
        <w:rPr>
          <w:rFonts w:hint="eastAsia" w:ascii="宋体" w:hAnsi="宋体" w:cs="宋体"/>
          <w:bCs/>
          <w:color w:val="auto"/>
          <w:sz w:val="24"/>
          <w:szCs w:val="20"/>
          <w:highlight w:val="none"/>
        </w:rPr>
      </w:pPr>
    </w:p>
    <w:p w14:paraId="7F6DD465">
      <w:pPr>
        <w:snapToGrid w:val="0"/>
        <w:spacing w:before="120" w:beforeLines="50" w:after="50" w:line="400" w:lineRule="exact"/>
        <w:rPr>
          <w:rFonts w:hint="eastAsia" w:ascii="宋体" w:hAnsi="宋体" w:cs="宋体"/>
          <w:bCs/>
          <w:color w:val="auto"/>
          <w:sz w:val="24"/>
          <w:szCs w:val="20"/>
          <w:highlight w:val="none"/>
        </w:rPr>
      </w:pPr>
    </w:p>
    <w:p w14:paraId="70B4A3A4">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 xml:space="preserve">项目名称： </w:t>
      </w:r>
    </w:p>
    <w:p w14:paraId="63CA2FCB">
      <w:pPr>
        <w:snapToGrid w:val="0"/>
        <w:spacing w:before="120" w:beforeLines="50" w:after="50" w:line="400" w:lineRule="exact"/>
        <w:ind w:firstLine="360" w:firstLineChars="150"/>
        <w:rPr>
          <w:rFonts w:hint="eastAsia" w:ascii="宋体" w:hAnsi="宋体" w:cs="宋体"/>
          <w:bCs/>
          <w:color w:val="auto"/>
          <w:sz w:val="24"/>
          <w:highlight w:val="none"/>
        </w:rPr>
      </w:pPr>
    </w:p>
    <w:p w14:paraId="70728E21">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 xml:space="preserve">项目编号： </w:t>
      </w:r>
    </w:p>
    <w:p w14:paraId="0D8BF7AE">
      <w:pPr>
        <w:snapToGrid w:val="0"/>
        <w:spacing w:before="120" w:beforeLines="50" w:after="50" w:line="400" w:lineRule="exact"/>
        <w:ind w:firstLine="360" w:firstLineChars="150"/>
        <w:rPr>
          <w:rFonts w:hint="eastAsia" w:ascii="宋体" w:hAnsi="宋体" w:cs="宋体"/>
          <w:bCs/>
          <w:color w:val="auto"/>
          <w:sz w:val="24"/>
          <w:highlight w:val="none"/>
        </w:rPr>
      </w:pPr>
    </w:p>
    <w:p w14:paraId="1A0E8336">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51D49A2B">
      <w:pPr>
        <w:snapToGrid w:val="0"/>
        <w:spacing w:before="120" w:beforeLines="50" w:after="50" w:line="400" w:lineRule="exact"/>
        <w:ind w:firstLine="360" w:firstLineChars="150"/>
        <w:rPr>
          <w:rFonts w:hint="eastAsia" w:ascii="宋体" w:hAnsi="宋体" w:cs="宋体"/>
          <w:bCs/>
          <w:color w:val="auto"/>
          <w:sz w:val="24"/>
          <w:highlight w:val="none"/>
        </w:rPr>
      </w:pPr>
    </w:p>
    <w:p w14:paraId="42BC6A51">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投标人名称：</w:t>
      </w:r>
    </w:p>
    <w:p w14:paraId="6603527A">
      <w:pPr>
        <w:snapToGrid w:val="0"/>
        <w:spacing w:before="120" w:beforeLines="50" w:after="50" w:line="400" w:lineRule="exact"/>
        <w:ind w:firstLine="360" w:firstLineChars="150"/>
        <w:rPr>
          <w:rFonts w:hint="eastAsia" w:ascii="宋体" w:hAnsi="宋体" w:cs="宋体"/>
          <w:bCs/>
          <w:color w:val="auto"/>
          <w:sz w:val="24"/>
          <w:highlight w:val="none"/>
        </w:rPr>
      </w:pPr>
    </w:p>
    <w:p w14:paraId="4F0E5909">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投标人地址：</w:t>
      </w:r>
    </w:p>
    <w:p w14:paraId="19625FFB">
      <w:pPr>
        <w:pStyle w:val="9"/>
        <w:snapToGrid w:val="0"/>
        <w:spacing w:before="50" w:after="50" w:line="400" w:lineRule="exact"/>
        <w:ind w:firstLine="960" w:firstLineChars="400"/>
        <w:rPr>
          <w:rFonts w:hint="eastAsia" w:ascii="宋体" w:hAnsi="宋体" w:cs="宋体"/>
          <w:bCs/>
          <w:color w:val="auto"/>
          <w:sz w:val="24"/>
          <w:szCs w:val="24"/>
          <w:highlight w:val="none"/>
        </w:rPr>
      </w:pPr>
    </w:p>
    <w:p w14:paraId="2A942AEC">
      <w:pPr>
        <w:snapToGrid w:val="0"/>
        <w:spacing w:before="120" w:beforeLines="50" w:after="50" w:line="400" w:lineRule="exact"/>
        <w:rPr>
          <w:rFonts w:hint="eastAsia" w:ascii="宋体" w:hAnsi="宋体" w:cs="宋体"/>
          <w:color w:val="auto"/>
          <w:sz w:val="30"/>
          <w:szCs w:val="20"/>
          <w:highlight w:val="none"/>
        </w:rPr>
      </w:pPr>
      <w:r>
        <w:rPr>
          <w:rFonts w:hint="eastAsia" w:ascii="宋体" w:hAnsi="宋体" w:cs="宋体"/>
          <w:color w:val="auto"/>
          <w:sz w:val="24"/>
          <w:highlight w:val="none"/>
        </w:rPr>
        <w:t xml:space="preserve">                                   年  月  日</w:t>
      </w:r>
    </w:p>
    <w:p w14:paraId="162570C0">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w:t>
      </w:r>
      <w:r>
        <w:rPr>
          <w:rFonts w:hint="eastAsia" w:ascii="宋体" w:hAnsi="宋体" w:cs="宋体"/>
          <w:b/>
          <w:bCs/>
          <w:color w:val="auto"/>
          <w:sz w:val="24"/>
          <w:highlight w:val="none"/>
        </w:rPr>
        <w:t>报价文件目录</w:t>
      </w:r>
    </w:p>
    <w:p w14:paraId="42E992AA">
      <w:pPr>
        <w:keepNext w:val="0"/>
        <w:keepLines w:val="0"/>
        <w:pageBreakBefore w:val="0"/>
        <w:widowControl w:val="0"/>
        <w:kinsoku/>
        <w:wordWrap/>
        <w:overflowPunct/>
        <w:topLinePunct w:val="0"/>
        <w:autoSpaceDE/>
        <w:autoSpaceDN/>
        <w:bidi w:val="0"/>
        <w:adjustRightInd/>
        <w:snapToGrid w:val="0"/>
        <w:spacing w:before="50" w:after="120" w:afterLines="50" w:line="400" w:lineRule="exact"/>
        <w:jc w:val="left"/>
        <w:textAlignment w:val="auto"/>
        <w:rPr>
          <w:rFonts w:hint="eastAsia" w:ascii="宋体" w:hAnsi="宋体" w:cs="宋体"/>
          <w:b/>
          <w:color w:val="auto"/>
          <w:sz w:val="24"/>
          <w:highlight w:val="none"/>
        </w:rPr>
      </w:pPr>
      <w:r>
        <w:rPr>
          <w:rFonts w:hint="eastAsia" w:ascii="宋体" w:hAnsi="宋体" w:cs="宋体"/>
          <w:color w:val="auto"/>
          <w:szCs w:val="21"/>
          <w:highlight w:val="none"/>
        </w:rPr>
        <w:t>根据招标文件规定及投标人提供的材料自行编写目录。</w:t>
      </w:r>
    </w:p>
    <w:p w14:paraId="5B34A4B2">
      <w:pPr>
        <w:snapToGrid w:val="0"/>
        <w:spacing w:before="120" w:beforeLines="50" w:after="50"/>
        <w:rPr>
          <w:rFonts w:hint="eastAsia" w:ascii="宋体" w:hAnsi="宋体" w:cs="宋体"/>
          <w:b/>
          <w:color w:val="auto"/>
          <w:sz w:val="24"/>
          <w:highlight w:val="none"/>
        </w:rPr>
      </w:pPr>
    </w:p>
    <w:p w14:paraId="32EDCFCB">
      <w:pPr>
        <w:snapToGrid w:val="0"/>
        <w:spacing w:before="120" w:beforeLines="50" w:after="50"/>
        <w:rPr>
          <w:rFonts w:hint="eastAsia" w:ascii="宋体" w:hAnsi="宋体" w:cs="宋体"/>
          <w:b/>
          <w:color w:val="auto"/>
          <w:sz w:val="24"/>
          <w:highlight w:val="none"/>
        </w:rPr>
      </w:pPr>
    </w:p>
    <w:p w14:paraId="7915AB50">
      <w:pPr>
        <w:snapToGrid w:val="0"/>
        <w:spacing w:before="120" w:beforeLines="50" w:after="50"/>
        <w:rPr>
          <w:rFonts w:hint="eastAsia" w:ascii="宋体" w:hAnsi="宋体" w:cs="宋体"/>
          <w:b/>
          <w:color w:val="auto"/>
          <w:sz w:val="24"/>
          <w:highlight w:val="none"/>
        </w:rPr>
      </w:pPr>
    </w:p>
    <w:p w14:paraId="3221CC36">
      <w:pPr>
        <w:snapToGrid w:val="0"/>
        <w:spacing w:before="120" w:beforeLines="50" w:after="50"/>
        <w:ind w:left="142"/>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 投标函格式：</w:t>
      </w:r>
    </w:p>
    <w:p w14:paraId="12101210">
      <w:pPr>
        <w:snapToGrid w:val="0"/>
        <w:spacing w:before="120" w:beforeLines="50" w:after="50"/>
        <w:ind w:left="420"/>
        <w:jc w:val="center"/>
        <w:rPr>
          <w:rFonts w:hint="eastAsia" w:ascii="宋体" w:hAnsi="宋体" w:cs="宋体"/>
          <w:b/>
          <w:bCs/>
          <w:color w:val="auto"/>
          <w:spacing w:val="-17"/>
          <w:sz w:val="30"/>
          <w:szCs w:val="30"/>
          <w:highlight w:val="none"/>
        </w:rPr>
      </w:pPr>
      <w:r>
        <w:rPr>
          <w:rFonts w:hint="eastAsia" w:ascii="宋体" w:hAnsi="宋体" w:cs="宋体"/>
          <w:b/>
          <w:bCs/>
          <w:color w:val="auto"/>
          <w:spacing w:val="-17"/>
          <w:sz w:val="30"/>
          <w:szCs w:val="30"/>
          <w:highlight w:val="none"/>
        </w:rPr>
        <w:t>投 标 函</w:t>
      </w:r>
    </w:p>
    <w:p w14:paraId="40C5B2CC">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采购人名称</w:t>
      </w:r>
    </w:p>
    <w:p w14:paraId="78A8561C">
      <w:pPr>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eastAsia" w:ascii="宋体" w:hAnsi="宋体" w:cs="宋体"/>
          <w:color w:val="auto"/>
          <w:szCs w:val="21"/>
          <w:highlight w:val="none"/>
        </w:rPr>
      </w:pPr>
      <w:r>
        <w:rPr>
          <w:rFonts w:hint="eastAsia" w:ascii="宋体" w:hAnsi="宋体" w:cs="宋体"/>
          <w:color w:val="auto"/>
          <w:szCs w:val="21"/>
          <w:highlight w:val="none"/>
        </w:rPr>
        <w:t>根据贵方</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）的招标文件，签字代表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（姓名）经正式授权并代表投标人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（投标人名称）提交投标文件。</w:t>
      </w:r>
    </w:p>
    <w:p w14:paraId="6A98F8C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据此函，我方宣布同意如下：</w:t>
      </w:r>
    </w:p>
    <w:p w14:paraId="7F795F6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30317BB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2.我方在投标之前已经完全理解并接受招标文件的各项规定和要求，对招标文件的合理性、合法性不再有异议。</w:t>
      </w:r>
    </w:p>
    <w:p w14:paraId="0B37841D">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3.本投标有效期自投标截止之日起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325FE72">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4.如中标，本投标文件至本项目合同履行完毕止均保持有效，我方将按“招标文件”及政府采购</w:t>
      </w:r>
      <w:r>
        <w:rPr>
          <w:rFonts w:hint="eastAsia" w:ascii="宋体" w:hAnsi="宋体" w:cs="宋体"/>
          <w:color w:val="auto"/>
          <w:szCs w:val="21"/>
          <w:highlight w:val="none"/>
          <w:lang w:eastAsia="zh-CN"/>
        </w:rPr>
        <w:t>法律法规</w:t>
      </w:r>
      <w:r>
        <w:rPr>
          <w:rFonts w:hint="eastAsia" w:ascii="宋体" w:hAnsi="宋体" w:cs="宋体"/>
          <w:color w:val="auto"/>
          <w:szCs w:val="21"/>
          <w:highlight w:val="none"/>
        </w:rPr>
        <w:t>的规定履行合同责任和义务。</w:t>
      </w:r>
    </w:p>
    <w:p w14:paraId="61B76753">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5.我方同意按照贵方要求提供与投标有关的一切数据或者资料。</w:t>
      </w:r>
    </w:p>
    <w:p w14:paraId="7F1B3C3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6.我方向贵方提交的所有投标文件、资料都是准确的和真实的。</w:t>
      </w:r>
    </w:p>
    <w:p w14:paraId="0801A828">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7.以上事项如有虚假或者隐瞒，我方愿意承担一切后果，并不再寻求任何旨在减轻或者免除法律责任的辩解。</w:t>
      </w:r>
    </w:p>
    <w:p w14:paraId="1D62CABC">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394F9CC6">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□我方本次投标文件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14:paraId="401BDE84">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□我方本次投标文件</w:t>
      </w:r>
      <w:r>
        <w:rPr>
          <w:rFonts w:hint="eastAsia" w:ascii="宋体" w:hAnsi="宋体" w:cs="宋体"/>
          <w:color w:val="auto"/>
          <w:kern w:val="0"/>
          <w:szCs w:val="21"/>
          <w:highlight w:val="none"/>
        </w:rPr>
        <w:t>涉及商业秘密的内容有：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057BF22D">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9.与本项目有关的一切正式往来信函请寄：</w:t>
      </w:r>
    </w:p>
    <w:p w14:paraId="02DA897F">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邮编：</w:t>
      </w:r>
      <w:r>
        <w:rPr>
          <w:rFonts w:hint="eastAsia" w:ascii="宋体" w:hAnsi="宋体" w:cs="宋体"/>
          <w:color w:val="auto"/>
          <w:szCs w:val="21"/>
          <w:highlight w:val="none"/>
          <w:u w:val="single"/>
        </w:rPr>
        <w:t xml:space="preserve">            </w:t>
      </w:r>
    </w:p>
    <w:p w14:paraId="5F84FB08">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电子邮箱：</w:t>
      </w:r>
      <w:r>
        <w:rPr>
          <w:rFonts w:hint="eastAsia" w:ascii="宋体" w:hAnsi="宋体" w:cs="宋体"/>
          <w:color w:val="auto"/>
          <w:szCs w:val="21"/>
          <w:highlight w:val="none"/>
          <w:u w:val="single"/>
        </w:rPr>
        <w:t xml:space="preserve">         </w:t>
      </w:r>
    </w:p>
    <w:p w14:paraId="7B9CF0D3">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p>
    <w:p w14:paraId="15D7D80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银行账号：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62DA222">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26F12C6D">
      <w:pPr>
        <w:keepNext w:val="0"/>
        <w:keepLines w:val="0"/>
        <w:pageBreakBefore w:val="0"/>
        <w:widowControl w:val="0"/>
        <w:kinsoku/>
        <w:wordWrap/>
        <w:overflowPunct/>
        <w:topLinePunct w:val="0"/>
        <w:autoSpaceDE/>
        <w:autoSpaceDN/>
        <w:bidi w:val="0"/>
        <w:adjustRightInd/>
        <w:snapToGrid w:val="0"/>
        <w:spacing w:line="400" w:lineRule="exact"/>
        <w:ind w:firstLine="3045" w:firstLineChars="1450"/>
        <w:jc w:val="left"/>
        <w:textAlignment w:val="auto"/>
        <w:rPr>
          <w:rFonts w:hint="eastAsia" w:ascii="宋体" w:hAnsi="宋体" w:cs="宋体"/>
          <w:color w:val="auto"/>
          <w:szCs w:val="21"/>
          <w:highlight w:val="none"/>
        </w:rPr>
      </w:pPr>
    </w:p>
    <w:p w14:paraId="77154CC5">
      <w:pPr>
        <w:keepNext w:val="0"/>
        <w:keepLines w:val="0"/>
        <w:pageBreakBefore w:val="0"/>
        <w:widowControl w:val="0"/>
        <w:kinsoku/>
        <w:wordWrap/>
        <w:overflowPunct/>
        <w:topLinePunct w:val="0"/>
        <w:autoSpaceDE/>
        <w:autoSpaceDN/>
        <w:bidi w:val="0"/>
        <w:adjustRightInd/>
        <w:snapToGrid w:val="0"/>
        <w:spacing w:line="400" w:lineRule="exact"/>
        <w:ind w:firstLine="3045" w:firstLineChars="14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法定代表人或者委托代理人（签字或者电子签名）：</w:t>
      </w:r>
      <w:r>
        <w:rPr>
          <w:rFonts w:hint="eastAsia" w:ascii="宋体" w:hAnsi="宋体" w:cs="宋体"/>
          <w:color w:val="auto"/>
          <w:szCs w:val="21"/>
          <w:highlight w:val="none"/>
          <w:u w:val="single"/>
        </w:rPr>
        <w:t xml:space="preserve">          </w:t>
      </w:r>
    </w:p>
    <w:p w14:paraId="00344C24">
      <w:pPr>
        <w:pStyle w:val="20"/>
        <w:keepNext w:val="0"/>
        <w:keepLines w:val="0"/>
        <w:pageBreakBefore w:val="0"/>
        <w:widowControl w:val="0"/>
        <w:kinsoku/>
        <w:wordWrap/>
        <w:overflowPunct/>
        <w:topLinePunct w:val="0"/>
        <w:autoSpaceDE/>
        <w:autoSpaceDN/>
        <w:bidi w:val="0"/>
        <w:adjustRightInd/>
        <w:snapToGrid w:val="0"/>
        <w:spacing w:before="295" w:after="295" w:line="400" w:lineRule="exact"/>
        <w:jc w:val="center"/>
        <w:textAlignment w:val="auto"/>
        <w:rPr>
          <w:rFonts w:hint="eastAsia" w:hAnsi="宋体" w:cs="宋体"/>
          <w:color w:val="auto"/>
          <w:highlight w:val="none"/>
          <w:u w:val="single"/>
        </w:rPr>
      </w:pPr>
      <w:r>
        <w:rPr>
          <w:rFonts w:hint="eastAsia" w:hAnsi="宋体" w:cs="宋体"/>
          <w:color w:val="auto"/>
          <w:highlight w:val="none"/>
        </w:rPr>
        <w:t xml:space="preserve">                                     投标人名称（电子签章）：</w:t>
      </w:r>
      <w:r>
        <w:rPr>
          <w:rFonts w:hint="eastAsia" w:hAnsi="宋体" w:cs="宋体"/>
          <w:color w:val="auto"/>
          <w:highlight w:val="none"/>
          <w:u w:val="single"/>
        </w:rPr>
        <w:t xml:space="preserve">          </w:t>
      </w:r>
    </w:p>
    <w:p w14:paraId="724F3298">
      <w:pPr>
        <w:pStyle w:val="20"/>
        <w:keepNext w:val="0"/>
        <w:keepLines w:val="0"/>
        <w:pageBreakBefore w:val="0"/>
        <w:widowControl w:val="0"/>
        <w:kinsoku/>
        <w:wordWrap/>
        <w:overflowPunct/>
        <w:topLinePunct w:val="0"/>
        <w:autoSpaceDE/>
        <w:autoSpaceDN/>
        <w:bidi w:val="0"/>
        <w:adjustRightInd/>
        <w:snapToGrid w:val="0"/>
        <w:spacing w:before="295" w:after="295" w:line="400" w:lineRule="exact"/>
        <w:textAlignment w:val="auto"/>
        <w:rPr>
          <w:rFonts w:hint="eastAsia" w:hAnsi="宋体" w:cs="宋体"/>
          <w:color w:val="auto"/>
          <w:highlight w:val="none"/>
        </w:rPr>
      </w:pPr>
      <w:r>
        <w:rPr>
          <w:rFonts w:hint="eastAsia" w:hAnsi="宋体" w:cs="宋体"/>
          <w:color w:val="auto"/>
          <w:highlight w:val="none"/>
        </w:rPr>
        <w:t xml:space="preserve">                                                </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119CF075">
      <w:pPr>
        <w:snapToGrid w:val="0"/>
        <w:spacing w:before="120" w:beforeLines="50" w:after="50"/>
        <w:jc w:val="left"/>
        <w:rPr>
          <w:rFonts w:hint="eastAsia" w:ascii="宋体" w:hAnsi="宋体" w:cs="宋体"/>
          <w:b/>
          <w:color w:val="auto"/>
          <w:sz w:val="24"/>
          <w:szCs w:val="20"/>
          <w:highlight w:val="none"/>
        </w:rPr>
      </w:pPr>
      <w:r>
        <w:rPr>
          <w:rFonts w:hint="eastAsia" w:ascii="宋体" w:hAnsi="宋体" w:cs="宋体"/>
          <w:color w:val="auto"/>
          <w:highlight w:val="none"/>
          <w:u w:val="single"/>
        </w:rPr>
        <w:br w:type="page"/>
      </w:r>
      <w:r>
        <w:rPr>
          <w:rFonts w:hint="eastAsia" w:ascii="宋体" w:hAnsi="宋体" w:cs="宋体"/>
          <w:b/>
          <w:color w:val="auto"/>
          <w:sz w:val="24"/>
          <w:highlight w:val="none"/>
        </w:rPr>
        <w:t>4.开标一览表（服务类格式）</w:t>
      </w:r>
    </w:p>
    <w:p w14:paraId="0024E12B">
      <w:pPr>
        <w:snapToGrid w:val="0"/>
        <w:spacing w:before="120" w:beforeLines="50" w:after="50"/>
        <w:ind w:left="420"/>
        <w:jc w:val="center"/>
        <w:rPr>
          <w:rFonts w:hint="eastAsia" w:ascii="宋体" w:hAnsi="宋体" w:cs="宋体"/>
          <w:b/>
          <w:bCs/>
          <w:color w:val="auto"/>
          <w:spacing w:val="-17"/>
          <w:sz w:val="30"/>
          <w:szCs w:val="30"/>
          <w:highlight w:val="none"/>
        </w:rPr>
      </w:pPr>
      <w:r>
        <w:rPr>
          <w:rFonts w:hint="eastAsia" w:ascii="宋体" w:hAnsi="宋体" w:cs="宋体"/>
          <w:b/>
          <w:bCs/>
          <w:color w:val="auto"/>
          <w:spacing w:val="-17"/>
          <w:sz w:val="30"/>
          <w:szCs w:val="30"/>
          <w:highlight w:val="none"/>
        </w:rPr>
        <w:t>开标一览表</w:t>
      </w:r>
    </w:p>
    <w:p w14:paraId="357871A3">
      <w:pPr>
        <w:keepNext w:val="0"/>
        <w:keepLines w:val="0"/>
        <w:pageBreakBefore w:val="0"/>
        <w:wordWrap/>
        <w:overflowPunct/>
        <w:topLinePunct w:val="0"/>
        <w:bidi w:val="0"/>
        <w:snapToGrid w:val="0"/>
        <w:spacing w:before="50" w:after="50"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分标：</w:t>
      </w:r>
      <w:r>
        <w:rPr>
          <w:rFonts w:hint="eastAsia" w:ascii="宋体" w:hAnsi="宋体" w:cs="宋体"/>
          <w:color w:val="auto"/>
          <w:szCs w:val="21"/>
          <w:highlight w:val="none"/>
          <w:u w:val="single"/>
        </w:rPr>
        <w:t xml:space="preserve">           </w:t>
      </w:r>
    </w:p>
    <w:p w14:paraId="34317EE3">
      <w:pPr>
        <w:keepNext w:val="0"/>
        <w:keepLines w:val="0"/>
        <w:pageBreakBefore w:val="0"/>
        <w:wordWrap/>
        <w:overflowPunct/>
        <w:topLinePunct w:val="0"/>
        <w:bidi w:val="0"/>
        <w:snapToGrid w:val="0"/>
        <w:spacing w:before="50" w:after="50"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p>
    <w:tbl>
      <w:tblPr>
        <w:tblStyle w:val="39"/>
        <w:tblW w:w="957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8"/>
        <w:gridCol w:w="2657"/>
        <w:gridCol w:w="993"/>
        <w:gridCol w:w="992"/>
        <w:gridCol w:w="2835"/>
        <w:gridCol w:w="1460"/>
      </w:tblGrid>
      <w:tr w14:paraId="209A4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638" w:type="dxa"/>
            <w:tcBorders>
              <w:top w:val="single" w:color="000000" w:sz="2" w:space="0"/>
              <w:left w:val="single" w:color="000000" w:sz="2" w:space="0"/>
              <w:bottom w:val="single" w:color="000000" w:sz="2" w:space="0"/>
              <w:right w:val="single" w:color="000000" w:sz="2" w:space="0"/>
            </w:tcBorders>
            <w:noWrap w:val="0"/>
            <w:vAlign w:val="top"/>
          </w:tcPr>
          <w:p w14:paraId="77DBF657">
            <w:pPr>
              <w:pStyle w:val="126"/>
              <w:keepNext w:val="0"/>
              <w:keepLines w:val="0"/>
              <w:pageBreakBefore w:val="0"/>
              <w:wordWrap/>
              <w:overflowPunct/>
              <w:topLinePunct w:val="0"/>
              <w:bidi w:val="0"/>
              <w:snapToGrid w:val="0"/>
              <w:spacing w:before="210" w:line="400" w:lineRule="exact"/>
              <w:jc w:val="center"/>
              <w:rPr>
                <w:rFonts w:hint="eastAsia"/>
                <w:color w:val="auto"/>
                <w:highlight w:val="none"/>
              </w:rPr>
            </w:pPr>
            <w:r>
              <w:rPr>
                <w:rFonts w:hint="eastAsia"/>
                <w:color w:val="auto"/>
                <w:spacing w:val="1"/>
                <w:highlight w:val="none"/>
              </w:rPr>
              <w:t>序号</w:t>
            </w:r>
          </w:p>
        </w:tc>
        <w:tc>
          <w:tcPr>
            <w:tcW w:w="2657" w:type="dxa"/>
            <w:tcBorders>
              <w:top w:val="single" w:color="000000" w:sz="2" w:space="0"/>
              <w:left w:val="single" w:color="000000" w:sz="2" w:space="0"/>
              <w:bottom w:val="single" w:color="000000" w:sz="2" w:space="0"/>
              <w:right w:val="single" w:color="000000" w:sz="2" w:space="0"/>
            </w:tcBorders>
            <w:noWrap w:val="0"/>
            <w:vAlign w:val="top"/>
          </w:tcPr>
          <w:p w14:paraId="1E8CB582">
            <w:pPr>
              <w:pStyle w:val="126"/>
              <w:keepNext w:val="0"/>
              <w:keepLines w:val="0"/>
              <w:pageBreakBefore w:val="0"/>
              <w:wordWrap/>
              <w:overflowPunct/>
              <w:topLinePunct w:val="0"/>
              <w:bidi w:val="0"/>
              <w:snapToGrid w:val="0"/>
              <w:spacing w:before="210" w:line="400" w:lineRule="exact"/>
              <w:jc w:val="center"/>
              <w:rPr>
                <w:rFonts w:hint="eastAsia"/>
                <w:color w:val="auto"/>
                <w:spacing w:val="1"/>
                <w:highlight w:val="none"/>
              </w:rPr>
            </w:pPr>
            <w:r>
              <w:rPr>
                <w:rFonts w:hint="eastAsia"/>
                <w:color w:val="auto"/>
                <w:spacing w:val="1"/>
                <w:highlight w:val="none"/>
              </w:rPr>
              <w:t>标的名称</w:t>
            </w:r>
          </w:p>
        </w:tc>
        <w:tc>
          <w:tcPr>
            <w:tcW w:w="993" w:type="dxa"/>
            <w:tcBorders>
              <w:top w:val="single" w:color="000000" w:sz="2" w:space="0"/>
              <w:left w:val="single" w:color="000000" w:sz="2" w:space="0"/>
              <w:bottom w:val="single" w:color="000000" w:sz="2" w:space="0"/>
              <w:right w:val="single" w:color="000000" w:sz="2" w:space="0"/>
            </w:tcBorders>
            <w:noWrap w:val="0"/>
            <w:vAlign w:val="top"/>
          </w:tcPr>
          <w:p w14:paraId="4328E8F4">
            <w:pPr>
              <w:pStyle w:val="126"/>
              <w:keepNext w:val="0"/>
              <w:keepLines w:val="0"/>
              <w:pageBreakBefore w:val="0"/>
              <w:wordWrap/>
              <w:overflowPunct/>
              <w:topLinePunct w:val="0"/>
              <w:bidi w:val="0"/>
              <w:snapToGrid w:val="0"/>
              <w:spacing w:before="210" w:line="400" w:lineRule="exact"/>
              <w:jc w:val="center"/>
              <w:rPr>
                <w:rFonts w:hint="eastAsia"/>
                <w:color w:val="auto"/>
                <w:spacing w:val="1"/>
                <w:highlight w:val="none"/>
              </w:rPr>
            </w:pPr>
            <w:r>
              <w:rPr>
                <w:rFonts w:hint="eastAsia"/>
                <w:color w:val="auto"/>
                <w:spacing w:val="1"/>
                <w:highlight w:val="none"/>
              </w:rPr>
              <w:t>数量</w:t>
            </w:r>
          </w:p>
        </w:tc>
        <w:tc>
          <w:tcPr>
            <w:tcW w:w="992" w:type="dxa"/>
            <w:tcBorders>
              <w:top w:val="single" w:color="000000" w:sz="2" w:space="0"/>
              <w:left w:val="single" w:color="000000" w:sz="2" w:space="0"/>
              <w:bottom w:val="single" w:color="000000" w:sz="2" w:space="0"/>
              <w:right w:val="single" w:color="000000" w:sz="2" w:space="0"/>
            </w:tcBorders>
            <w:noWrap w:val="0"/>
            <w:vAlign w:val="top"/>
          </w:tcPr>
          <w:p w14:paraId="5969AD00">
            <w:pPr>
              <w:pStyle w:val="126"/>
              <w:keepNext w:val="0"/>
              <w:keepLines w:val="0"/>
              <w:pageBreakBefore w:val="0"/>
              <w:wordWrap/>
              <w:overflowPunct/>
              <w:topLinePunct w:val="0"/>
              <w:bidi w:val="0"/>
              <w:snapToGrid w:val="0"/>
              <w:spacing w:before="210" w:line="400" w:lineRule="exact"/>
              <w:jc w:val="center"/>
              <w:rPr>
                <w:rFonts w:hint="eastAsia"/>
                <w:color w:val="auto"/>
                <w:spacing w:val="1"/>
                <w:highlight w:val="none"/>
              </w:rPr>
            </w:pPr>
            <w:r>
              <w:rPr>
                <w:rFonts w:hint="eastAsia"/>
                <w:color w:val="auto"/>
                <w:spacing w:val="1"/>
                <w:highlight w:val="none"/>
              </w:rPr>
              <w:t>单位</w:t>
            </w:r>
          </w:p>
        </w:tc>
        <w:tc>
          <w:tcPr>
            <w:tcW w:w="2835" w:type="dxa"/>
            <w:tcBorders>
              <w:top w:val="single" w:color="000000" w:sz="2" w:space="0"/>
              <w:left w:val="single" w:color="000000" w:sz="2" w:space="0"/>
              <w:bottom w:val="single" w:color="000000" w:sz="2" w:space="0"/>
              <w:right w:val="single" w:color="000000" w:sz="2" w:space="0"/>
            </w:tcBorders>
            <w:noWrap w:val="0"/>
            <w:vAlign w:val="top"/>
          </w:tcPr>
          <w:p w14:paraId="4C69F544">
            <w:pPr>
              <w:pStyle w:val="126"/>
              <w:keepNext w:val="0"/>
              <w:keepLines w:val="0"/>
              <w:pageBreakBefore w:val="0"/>
              <w:wordWrap/>
              <w:overflowPunct/>
              <w:topLinePunct w:val="0"/>
              <w:bidi w:val="0"/>
              <w:snapToGrid w:val="0"/>
              <w:spacing w:before="210" w:line="400" w:lineRule="exact"/>
              <w:jc w:val="center"/>
              <w:rPr>
                <w:rFonts w:hint="eastAsia"/>
                <w:color w:val="auto"/>
                <w:spacing w:val="1"/>
                <w:highlight w:val="none"/>
              </w:rPr>
            </w:pPr>
            <w:r>
              <w:rPr>
                <w:rFonts w:hint="eastAsia"/>
                <w:color w:val="auto"/>
                <w:sz w:val="24"/>
                <w:highlight w:val="none"/>
              </w:rPr>
              <w:t>投标</w:t>
            </w:r>
            <w:r>
              <w:rPr>
                <w:rFonts w:hint="eastAsia"/>
                <w:color w:val="auto"/>
                <w:sz w:val="24"/>
                <w:highlight w:val="none"/>
                <w:lang w:val="en-US" w:eastAsia="zh-CN"/>
              </w:rPr>
              <w:t>单价</w:t>
            </w:r>
            <w:r>
              <w:rPr>
                <w:rFonts w:hint="eastAsia"/>
                <w:color w:val="auto"/>
                <w:sz w:val="24"/>
                <w:highlight w:val="none"/>
              </w:rPr>
              <w:t>报价（元/吨）</w:t>
            </w:r>
            <w:r>
              <w:rPr>
                <w:rFonts w:hint="eastAsia"/>
                <w:color w:val="auto"/>
                <w:spacing w:val="1"/>
                <w:highlight w:val="none"/>
              </w:rPr>
              <w:t xml:space="preserve"> </w:t>
            </w:r>
          </w:p>
        </w:tc>
        <w:tc>
          <w:tcPr>
            <w:tcW w:w="1460" w:type="dxa"/>
            <w:tcBorders>
              <w:top w:val="single" w:color="000000" w:sz="2" w:space="0"/>
              <w:left w:val="single" w:color="000000" w:sz="2" w:space="0"/>
              <w:bottom w:val="single" w:color="000000" w:sz="2" w:space="0"/>
              <w:right w:val="single" w:color="000000" w:sz="2" w:space="0"/>
            </w:tcBorders>
            <w:noWrap w:val="0"/>
            <w:vAlign w:val="top"/>
          </w:tcPr>
          <w:p w14:paraId="1FC8758B">
            <w:pPr>
              <w:pStyle w:val="126"/>
              <w:keepNext w:val="0"/>
              <w:keepLines w:val="0"/>
              <w:pageBreakBefore w:val="0"/>
              <w:wordWrap/>
              <w:overflowPunct/>
              <w:topLinePunct w:val="0"/>
              <w:bidi w:val="0"/>
              <w:snapToGrid w:val="0"/>
              <w:spacing w:before="210" w:line="400" w:lineRule="exact"/>
              <w:jc w:val="center"/>
              <w:rPr>
                <w:rFonts w:hint="eastAsia"/>
                <w:color w:val="auto"/>
                <w:spacing w:val="1"/>
                <w:highlight w:val="none"/>
              </w:rPr>
            </w:pPr>
            <w:r>
              <w:rPr>
                <w:rFonts w:hint="eastAsia"/>
                <w:color w:val="auto"/>
                <w:spacing w:val="1"/>
                <w:highlight w:val="none"/>
              </w:rPr>
              <w:t>备注</w:t>
            </w:r>
          </w:p>
        </w:tc>
      </w:tr>
      <w:tr w14:paraId="01D87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1" w:hRule="atLeast"/>
          <w:jc w:val="center"/>
        </w:trPr>
        <w:tc>
          <w:tcPr>
            <w:tcW w:w="638" w:type="dxa"/>
            <w:tcBorders>
              <w:top w:val="single" w:color="000000" w:sz="2" w:space="0"/>
              <w:left w:val="single" w:color="000000" w:sz="2" w:space="0"/>
              <w:bottom w:val="single" w:color="000000" w:sz="2" w:space="0"/>
              <w:right w:val="single" w:color="000000" w:sz="2" w:space="0"/>
            </w:tcBorders>
            <w:noWrap w:val="0"/>
            <w:vAlign w:val="center"/>
          </w:tcPr>
          <w:p w14:paraId="3CEF4D9C">
            <w:pPr>
              <w:keepNext w:val="0"/>
              <w:keepLines w:val="0"/>
              <w:pageBreakBefore w:val="0"/>
              <w:kinsoku w:val="0"/>
              <w:wordWrap/>
              <w:overflowPunct/>
              <w:topLinePunct w:val="0"/>
              <w:autoSpaceDE w:val="0"/>
              <w:autoSpaceDN w:val="0"/>
              <w:bidi w:val="0"/>
              <w:adjustRightInd w:val="0"/>
              <w:snapToGrid w:val="0"/>
              <w:spacing w:before="60" w:line="400" w:lineRule="exact"/>
              <w:ind w:left="288"/>
              <w:textAlignment w:val="baseline"/>
              <w:rPr>
                <w:rFonts w:hint="eastAsia" w:ascii="宋体" w:hAnsi="宋体" w:cs="宋体"/>
                <w:color w:val="auto"/>
                <w:szCs w:val="21"/>
                <w:highlight w:val="none"/>
              </w:rPr>
            </w:pPr>
          </w:p>
        </w:tc>
        <w:tc>
          <w:tcPr>
            <w:tcW w:w="2657" w:type="dxa"/>
            <w:tcBorders>
              <w:top w:val="single" w:color="000000" w:sz="2" w:space="0"/>
              <w:left w:val="single" w:color="000000" w:sz="2" w:space="0"/>
              <w:bottom w:val="single" w:color="000000" w:sz="2" w:space="0"/>
              <w:right w:val="single" w:color="000000" w:sz="2" w:space="0"/>
            </w:tcBorders>
            <w:noWrap w:val="0"/>
            <w:vAlign w:val="center"/>
          </w:tcPr>
          <w:p w14:paraId="4C30F495">
            <w:pPr>
              <w:pStyle w:val="126"/>
              <w:keepNext w:val="0"/>
              <w:keepLines w:val="0"/>
              <w:pageBreakBefore w:val="0"/>
              <w:wordWrap/>
              <w:overflowPunct/>
              <w:topLinePunct w:val="0"/>
              <w:bidi w:val="0"/>
              <w:snapToGrid w:val="0"/>
              <w:spacing w:before="107" w:line="400" w:lineRule="exact"/>
              <w:ind w:left="205" w:right="195"/>
              <w:jc w:val="center"/>
              <w:rPr>
                <w:rFonts w:hint="eastAsia"/>
                <w:color w:val="auto"/>
                <w:highlight w:val="none"/>
              </w:rPr>
            </w:pPr>
          </w:p>
        </w:tc>
        <w:tc>
          <w:tcPr>
            <w:tcW w:w="993" w:type="dxa"/>
            <w:tcBorders>
              <w:top w:val="single" w:color="000000" w:sz="2" w:space="0"/>
              <w:left w:val="single" w:color="000000" w:sz="2" w:space="0"/>
              <w:bottom w:val="single" w:color="000000" w:sz="2" w:space="0"/>
              <w:right w:val="single" w:color="000000" w:sz="2" w:space="0"/>
            </w:tcBorders>
            <w:noWrap w:val="0"/>
            <w:vAlign w:val="center"/>
          </w:tcPr>
          <w:p w14:paraId="4907BADF">
            <w:pPr>
              <w:keepNext w:val="0"/>
              <w:keepLines w:val="0"/>
              <w:pageBreakBefore w:val="0"/>
              <w:kinsoku w:val="0"/>
              <w:wordWrap/>
              <w:overflowPunct/>
              <w:topLinePunct w:val="0"/>
              <w:autoSpaceDE w:val="0"/>
              <w:autoSpaceDN w:val="0"/>
              <w:bidi w:val="0"/>
              <w:adjustRightInd w:val="0"/>
              <w:snapToGrid w:val="0"/>
              <w:spacing w:before="60" w:line="400" w:lineRule="exact"/>
              <w:ind w:left="452"/>
              <w:textAlignment w:val="baseline"/>
              <w:rPr>
                <w:rFonts w:hint="eastAsia" w:ascii="宋体" w:hAnsi="宋体" w:cs="宋体"/>
                <w:color w:val="auto"/>
                <w:szCs w:val="21"/>
                <w:highlight w:val="none"/>
              </w:rPr>
            </w:pPr>
          </w:p>
        </w:tc>
        <w:tc>
          <w:tcPr>
            <w:tcW w:w="992" w:type="dxa"/>
            <w:tcBorders>
              <w:top w:val="single" w:color="000000" w:sz="2" w:space="0"/>
              <w:left w:val="single" w:color="000000" w:sz="2" w:space="0"/>
              <w:bottom w:val="single" w:color="000000" w:sz="2" w:space="0"/>
              <w:right w:val="single" w:color="000000" w:sz="2" w:space="0"/>
            </w:tcBorders>
            <w:noWrap w:val="0"/>
            <w:vAlign w:val="center"/>
          </w:tcPr>
          <w:p w14:paraId="5AB3A682">
            <w:pPr>
              <w:pStyle w:val="126"/>
              <w:keepNext w:val="0"/>
              <w:keepLines w:val="0"/>
              <w:pageBreakBefore w:val="0"/>
              <w:wordWrap/>
              <w:overflowPunct/>
              <w:topLinePunct w:val="0"/>
              <w:bidi w:val="0"/>
              <w:snapToGrid w:val="0"/>
              <w:spacing w:before="68" w:line="400" w:lineRule="exact"/>
              <w:jc w:val="center"/>
              <w:rPr>
                <w:rFonts w:hint="eastAsia"/>
                <w:color w:val="auto"/>
                <w:highlight w:val="none"/>
              </w:rPr>
            </w:pPr>
          </w:p>
        </w:tc>
        <w:tc>
          <w:tcPr>
            <w:tcW w:w="2835" w:type="dxa"/>
            <w:tcBorders>
              <w:top w:val="single" w:color="000000" w:sz="2" w:space="0"/>
              <w:left w:val="single" w:color="000000" w:sz="2" w:space="0"/>
              <w:bottom w:val="single" w:color="000000" w:sz="2" w:space="0"/>
              <w:right w:val="single" w:color="000000" w:sz="2" w:space="0"/>
            </w:tcBorders>
            <w:noWrap w:val="0"/>
            <w:vAlign w:val="center"/>
          </w:tcPr>
          <w:p w14:paraId="2E904BBA">
            <w:pPr>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cs="宋体"/>
                <w:color w:val="auto"/>
                <w:szCs w:val="21"/>
                <w:highlight w:val="none"/>
              </w:rPr>
            </w:pPr>
          </w:p>
        </w:tc>
        <w:tc>
          <w:tcPr>
            <w:tcW w:w="1460" w:type="dxa"/>
            <w:tcBorders>
              <w:top w:val="single" w:color="000000" w:sz="2" w:space="0"/>
              <w:left w:val="single" w:color="000000" w:sz="2" w:space="0"/>
              <w:bottom w:val="single" w:color="000000" w:sz="2" w:space="0"/>
              <w:right w:val="single" w:color="000000" w:sz="2" w:space="0"/>
            </w:tcBorders>
            <w:noWrap w:val="0"/>
            <w:vAlign w:val="center"/>
          </w:tcPr>
          <w:p w14:paraId="22F26EE3">
            <w:pPr>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cs="宋体"/>
                <w:color w:val="auto"/>
                <w:szCs w:val="21"/>
                <w:highlight w:val="none"/>
              </w:rPr>
            </w:pPr>
          </w:p>
        </w:tc>
      </w:tr>
      <w:tr w14:paraId="3C467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9575" w:type="dxa"/>
            <w:gridSpan w:val="6"/>
            <w:tcBorders>
              <w:top w:val="single" w:color="000000" w:sz="2" w:space="0"/>
              <w:left w:val="single" w:color="000000" w:sz="2" w:space="0"/>
              <w:right w:val="single" w:color="000000" w:sz="2" w:space="0"/>
            </w:tcBorders>
            <w:noWrap w:val="0"/>
            <w:vAlign w:val="top"/>
          </w:tcPr>
          <w:p w14:paraId="4F336532">
            <w:pPr>
              <w:keepNext w:val="0"/>
              <w:keepLines w:val="0"/>
              <w:pageBreakBefore w:val="0"/>
              <w:wordWrap/>
              <w:overflowPunct/>
              <w:topLinePunct w:val="0"/>
              <w:bidi w:val="0"/>
              <w:snapToGrid w:val="0"/>
              <w:spacing w:before="50" w:after="50" w:line="400" w:lineRule="exact"/>
              <w:ind w:firstLine="602" w:firstLineChars="250"/>
              <w:rPr>
                <w:rFonts w:hint="eastAsia" w:ascii="宋体" w:hAnsi="宋体" w:cs="宋体"/>
                <w:b/>
                <w:bCs/>
                <w:color w:val="auto"/>
                <w:sz w:val="24"/>
                <w:highlight w:val="none"/>
              </w:rPr>
            </w:pPr>
            <w:r>
              <w:rPr>
                <w:rFonts w:hint="eastAsia" w:ascii="宋体" w:hAnsi="宋体" w:cs="宋体"/>
                <w:b/>
                <w:color w:val="auto"/>
                <w:sz w:val="24"/>
                <w:highlight w:val="none"/>
              </w:rPr>
              <w:t>投标</w:t>
            </w:r>
            <w:r>
              <w:rPr>
                <w:rFonts w:hint="eastAsia" w:ascii="宋体" w:hAnsi="宋体" w:cs="宋体"/>
                <w:b/>
                <w:color w:val="auto"/>
                <w:sz w:val="24"/>
                <w:highlight w:val="none"/>
                <w:lang w:val="en-US" w:eastAsia="zh-CN"/>
              </w:rPr>
              <w:t>单价</w:t>
            </w:r>
            <w:r>
              <w:rPr>
                <w:rFonts w:hint="eastAsia" w:ascii="宋体" w:hAnsi="宋体" w:cs="宋体"/>
                <w:b/>
                <w:color w:val="auto"/>
                <w:sz w:val="24"/>
                <w:highlight w:val="none"/>
              </w:rPr>
              <w:t>报价：</w:t>
            </w:r>
            <w:r>
              <w:rPr>
                <w:rFonts w:hint="eastAsia" w:ascii="宋体" w:hAnsi="宋体" w:cs="宋体"/>
                <w:b/>
                <w:bCs/>
                <w:color w:val="auto"/>
                <w:sz w:val="24"/>
                <w:highlight w:val="none"/>
              </w:rPr>
              <w:t xml:space="preserve">（大写）人民币 </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w:t>
            </w:r>
          </w:p>
          <w:p w14:paraId="26EAD812">
            <w:pPr>
              <w:pStyle w:val="126"/>
              <w:keepNext w:val="0"/>
              <w:keepLines w:val="0"/>
              <w:pageBreakBefore w:val="0"/>
              <w:wordWrap/>
              <w:overflowPunct/>
              <w:topLinePunct w:val="0"/>
              <w:bidi w:val="0"/>
              <w:snapToGrid w:val="0"/>
              <w:spacing w:before="161" w:line="400" w:lineRule="exact"/>
              <w:ind w:left="117" w:firstLine="482" w:firstLineChars="200"/>
              <w:jc w:val="both"/>
              <w:rPr>
                <w:rFonts w:hint="eastAsia"/>
                <w:color w:val="auto"/>
                <w:highlight w:val="none"/>
              </w:rPr>
            </w:pPr>
            <w:r>
              <w:rPr>
                <w:rFonts w:hint="eastAsia"/>
                <w:b/>
                <w:color w:val="auto"/>
                <w:sz w:val="24"/>
                <w:szCs w:val="24"/>
                <w:highlight w:val="none"/>
              </w:rPr>
              <w:t>服务期限：</w:t>
            </w:r>
            <w:r>
              <w:rPr>
                <w:rFonts w:hint="eastAsia"/>
                <w:b/>
                <w:color w:val="auto"/>
                <w:sz w:val="24"/>
                <w:szCs w:val="24"/>
                <w:highlight w:val="none"/>
                <w:u w:val="single"/>
              </w:rPr>
              <w:t xml:space="preserve">                            </w:t>
            </w:r>
          </w:p>
        </w:tc>
      </w:tr>
    </w:tbl>
    <w:p w14:paraId="21B88907">
      <w:pPr>
        <w:keepNext w:val="0"/>
        <w:keepLines w:val="0"/>
        <w:pageBreakBefore w:val="0"/>
        <w:wordWrap/>
        <w:overflowPunct/>
        <w:topLinePunct w:val="0"/>
        <w:bidi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注： </w:t>
      </w:r>
    </w:p>
    <w:p w14:paraId="145EB0FF">
      <w:pPr>
        <w:keepNext w:val="0"/>
        <w:keepLines w:val="0"/>
        <w:pageBreakBefore w:val="0"/>
        <w:wordWrap/>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1.投标人的开标一览表必须加盖投标人电子签章并由法定代表人或者委托代理人签字或者电子签名，</w:t>
      </w:r>
      <w:r>
        <w:rPr>
          <w:rFonts w:hint="eastAsia" w:ascii="宋体" w:hAnsi="宋体" w:cs="宋体"/>
          <w:b/>
          <w:color w:val="auto"/>
          <w:szCs w:val="21"/>
          <w:highlight w:val="none"/>
        </w:rPr>
        <w:t>否则其投标作无效标处理</w:t>
      </w:r>
      <w:r>
        <w:rPr>
          <w:rFonts w:hint="eastAsia" w:ascii="宋体" w:hAnsi="宋体" w:cs="宋体"/>
          <w:color w:val="auto"/>
          <w:szCs w:val="21"/>
          <w:highlight w:val="none"/>
        </w:rPr>
        <w:t>。</w:t>
      </w:r>
    </w:p>
    <w:p w14:paraId="4F37FD02">
      <w:pPr>
        <w:keepNext w:val="0"/>
        <w:keepLines w:val="0"/>
        <w:pageBreakBefore w:val="0"/>
        <w:wordWrap/>
        <w:overflowPunct/>
        <w:topLinePunct w:val="0"/>
        <w:bidi w:val="0"/>
        <w:snapToGrid w:val="0"/>
        <w:spacing w:line="400" w:lineRule="exact"/>
        <w:ind w:firstLine="420" w:firstLineChars="200"/>
        <w:jc w:val="left"/>
        <w:rPr>
          <w:rFonts w:hint="eastAsia" w:ascii="宋体" w:hAnsi="宋体" w:cs="宋体"/>
          <w:b/>
          <w:color w:val="auto"/>
          <w:szCs w:val="21"/>
          <w:highlight w:val="none"/>
        </w:rPr>
      </w:pPr>
      <w:r>
        <w:rPr>
          <w:rFonts w:hint="eastAsia" w:ascii="宋体" w:hAnsi="宋体" w:cs="宋体"/>
          <w:bCs/>
          <w:color w:val="auto"/>
          <w:szCs w:val="21"/>
          <w:highlight w:val="none"/>
        </w:rPr>
        <w:t>2.</w:t>
      </w:r>
      <w:r>
        <w:rPr>
          <w:rFonts w:hint="eastAsia" w:ascii="宋体" w:hAnsi="宋体" w:cs="宋体"/>
          <w:color w:val="auto"/>
          <w:szCs w:val="21"/>
          <w:highlight w:val="none"/>
        </w:rPr>
        <w:t>报价一经涂改，应在涂改处加盖投标人公章或者加盖电子签章或者由法定代表人或者委托代理人签字（或者电子签名）</w:t>
      </w:r>
      <w:r>
        <w:rPr>
          <w:rFonts w:hint="eastAsia" w:ascii="宋体" w:hAnsi="宋体" w:cs="宋体"/>
          <w:b/>
          <w:color w:val="auto"/>
          <w:szCs w:val="21"/>
          <w:highlight w:val="none"/>
        </w:rPr>
        <w:t>，否则其投标作无效标处理。</w:t>
      </w:r>
    </w:p>
    <w:p w14:paraId="2DA7882B">
      <w:pPr>
        <w:keepNext w:val="0"/>
        <w:keepLines w:val="0"/>
        <w:pageBreakBefore w:val="0"/>
        <w:wordWrap/>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3.如为联合体投标，“投标人名称”处必须列明联合体各方名称，并标注联合体牵头人名称，</w:t>
      </w:r>
      <w:r>
        <w:rPr>
          <w:rFonts w:hint="eastAsia" w:ascii="宋体" w:hAnsi="宋体" w:cs="宋体"/>
          <w:b/>
          <w:color w:val="auto"/>
          <w:szCs w:val="21"/>
          <w:highlight w:val="none"/>
        </w:rPr>
        <w:t>否则其投标作无效标处理。</w:t>
      </w:r>
    </w:p>
    <w:p w14:paraId="60F7D438">
      <w:pPr>
        <w:keepNext w:val="0"/>
        <w:keepLines w:val="0"/>
        <w:pageBreakBefore w:val="0"/>
        <w:wordWrap/>
        <w:overflowPunct/>
        <w:topLinePunct w:val="0"/>
        <w:bidi w:val="0"/>
        <w:snapToGrid w:val="0"/>
        <w:spacing w:line="400" w:lineRule="exact"/>
        <w:ind w:firstLine="396" w:firstLineChars="200"/>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4.如为联合体投标，盖章处须加盖联合体牵头人电子签章，</w:t>
      </w:r>
      <w:r>
        <w:rPr>
          <w:rFonts w:hint="eastAsia" w:ascii="宋体" w:hAnsi="宋体" w:cs="宋体"/>
          <w:b/>
          <w:color w:val="auto"/>
          <w:spacing w:val="-6"/>
          <w:szCs w:val="21"/>
          <w:highlight w:val="none"/>
        </w:rPr>
        <w:t>否则其投标作无效标处理。</w:t>
      </w:r>
    </w:p>
    <w:p w14:paraId="121448BA">
      <w:pPr>
        <w:keepNext w:val="0"/>
        <w:keepLines w:val="0"/>
        <w:pageBreakBefore w:val="0"/>
        <w:wordWrap/>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5.如有多分标，按分标分别提供开标一览表，</w:t>
      </w:r>
      <w:r>
        <w:rPr>
          <w:rFonts w:hint="eastAsia" w:ascii="宋体" w:hAnsi="宋体" w:cs="宋体"/>
          <w:b/>
          <w:color w:val="auto"/>
          <w:szCs w:val="21"/>
          <w:highlight w:val="none"/>
        </w:rPr>
        <w:t>否则投标无效。</w:t>
      </w:r>
    </w:p>
    <w:p w14:paraId="0C8A0A23">
      <w:pPr>
        <w:keepNext w:val="0"/>
        <w:keepLines w:val="0"/>
        <w:pageBreakBefore w:val="0"/>
        <w:wordWrap/>
        <w:overflowPunct/>
        <w:topLinePunct w:val="0"/>
        <w:bidi w:val="0"/>
        <w:snapToGrid w:val="0"/>
        <w:spacing w:line="400" w:lineRule="exact"/>
        <w:ind w:left="-2" w:leftChars="-1" w:right="-817" w:rightChars="-389"/>
        <w:rPr>
          <w:rFonts w:hint="eastAsia" w:ascii="宋体" w:hAnsi="宋体" w:cs="宋体"/>
          <w:color w:val="auto"/>
          <w:szCs w:val="21"/>
          <w:highlight w:val="none"/>
        </w:rPr>
      </w:pPr>
    </w:p>
    <w:p w14:paraId="5AE139B2">
      <w:pPr>
        <w:keepNext w:val="0"/>
        <w:keepLines w:val="0"/>
        <w:pageBreakBefore w:val="0"/>
        <w:wordWrap/>
        <w:overflowPunct/>
        <w:topLinePunct w:val="0"/>
        <w:bidi w:val="0"/>
        <w:snapToGrid w:val="0"/>
        <w:spacing w:line="400" w:lineRule="exact"/>
        <w:ind w:left="-2" w:leftChars="-1" w:right="-817" w:rightChars="-389"/>
        <w:rPr>
          <w:rFonts w:hint="eastAsia" w:ascii="宋体" w:hAnsi="宋体" w:cs="宋体"/>
          <w:color w:val="auto"/>
          <w:szCs w:val="21"/>
          <w:highlight w:val="none"/>
        </w:rPr>
      </w:pPr>
      <w:r>
        <w:rPr>
          <w:rFonts w:hint="eastAsia" w:ascii="宋体" w:hAnsi="宋体" w:cs="宋体"/>
          <w:color w:val="auto"/>
          <w:szCs w:val="21"/>
          <w:highlight w:val="none"/>
        </w:rPr>
        <w:t xml:space="preserve">                           法定代表人或者委托代理人（签字或者电子签名）： </w:t>
      </w:r>
    </w:p>
    <w:p w14:paraId="1679A081">
      <w:pPr>
        <w:keepNext w:val="0"/>
        <w:keepLines w:val="0"/>
        <w:pageBreakBefore w:val="0"/>
        <w:wordWrap/>
        <w:overflowPunct/>
        <w:topLinePunct w:val="0"/>
        <w:bidi w:val="0"/>
        <w:snapToGrid w:val="0"/>
        <w:spacing w:line="400" w:lineRule="exact"/>
        <w:ind w:left="-6" w:leftChars="-15" w:right="-817" w:rightChars="-389" w:hanging="25" w:hangingChars="12"/>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p>
    <w:p w14:paraId="12A8D440">
      <w:pPr>
        <w:keepNext w:val="0"/>
        <w:keepLines w:val="0"/>
        <w:pageBreakBefore w:val="0"/>
        <w:wordWrap/>
        <w:overflowPunct/>
        <w:topLinePunct w:val="0"/>
        <w:bidi w:val="0"/>
        <w:snapToGrid w:val="0"/>
        <w:spacing w:line="400" w:lineRule="exact"/>
        <w:ind w:left="-6" w:leftChars="-15" w:right="-817" w:rightChars="-389" w:hanging="25" w:hangingChars="12"/>
        <w:rPr>
          <w:rFonts w:hint="eastAsia" w:ascii="宋体" w:hAnsi="宋体" w:cs="宋体"/>
          <w:color w:val="auto"/>
          <w:szCs w:val="21"/>
          <w:highlight w:val="none"/>
        </w:rPr>
      </w:pPr>
      <w:r>
        <w:rPr>
          <w:rFonts w:hint="eastAsia" w:ascii="宋体" w:hAnsi="宋体" w:cs="宋体"/>
          <w:color w:val="auto"/>
          <w:szCs w:val="21"/>
          <w:highlight w:val="none"/>
        </w:rPr>
        <w:t xml:space="preserve">                                  日期：    年   月   日</w:t>
      </w:r>
    </w:p>
    <w:p w14:paraId="1E1BA136">
      <w:pPr>
        <w:rPr>
          <w:rFonts w:hint="eastAsia" w:ascii="宋体" w:hAnsi="宋体" w:cs="宋体"/>
          <w:color w:val="auto"/>
          <w:highlight w:val="none"/>
        </w:rPr>
      </w:pPr>
      <w:r>
        <w:rPr>
          <w:rFonts w:hint="eastAsia" w:ascii="宋体" w:hAnsi="宋体" w:cs="宋体"/>
          <w:b/>
          <w:bCs/>
          <w:color w:val="auto"/>
          <w:sz w:val="24"/>
          <w:highlight w:val="none"/>
        </w:rPr>
        <w:br w:type="page"/>
      </w:r>
      <w:bookmarkStart w:id="195" w:name="_Toc19686837"/>
      <w:r>
        <w:rPr>
          <w:rFonts w:hint="eastAsia" w:ascii="宋体" w:hAnsi="宋体" w:cs="宋体"/>
          <w:b/>
          <w:color w:val="auto"/>
          <w:sz w:val="24"/>
          <w:highlight w:val="none"/>
        </w:rPr>
        <w:t>3.中小企业声明函格式</w:t>
      </w:r>
    </w:p>
    <w:p w14:paraId="3ABC7C49">
      <w:pPr>
        <w:rPr>
          <w:rFonts w:hint="eastAsia" w:ascii="宋体" w:hAnsi="宋体" w:cs="宋体"/>
          <w:color w:val="auto"/>
          <w:highlight w:val="none"/>
        </w:rPr>
      </w:pPr>
    </w:p>
    <w:p w14:paraId="10DA7BDA">
      <w:pPr>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中小企业声明函（服务）</w:t>
      </w:r>
    </w:p>
    <w:p w14:paraId="3284FC99">
      <w:pPr>
        <w:spacing w:before="2" w:line="500" w:lineRule="exact"/>
        <w:rPr>
          <w:rFonts w:hint="eastAsia" w:ascii="宋体" w:hAnsi="宋体" w:cs="宋体"/>
          <w:b/>
          <w:bCs/>
          <w:color w:val="auto"/>
          <w:szCs w:val="21"/>
          <w:highlight w:val="none"/>
        </w:rPr>
      </w:pPr>
    </w:p>
    <w:p w14:paraId="1AA22346">
      <w:pPr>
        <w:pStyle w:val="15"/>
        <w:keepNext w:val="0"/>
        <w:keepLines w:val="0"/>
        <w:pageBreakBefore w:val="0"/>
        <w:widowControl w:val="0"/>
        <w:kinsoku/>
        <w:wordWrap/>
        <w:overflowPunct/>
        <w:topLinePunct w:val="0"/>
        <w:autoSpaceDE/>
        <w:autoSpaceDN/>
        <w:bidi w:val="0"/>
        <w:adjustRightInd/>
        <w:snapToGrid/>
        <w:spacing w:line="400" w:lineRule="exact"/>
        <w:ind w:right="142"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本公司（联合体）郑重声明，根据《政府采购促进中小企业发展管理办法》（财库﹝2020﹞46号）的规定，本公司（联合体）参加</w:t>
      </w:r>
      <w:r>
        <w:rPr>
          <w:rFonts w:hint="eastAsia" w:ascii="宋体" w:hAnsi="宋体" w:cs="宋体"/>
          <w:color w:val="auto"/>
          <w:szCs w:val="21"/>
          <w:highlight w:val="none"/>
          <w:u w:val="single"/>
        </w:rPr>
        <w:t>（单位名称）</w:t>
      </w:r>
      <w:r>
        <w:rPr>
          <w:rFonts w:hint="eastAsia" w:ascii="宋体" w:hAnsi="宋体" w:cs="宋体"/>
          <w:color w:val="auto"/>
          <w:szCs w:val="21"/>
          <w:highlight w:val="none"/>
        </w:rPr>
        <w:t>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采购活动，服务全部由符合政策要求的中小企业承接。相关企业（含联合体中的中小企业、签订分包意向协议的中小企业）的具体情况如下：</w:t>
      </w:r>
    </w:p>
    <w:p w14:paraId="65DCD61E">
      <w:pPr>
        <w:keepNext w:val="0"/>
        <w:keepLines w:val="0"/>
        <w:pageBreakBefore w:val="0"/>
        <w:widowControl w:val="0"/>
        <w:tabs>
          <w:tab w:val="left" w:pos="1384"/>
          <w:tab w:val="left" w:pos="4562"/>
          <w:tab w:val="left" w:pos="6803"/>
        </w:tabs>
        <w:kinsoku/>
        <w:wordWrap/>
        <w:overflowPunct/>
        <w:topLinePunct w:val="0"/>
        <w:autoSpaceDE/>
        <w:autoSpaceDN/>
        <w:bidi w:val="0"/>
        <w:adjustRightInd/>
        <w:snapToGrid/>
        <w:spacing w:before="13" w:line="400" w:lineRule="exact"/>
        <w:ind w:right="142" w:firstLine="600" w:firstLineChars="286"/>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2FD264F5">
      <w:pPr>
        <w:pStyle w:val="15"/>
        <w:keepNext w:val="0"/>
        <w:keepLines w:val="0"/>
        <w:pageBreakBefore w:val="0"/>
        <w:widowControl w:val="0"/>
        <w:kinsoku/>
        <w:wordWrap/>
        <w:overflowPunct/>
        <w:topLinePunct w:val="0"/>
        <w:autoSpaceDE/>
        <w:autoSpaceDN/>
        <w:bidi w:val="0"/>
        <w:adjustRightInd/>
        <w:snapToGrid/>
        <w:spacing w:before="34" w:line="400" w:lineRule="exact"/>
        <w:ind w:left="765" w:right="142" w:hanging="5"/>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28E5C44A">
      <w:pPr>
        <w:pStyle w:val="15"/>
        <w:keepNext w:val="0"/>
        <w:keepLines w:val="0"/>
        <w:pageBreakBefore w:val="0"/>
        <w:widowControl w:val="0"/>
        <w:kinsoku/>
        <w:wordWrap/>
        <w:overflowPunct/>
        <w:topLinePunct w:val="0"/>
        <w:autoSpaceDE/>
        <w:autoSpaceDN/>
        <w:bidi w:val="0"/>
        <w:adjustRightInd/>
        <w:snapToGrid/>
        <w:spacing w:before="34" w:line="400" w:lineRule="exact"/>
        <w:ind w:right="142"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w:t>
      </w:r>
    </w:p>
    <w:p w14:paraId="3AE5BB74">
      <w:pPr>
        <w:pStyle w:val="15"/>
        <w:keepNext w:val="0"/>
        <w:keepLines w:val="0"/>
        <w:pageBreakBefore w:val="0"/>
        <w:widowControl w:val="0"/>
        <w:kinsoku/>
        <w:wordWrap/>
        <w:overflowPunct/>
        <w:topLinePunct w:val="0"/>
        <w:autoSpaceDE/>
        <w:autoSpaceDN/>
        <w:bidi w:val="0"/>
        <w:adjustRightInd/>
        <w:snapToGrid/>
        <w:spacing w:before="34" w:line="400" w:lineRule="exact"/>
        <w:ind w:right="142"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本企业对上述声明内容的真实性负责。如有虚假，将依法承担相应责任。</w:t>
      </w:r>
    </w:p>
    <w:p w14:paraId="23A46BE3">
      <w:pPr>
        <w:pStyle w:val="15"/>
        <w:keepNext w:val="0"/>
        <w:keepLines w:val="0"/>
        <w:pageBreakBefore w:val="0"/>
        <w:widowControl w:val="0"/>
        <w:kinsoku/>
        <w:wordWrap/>
        <w:overflowPunct/>
        <w:topLinePunct w:val="0"/>
        <w:autoSpaceDE/>
        <w:autoSpaceDN/>
        <w:bidi w:val="0"/>
        <w:adjustRightInd/>
        <w:snapToGrid/>
        <w:spacing w:before="56" w:line="400" w:lineRule="exact"/>
        <w:ind w:left="3960" w:right="1808"/>
        <w:textAlignment w:val="auto"/>
        <w:rPr>
          <w:rFonts w:hint="eastAsia" w:ascii="宋体" w:hAnsi="宋体" w:cs="宋体"/>
          <w:color w:val="auto"/>
          <w:szCs w:val="21"/>
          <w:highlight w:val="none"/>
        </w:rPr>
      </w:pPr>
      <w:r>
        <w:rPr>
          <w:rFonts w:hint="eastAsia" w:ascii="宋体" w:hAnsi="宋体" w:cs="宋体"/>
          <w:color w:val="auto"/>
          <w:kern w:val="24"/>
          <w:szCs w:val="21"/>
          <w:highlight w:val="none"/>
        </w:rPr>
        <w:t>企业名称（电子签章）：</w:t>
      </w:r>
      <w:r>
        <w:rPr>
          <w:rFonts w:hint="eastAsia" w:ascii="宋体" w:hAnsi="宋体" w:cs="宋体"/>
          <w:color w:val="auto"/>
          <w:szCs w:val="21"/>
          <w:highlight w:val="none"/>
        </w:rPr>
        <w:t xml:space="preserve"> </w:t>
      </w:r>
    </w:p>
    <w:p w14:paraId="0BDC81DA">
      <w:pPr>
        <w:pStyle w:val="15"/>
        <w:keepNext w:val="0"/>
        <w:keepLines w:val="0"/>
        <w:pageBreakBefore w:val="0"/>
        <w:widowControl w:val="0"/>
        <w:kinsoku/>
        <w:wordWrap/>
        <w:overflowPunct/>
        <w:topLinePunct w:val="0"/>
        <w:autoSpaceDE/>
        <w:autoSpaceDN/>
        <w:bidi w:val="0"/>
        <w:adjustRightInd/>
        <w:snapToGrid/>
        <w:spacing w:before="56" w:line="400" w:lineRule="exact"/>
        <w:ind w:left="3960" w:right="1808"/>
        <w:textAlignment w:val="auto"/>
        <w:rPr>
          <w:rFonts w:hint="eastAsia" w:ascii="宋体" w:hAnsi="宋体" w:cs="宋体"/>
          <w:color w:val="auto"/>
          <w:szCs w:val="21"/>
          <w:highlight w:val="none"/>
        </w:rPr>
      </w:pPr>
      <w:r>
        <w:rPr>
          <w:rFonts w:hint="eastAsia" w:ascii="宋体" w:hAnsi="宋体" w:cs="宋体"/>
          <w:color w:val="auto"/>
          <w:szCs w:val="21"/>
          <w:highlight w:val="none"/>
        </w:rPr>
        <w:t>日 期：</w:t>
      </w:r>
    </w:p>
    <w:p w14:paraId="087D344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pacing w:val="6"/>
          <w:szCs w:val="21"/>
          <w:highlight w:val="none"/>
        </w:rPr>
        <w:t xml:space="preserve"> </w:t>
      </w:r>
    </w:p>
    <w:p w14:paraId="5CBB6C5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color w:val="auto"/>
          <w:sz w:val="24"/>
          <w:highlight w:val="none"/>
        </w:rPr>
      </w:pPr>
      <w:r>
        <w:rPr>
          <w:rFonts w:hint="eastAsia" w:ascii="宋体" w:hAnsi="宋体" w:cs="宋体"/>
          <w:color w:val="auto"/>
          <w:szCs w:val="21"/>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r>
        <w:rPr>
          <w:rFonts w:hint="eastAsia" w:ascii="宋体" w:hAnsi="宋体" w:cs="宋体"/>
          <w:color w:val="auto"/>
          <w:highlight w:val="none"/>
        </w:rPr>
        <w:br w:type="page"/>
      </w:r>
      <w:r>
        <w:rPr>
          <w:rFonts w:hint="eastAsia" w:ascii="宋体" w:hAnsi="宋体" w:cs="宋体"/>
          <w:color w:val="auto"/>
          <w:highlight w:val="none"/>
        </w:rPr>
        <w:t>4</w:t>
      </w:r>
      <w:r>
        <w:rPr>
          <w:rFonts w:hint="eastAsia" w:ascii="宋体" w:hAnsi="宋体" w:cs="宋体"/>
          <w:b/>
          <w:color w:val="auto"/>
          <w:sz w:val="24"/>
          <w:highlight w:val="none"/>
        </w:rPr>
        <w:t>.残疾人福利性单位声明函格式</w:t>
      </w:r>
    </w:p>
    <w:p w14:paraId="71A39D6D">
      <w:pPr>
        <w:spacing w:line="588" w:lineRule="exact"/>
        <w:jc w:val="center"/>
        <w:rPr>
          <w:rFonts w:hint="eastAsia" w:ascii="宋体" w:hAnsi="宋体" w:cs="宋体"/>
          <w:b/>
          <w:color w:val="auto"/>
          <w:spacing w:val="6"/>
          <w:sz w:val="32"/>
          <w:szCs w:val="32"/>
          <w:highlight w:val="none"/>
        </w:rPr>
      </w:pPr>
    </w:p>
    <w:p w14:paraId="43E4B74F">
      <w:pPr>
        <w:spacing w:line="588" w:lineRule="exact"/>
        <w:jc w:val="center"/>
        <w:rPr>
          <w:rFonts w:hint="eastAsia" w:ascii="宋体" w:hAnsi="宋体" w:cs="宋体"/>
          <w:b/>
          <w:bCs/>
          <w:color w:val="auto"/>
          <w:spacing w:val="6"/>
          <w:sz w:val="30"/>
          <w:szCs w:val="30"/>
          <w:highlight w:val="none"/>
        </w:rPr>
      </w:pPr>
      <w:r>
        <w:rPr>
          <w:rFonts w:hint="eastAsia" w:ascii="宋体" w:hAnsi="宋体" w:cs="宋体"/>
          <w:b/>
          <w:bCs/>
          <w:color w:val="auto"/>
          <w:spacing w:val="6"/>
          <w:sz w:val="30"/>
          <w:szCs w:val="30"/>
          <w:highlight w:val="none"/>
        </w:rPr>
        <w:t>残疾人福利性单位声明函</w:t>
      </w:r>
    </w:p>
    <w:p w14:paraId="726EE755">
      <w:pPr>
        <w:spacing w:line="588" w:lineRule="exact"/>
        <w:rPr>
          <w:rFonts w:hint="eastAsia" w:ascii="宋体" w:hAnsi="宋体" w:cs="宋体"/>
          <w:b/>
          <w:color w:val="auto"/>
          <w:spacing w:val="6"/>
          <w:sz w:val="30"/>
          <w:szCs w:val="30"/>
          <w:highlight w:val="none"/>
        </w:rPr>
      </w:pPr>
    </w:p>
    <w:p w14:paraId="6BB4C69C">
      <w:pPr>
        <w:keepNext w:val="0"/>
        <w:keepLines w:val="0"/>
        <w:pageBreakBefore w:val="0"/>
        <w:widowControl w:val="0"/>
        <w:kinsoku/>
        <w:wordWrap/>
        <w:overflowPunct/>
        <w:topLinePunct w:val="0"/>
        <w:autoSpaceDE/>
        <w:autoSpaceDN/>
        <w:bidi w:val="0"/>
        <w:adjustRightInd/>
        <w:snapToGrid/>
        <w:spacing w:line="400" w:lineRule="exact"/>
        <w:ind w:firstLine="444" w:firstLineChars="200"/>
        <w:textAlignment w:val="auto"/>
        <w:rPr>
          <w:rFonts w:hint="eastAsia" w:ascii="宋体" w:hAnsi="宋体" w:cs="宋体"/>
          <w:color w:val="auto"/>
          <w:spacing w:val="6"/>
          <w:szCs w:val="21"/>
          <w:highlight w:val="none"/>
        </w:rPr>
      </w:pPr>
      <w:r>
        <w:rPr>
          <w:rFonts w:hint="eastAsia" w:ascii="宋体" w:hAnsi="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cs="宋体"/>
          <w:color w:val="auto"/>
          <w:spacing w:val="6"/>
          <w:szCs w:val="21"/>
          <w:highlight w:val="none"/>
          <w:lang w:eastAsia="zh-CN"/>
        </w:rPr>
        <w:t>〔2017〕141号</w:t>
      </w:r>
      <w:r>
        <w:rPr>
          <w:rFonts w:hint="eastAsia" w:ascii="宋体" w:hAnsi="宋体" w:cs="宋体"/>
          <w:color w:val="auto"/>
          <w:spacing w:val="6"/>
          <w:szCs w:val="21"/>
          <w:highlight w:val="none"/>
        </w:rPr>
        <w:t>）的规定，本单位为符合条件的残疾人福利性单位，且本单位参加______单位的______项目采购活动提供本单位制造的货物（由本单位承担工程/提供服务），或者提供其他残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auto"/>
          <w:spacing w:val="-6"/>
          <w:szCs w:val="21"/>
          <w:highlight w:val="none"/>
        </w:rPr>
        <w:t>疾人福利性单位制造的货物（不包括使用非残疾人福利性单位注册商标的货物）。</w:t>
      </w:r>
    </w:p>
    <w:p w14:paraId="6E4C8640">
      <w:pPr>
        <w:keepNext w:val="0"/>
        <w:keepLines w:val="0"/>
        <w:pageBreakBefore w:val="0"/>
        <w:widowControl w:val="0"/>
        <w:kinsoku/>
        <w:wordWrap/>
        <w:overflowPunct/>
        <w:topLinePunct w:val="0"/>
        <w:autoSpaceDE/>
        <w:autoSpaceDN/>
        <w:bidi w:val="0"/>
        <w:adjustRightInd/>
        <w:snapToGrid/>
        <w:spacing w:line="400" w:lineRule="exact"/>
        <w:ind w:firstLine="444" w:firstLineChars="200"/>
        <w:textAlignment w:val="auto"/>
        <w:rPr>
          <w:rFonts w:hint="eastAsia" w:ascii="宋体" w:hAnsi="宋体" w:cs="宋体"/>
          <w:color w:val="auto"/>
          <w:spacing w:val="6"/>
          <w:szCs w:val="21"/>
          <w:highlight w:val="none"/>
        </w:rPr>
      </w:pPr>
      <w:r>
        <w:rPr>
          <w:rFonts w:hint="eastAsia" w:ascii="宋体" w:hAnsi="宋体" w:cs="宋体"/>
          <w:color w:val="auto"/>
          <w:spacing w:val="6"/>
          <w:szCs w:val="21"/>
          <w:highlight w:val="none"/>
        </w:rPr>
        <w:t>本单位对上述声明的真实性负责。如有虚假，将依法承担相应责任。</w:t>
      </w:r>
    </w:p>
    <w:p w14:paraId="16B9999E">
      <w:pPr>
        <w:keepNext w:val="0"/>
        <w:keepLines w:val="0"/>
        <w:pageBreakBefore w:val="0"/>
        <w:widowControl w:val="0"/>
        <w:kinsoku/>
        <w:wordWrap/>
        <w:overflowPunct/>
        <w:topLinePunct w:val="0"/>
        <w:autoSpaceDE/>
        <w:autoSpaceDN/>
        <w:bidi w:val="0"/>
        <w:adjustRightInd/>
        <w:snapToGrid/>
        <w:spacing w:line="400" w:lineRule="exact"/>
        <w:ind w:firstLine="444" w:firstLineChars="200"/>
        <w:textAlignment w:val="auto"/>
        <w:rPr>
          <w:rFonts w:hint="eastAsia" w:ascii="宋体" w:hAnsi="宋体" w:cs="宋体"/>
          <w:color w:val="auto"/>
          <w:spacing w:val="6"/>
          <w:szCs w:val="21"/>
          <w:highlight w:val="none"/>
        </w:rPr>
      </w:pPr>
    </w:p>
    <w:p w14:paraId="0304AEFB">
      <w:pPr>
        <w:keepNext w:val="0"/>
        <w:keepLines w:val="0"/>
        <w:pageBreakBefore w:val="0"/>
        <w:widowControl w:val="0"/>
        <w:kinsoku/>
        <w:wordWrap/>
        <w:overflowPunct/>
        <w:topLinePunct w:val="0"/>
        <w:autoSpaceDE/>
        <w:autoSpaceDN/>
        <w:bidi w:val="0"/>
        <w:adjustRightInd/>
        <w:snapToGrid/>
        <w:spacing w:line="400" w:lineRule="exact"/>
        <w:ind w:firstLine="444" w:firstLineChars="200"/>
        <w:textAlignment w:val="auto"/>
        <w:rPr>
          <w:rFonts w:hint="eastAsia" w:ascii="宋体" w:hAnsi="宋体" w:cs="宋体"/>
          <w:color w:val="auto"/>
          <w:spacing w:val="6"/>
          <w:szCs w:val="21"/>
          <w:highlight w:val="none"/>
        </w:rPr>
      </w:pPr>
    </w:p>
    <w:p w14:paraId="5CB7CA7F">
      <w:pPr>
        <w:keepNext w:val="0"/>
        <w:keepLines w:val="0"/>
        <w:pageBreakBefore w:val="0"/>
        <w:widowControl w:val="0"/>
        <w:tabs>
          <w:tab w:val="left" w:pos="4860"/>
        </w:tabs>
        <w:kinsoku/>
        <w:wordWrap/>
        <w:overflowPunct/>
        <w:topLinePunct w:val="0"/>
        <w:autoSpaceDE/>
        <w:autoSpaceDN/>
        <w:bidi w:val="0"/>
        <w:adjustRightInd/>
        <w:snapToGrid/>
        <w:spacing w:line="400" w:lineRule="exact"/>
        <w:ind w:right="1560" w:firstLine="444" w:firstLineChars="200"/>
        <w:contextualSpacing/>
        <w:jc w:val="center"/>
        <w:textAlignment w:val="auto"/>
        <w:rPr>
          <w:rFonts w:hint="eastAsia" w:ascii="宋体" w:hAnsi="宋体" w:cs="宋体"/>
          <w:color w:val="auto"/>
          <w:spacing w:val="6"/>
          <w:szCs w:val="21"/>
          <w:highlight w:val="none"/>
        </w:rPr>
      </w:pPr>
      <w:r>
        <w:rPr>
          <w:rFonts w:hint="eastAsia" w:ascii="宋体" w:hAnsi="宋体" w:cs="宋体"/>
          <w:color w:val="auto"/>
          <w:spacing w:val="6"/>
          <w:szCs w:val="21"/>
          <w:highlight w:val="none"/>
        </w:rPr>
        <w:t>单位名称（电子签章）：</w:t>
      </w:r>
    </w:p>
    <w:p w14:paraId="322AAE1A">
      <w:pPr>
        <w:keepNext w:val="0"/>
        <w:keepLines w:val="0"/>
        <w:pageBreakBefore w:val="0"/>
        <w:widowControl w:val="0"/>
        <w:tabs>
          <w:tab w:val="left" w:pos="4860"/>
        </w:tabs>
        <w:kinsoku/>
        <w:wordWrap/>
        <w:overflowPunct/>
        <w:topLinePunct w:val="0"/>
        <w:autoSpaceDE/>
        <w:autoSpaceDN/>
        <w:bidi w:val="0"/>
        <w:adjustRightInd/>
        <w:snapToGrid/>
        <w:spacing w:line="400" w:lineRule="exact"/>
        <w:ind w:right="1560" w:firstLine="444" w:firstLineChars="200"/>
        <w:contextualSpacing/>
        <w:jc w:val="center"/>
        <w:textAlignment w:val="auto"/>
        <w:rPr>
          <w:rFonts w:hint="eastAsia" w:ascii="宋体" w:hAnsi="宋体" w:cs="宋体"/>
          <w:color w:val="auto"/>
          <w:spacing w:val="6"/>
          <w:szCs w:val="21"/>
          <w:highlight w:val="none"/>
        </w:rPr>
      </w:pPr>
      <w:r>
        <w:rPr>
          <w:rFonts w:hint="eastAsia" w:ascii="宋体" w:hAnsi="宋体" w:cs="宋体"/>
          <w:color w:val="auto"/>
          <w:spacing w:val="6"/>
          <w:szCs w:val="21"/>
          <w:highlight w:val="none"/>
        </w:rPr>
        <w:t>日  期：</w:t>
      </w:r>
    </w:p>
    <w:p w14:paraId="4EAFB08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p>
    <w:p w14:paraId="71D6B02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p>
    <w:p w14:paraId="4538BED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p>
    <w:p w14:paraId="7F37077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111BC58B">
      <w:pPr>
        <w:ind w:firstLine="3990" w:firstLineChars="1900"/>
        <w:rPr>
          <w:rFonts w:hint="eastAsia" w:ascii="宋体" w:hAnsi="宋体" w:cs="宋体"/>
          <w:color w:val="auto"/>
          <w:szCs w:val="21"/>
          <w:highlight w:val="none"/>
        </w:rPr>
      </w:pPr>
    </w:p>
    <w:p w14:paraId="7A433EA7">
      <w:pPr>
        <w:spacing w:line="360" w:lineRule="auto"/>
        <w:rPr>
          <w:rFonts w:hint="eastAsia"/>
          <w:color w:val="auto"/>
          <w:szCs w:val="21"/>
          <w:highlight w:val="none"/>
        </w:rPr>
      </w:pPr>
    </w:p>
    <w:p w14:paraId="6483FBA8">
      <w:pPr>
        <w:rPr>
          <w:rFonts w:hint="eastAsia"/>
          <w:color w:val="auto"/>
          <w:szCs w:val="21"/>
          <w:highlight w:val="none"/>
        </w:rPr>
      </w:pPr>
    </w:p>
    <w:p w14:paraId="2B7BACA7">
      <w:pPr>
        <w:spacing w:line="360" w:lineRule="auto"/>
        <w:rPr>
          <w:rFonts w:hint="eastAsia"/>
          <w:color w:val="auto"/>
          <w:highlight w:val="none"/>
        </w:rPr>
      </w:pPr>
    </w:p>
    <w:p w14:paraId="4206CD70">
      <w:pPr>
        <w:spacing w:line="360" w:lineRule="auto"/>
        <w:rPr>
          <w:rFonts w:hint="eastAsia"/>
          <w:color w:val="auto"/>
          <w:highlight w:val="none"/>
        </w:rPr>
      </w:pPr>
    </w:p>
    <w:p w14:paraId="47349EE0">
      <w:pPr>
        <w:rPr>
          <w:rFonts w:hint="eastAsia" w:ascii="宋体" w:hAnsi="宋体" w:cs="宋体"/>
          <w:color w:val="auto"/>
          <w:sz w:val="24"/>
          <w:highlight w:val="none"/>
        </w:rPr>
      </w:pPr>
    </w:p>
    <w:p w14:paraId="1F8AF43D">
      <w:pPr>
        <w:pStyle w:val="3"/>
        <w:rPr>
          <w:rFonts w:hint="eastAsia"/>
          <w:color w:val="auto"/>
          <w:highlight w:val="none"/>
        </w:rPr>
      </w:pPr>
      <w:r>
        <w:rPr>
          <w:rFonts w:hint="eastAsia"/>
          <w:color w:val="auto"/>
          <w:highlight w:val="none"/>
        </w:rPr>
        <w:br w:type="page"/>
      </w:r>
      <w:bookmarkStart w:id="196" w:name="_Toc23452"/>
      <w:bookmarkStart w:id="197" w:name="_Toc560"/>
      <w:r>
        <w:rPr>
          <w:rFonts w:hint="eastAsia"/>
          <w:color w:val="auto"/>
          <w:highlight w:val="none"/>
        </w:rPr>
        <w:t>二、资格证明文件格式</w:t>
      </w:r>
      <w:bookmarkEnd w:id="193"/>
      <w:bookmarkEnd w:id="194"/>
      <w:bookmarkEnd w:id="195"/>
      <w:bookmarkEnd w:id="196"/>
      <w:bookmarkEnd w:id="197"/>
    </w:p>
    <w:p w14:paraId="6BE04721">
      <w:pPr>
        <w:snapToGrid w:val="0"/>
        <w:spacing w:before="120" w:beforeLines="50" w:after="50"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 xml:space="preserve">1.资格证明文件封面格式： </w:t>
      </w:r>
    </w:p>
    <w:p w14:paraId="6042FF78">
      <w:pPr>
        <w:snapToGrid w:val="0"/>
        <w:spacing w:before="120" w:beforeLines="50" w:after="50"/>
        <w:jc w:val="center"/>
        <w:rPr>
          <w:rFonts w:hint="eastAsia" w:ascii="宋体" w:hAnsi="宋体" w:cs="宋体"/>
          <w:bCs/>
          <w:color w:val="auto"/>
          <w:sz w:val="48"/>
          <w:szCs w:val="48"/>
          <w:highlight w:val="none"/>
        </w:rPr>
      </w:pPr>
    </w:p>
    <w:p w14:paraId="7D8EC6BF">
      <w:pPr>
        <w:snapToGrid w:val="0"/>
        <w:spacing w:before="120" w:beforeLines="50" w:after="50"/>
        <w:jc w:val="center"/>
        <w:rPr>
          <w:rFonts w:hint="eastAsia" w:ascii="宋体" w:hAnsi="宋体" w:cs="宋体"/>
          <w:bCs/>
          <w:color w:val="auto"/>
          <w:sz w:val="48"/>
          <w:szCs w:val="48"/>
          <w:highlight w:val="none"/>
        </w:rPr>
      </w:pPr>
    </w:p>
    <w:p w14:paraId="18F98771">
      <w:pPr>
        <w:snapToGrid w:val="0"/>
        <w:spacing w:before="120" w:beforeLines="50" w:after="50"/>
        <w:jc w:val="center"/>
        <w:rPr>
          <w:rFonts w:hint="eastAsia"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7B0BB3E7">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highlight w:val="none"/>
        </w:rPr>
        <w:t xml:space="preserve">                 </w:t>
      </w:r>
    </w:p>
    <w:p w14:paraId="11B1487D">
      <w:pPr>
        <w:snapToGrid w:val="0"/>
        <w:spacing w:before="120" w:beforeLines="50" w:after="50"/>
        <w:jc w:val="center"/>
        <w:rPr>
          <w:rFonts w:hint="eastAsia" w:ascii="宋体" w:hAnsi="宋体" w:cs="宋体"/>
          <w:b/>
          <w:color w:val="auto"/>
          <w:sz w:val="24"/>
          <w:szCs w:val="20"/>
          <w:highlight w:val="none"/>
        </w:rPr>
      </w:pPr>
      <w:r>
        <w:rPr>
          <w:rFonts w:hint="eastAsia" w:ascii="宋体" w:hAnsi="宋体" w:cs="宋体"/>
          <w:b/>
          <w:color w:val="auto"/>
          <w:sz w:val="32"/>
          <w:szCs w:val="32"/>
          <w:highlight w:val="none"/>
        </w:rPr>
        <w:t>资格证明文件</w:t>
      </w:r>
    </w:p>
    <w:p w14:paraId="494F14C9">
      <w:pPr>
        <w:snapToGrid w:val="0"/>
        <w:spacing w:before="120" w:beforeLines="50" w:after="50"/>
        <w:rPr>
          <w:rFonts w:hint="eastAsia" w:ascii="宋体" w:hAnsi="宋体" w:cs="宋体"/>
          <w:bCs/>
          <w:color w:val="auto"/>
          <w:sz w:val="24"/>
          <w:szCs w:val="20"/>
          <w:highlight w:val="none"/>
        </w:rPr>
      </w:pPr>
    </w:p>
    <w:p w14:paraId="41FE6C4B">
      <w:pPr>
        <w:snapToGrid w:val="0"/>
        <w:spacing w:before="120" w:beforeLines="50" w:after="50"/>
        <w:rPr>
          <w:rFonts w:hint="eastAsia" w:ascii="宋体" w:hAnsi="宋体" w:cs="宋体"/>
          <w:bCs/>
          <w:color w:val="auto"/>
          <w:sz w:val="24"/>
          <w:szCs w:val="20"/>
          <w:highlight w:val="none"/>
        </w:rPr>
      </w:pPr>
    </w:p>
    <w:p w14:paraId="5D6E2CCD">
      <w:pPr>
        <w:snapToGrid w:val="0"/>
        <w:spacing w:before="120" w:beforeLines="50" w:after="50"/>
        <w:rPr>
          <w:rFonts w:hint="eastAsia" w:ascii="宋体" w:hAnsi="宋体" w:cs="宋体"/>
          <w:bCs/>
          <w:color w:val="auto"/>
          <w:sz w:val="24"/>
          <w:szCs w:val="20"/>
          <w:highlight w:val="none"/>
        </w:rPr>
      </w:pPr>
    </w:p>
    <w:p w14:paraId="456F0BC2">
      <w:pPr>
        <w:snapToGrid w:val="0"/>
        <w:spacing w:before="120" w:beforeLines="50" w:after="50"/>
        <w:rPr>
          <w:rFonts w:hint="eastAsia" w:ascii="宋体" w:hAnsi="宋体" w:cs="宋体"/>
          <w:bCs/>
          <w:color w:val="auto"/>
          <w:sz w:val="24"/>
          <w:szCs w:val="20"/>
          <w:highlight w:val="none"/>
        </w:rPr>
      </w:pPr>
    </w:p>
    <w:p w14:paraId="36349652">
      <w:pPr>
        <w:snapToGrid w:val="0"/>
        <w:spacing w:before="120" w:beforeLines="50" w:after="50"/>
        <w:rPr>
          <w:rFonts w:hint="eastAsia" w:ascii="宋体" w:hAnsi="宋体" w:cs="宋体"/>
          <w:bCs/>
          <w:color w:val="auto"/>
          <w:sz w:val="24"/>
          <w:szCs w:val="20"/>
          <w:highlight w:val="none"/>
        </w:rPr>
      </w:pPr>
    </w:p>
    <w:p w14:paraId="0F0CE634">
      <w:pPr>
        <w:snapToGrid w:val="0"/>
        <w:spacing w:before="120" w:beforeLines="50" w:after="50"/>
        <w:rPr>
          <w:rFonts w:hint="eastAsia" w:ascii="宋体" w:hAnsi="宋体" w:cs="宋体"/>
          <w:bCs/>
          <w:color w:val="auto"/>
          <w:sz w:val="24"/>
          <w:szCs w:val="20"/>
          <w:highlight w:val="none"/>
        </w:rPr>
      </w:pPr>
    </w:p>
    <w:p w14:paraId="383E448D">
      <w:pPr>
        <w:snapToGrid w:val="0"/>
        <w:spacing w:before="120" w:beforeLines="50" w:after="50"/>
        <w:rPr>
          <w:rFonts w:hint="eastAsia" w:ascii="宋体" w:hAnsi="宋体" w:cs="宋体"/>
          <w:bCs/>
          <w:color w:val="auto"/>
          <w:sz w:val="24"/>
          <w:szCs w:val="20"/>
          <w:highlight w:val="none"/>
        </w:rPr>
      </w:pPr>
    </w:p>
    <w:p w14:paraId="6DE4E2DF">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项目名称：</w:t>
      </w:r>
    </w:p>
    <w:p w14:paraId="199B071A">
      <w:pPr>
        <w:snapToGrid w:val="0"/>
        <w:spacing w:before="120" w:beforeLines="50" w:after="50"/>
        <w:ind w:firstLine="540" w:firstLineChars="225"/>
        <w:rPr>
          <w:rFonts w:hint="eastAsia" w:ascii="宋体" w:hAnsi="宋体" w:cs="宋体"/>
          <w:bCs/>
          <w:color w:val="auto"/>
          <w:sz w:val="24"/>
          <w:szCs w:val="20"/>
          <w:highlight w:val="none"/>
        </w:rPr>
      </w:pPr>
    </w:p>
    <w:p w14:paraId="69E5E996">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项目编号：</w:t>
      </w:r>
    </w:p>
    <w:p w14:paraId="5E18C5D6">
      <w:pPr>
        <w:snapToGrid w:val="0"/>
        <w:spacing w:before="120" w:beforeLines="50" w:after="50"/>
        <w:ind w:firstLine="540" w:firstLineChars="225"/>
        <w:rPr>
          <w:rFonts w:hint="eastAsia" w:ascii="宋体" w:hAnsi="宋体" w:cs="宋体"/>
          <w:bCs/>
          <w:color w:val="auto"/>
          <w:sz w:val="24"/>
          <w:szCs w:val="20"/>
          <w:highlight w:val="none"/>
        </w:rPr>
      </w:pPr>
    </w:p>
    <w:p w14:paraId="3C896F6D">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7FF93B8F">
      <w:pPr>
        <w:pStyle w:val="9"/>
        <w:snapToGrid w:val="0"/>
        <w:spacing w:before="50" w:after="50"/>
        <w:ind w:firstLine="540" w:firstLineChars="225"/>
        <w:rPr>
          <w:rFonts w:hint="eastAsia" w:ascii="宋体" w:hAnsi="宋体" w:cs="宋体"/>
          <w:bCs/>
          <w:color w:val="auto"/>
          <w:sz w:val="24"/>
          <w:szCs w:val="24"/>
          <w:highlight w:val="none"/>
        </w:rPr>
      </w:pPr>
    </w:p>
    <w:p w14:paraId="375DA2D6">
      <w:pPr>
        <w:pStyle w:val="9"/>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05EB0F23">
      <w:pPr>
        <w:pStyle w:val="9"/>
        <w:snapToGrid w:val="0"/>
        <w:spacing w:before="50" w:after="50"/>
        <w:ind w:firstLine="540" w:firstLineChars="225"/>
        <w:rPr>
          <w:rFonts w:hint="eastAsia" w:ascii="宋体" w:hAnsi="宋体" w:cs="宋体"/>
          <w:bCs/>
          <w:color w:val="auto"/>
          <w:sz w:val="24"/>
          <w:szCs w:val="24"/>
          <w:highlight w:val="none"/>
        </w:rPr>
      </w:pPr>
    </w:p>
    <w:p w14:paraId="453714C5">
      <w:pPr>
        <w:pStyle w:val="9"/>
        <w:snapToGrid w:val="0"/>
        <w:spacing w:before="50" w:after="50"/>
        <w:ind w:firstLine="960" w:firstLineChars="400"/>
        <w:rPr>
          <w:rFonts w:hint="eastAsia" w:ascii="宋体" w:hAnsi="宋体" w:cs="宋体"/>
          <w:bCs/>
          <w:color w:val="auto"/>
          <w:sz w:val="24"/>
          <w:szCs w:val="24"/>
          <w:highlight w:val="none"/>
        </w:rPr>
      </w:pPr>
    </w:p>
    <w:p w14:paraId="0FCE31D5">
      <w:pPr>
        <w:snapToGrid w:val="0"/>
        <w:spacing w:before="120" w:beforeLines="50" w:after="50"/>
        <w:ind w:firstLine="645"/>
        <w:jc w:val="center"/>
        <w:rPr>
          <w:rFonts w:hint="eastAsia" w:ascii="宋体" w:hAnsi="宋体" w:cs="宋体"/>
          <w:color w:val="auto"/>
          <w:sz w:val="24"/>
          <w:highlight w:val="none"/>
        </w:rPr>
      </w:pPr>
      <w:r>
        <w:rPr>
          <w:rFonts w:hint="eastAsia" w:ascii="宋体" w:hAnsi="宋体" w:cs="宋体"/>
          <w:color w:val="auto"/>
          <w:sz w:val="24"/>
          <w:highlight w:val="none"/>
        </w:rPr>
        <w:t>年  月  日</w:t>
      </w:r>
    </w:p>
    <w:p w14:paraId="707EC23E">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7DD6D527">
      <w:pPr>
        <w:snapToGrid w:val="0"/>
        <w:spacing w:before="120" w:beforeLines="50" w:after="50"/>
        <w:rPr>
          <w:rFonts w:hint="eastAsia" w:ascii="宋体" w:hAnsi="宋体" w:cs="宋体"/>
          <w:color w:val="auto"/>
          <w:sz w:val="24"/>
          <w:szCs w:val="20"/>
          <w:highlight w:val="none"/>
        </w:rPr>
      </w:pPr>
    </w:p>
    <w:p w14:paraId="165D502B">
      <w:pPr>
        <w:snapToGrid w:val="0"/>
        <w:spacing w:before="120" w:beforeLines="50" w:after="50" w:line="360" w:lineRule="auto"/>
        <w:ind w:firstLine="120" w:firstLineChars="50"/>
        <w:jc w:val="left"/>
        <w:rPr>
          <w:rFonts w:hint="eastAsia" w:ascii="宋体" w:hAnsi="宋体" w:cs="宋体"/>
          <w:color w:val="auto"/>
          <w:sz w:val="24"/>
          <w:szCs w:val="20"/>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2.资格证明文件目录</w:t>
      </w:r>
    </w:p>
    <w:p w14:paraId="705D696A">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根据招标文件规定及投标人提供的材料自行编写目录。</w:t>
      </w:r>
    </w:p>
    <w:p w14:paraId="38566ACA">
      <w:pPr>
        <w:snapToGrid w:val="0"/>
        <w:spacing w:before="50" w:after="120" w:afterLines="50"/>
        <w:jc w:val="left"/>
        <w:rPr>
          <w:rFonts w:hint="eastAsia" w:ascii="宋体" w:hAnsi="宋体" w:cs="宋体"/>
          <w:color w:val="auto"/>
          <w:sz w:val="24"/>
          <w:highlight w:val="none"/>
        </w:rPr>
      </w:pPr>
    </w:p>
    <w:p w14:paraId="12A08D47">
      <w:pPr>
        <w:snapToGrid w:val="0"/>
        <w:spacing w:before="50" w:after="120" w:afterLines="50"/>
        <w:jc w:val="left"/>
        <w:rPr>
          <w:rFonts w:hint="eastAsia" w:ascii="宋体" w:hAnsi="宋体" w:cs="宋体"/>
          <w:color w:val="auto"/>
          <w:sz w:val="24"/>
          <w:highlight w:val="none"/>
        </w:rPr>
      </w:pPr>
    </w:p>
    <w:p w14:paraId="2E0379F6">
      <w:pPr>
        <w:snapToGrid w:val="0"/>
        <w:spacing w:before="120" w:beforeLines="50" w:after="50"/>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w:t>
      </w:r>
      <w:r>
        <w:rPr>
          <w:rFonts w:hint="eastAsia" w:ascii="宋体" w:hAnsi="宋体" w:cs="宋体"/>
          <w:b/>
          <w:color w:val="auto"/>
          <w:sz w:val="28"/>
          <w:szCs w:val="28"/>
          <w:highlight w:val="none"/>
        </w:rPr>
        <w:t>投标人直接控股、管理关系信息表</w:t>
      </w:r>
    </w:p>
    <w:p w14:paraId="7D18D3B9">
      <w:pPr>
        <w:snapToGrid w:val="0"/>
        <w:spacing w:before="50" w:after="120" w:afterLines="50"/>
        <w:jc w:val="center"/>
        <w:rPr>
          <w:rFonts w:hint="eastAsia" w:ascii="宋体" w:hAnsi="宋体" w:cs="宋体"/>
          <w:b/>
          <w:color w:val="auto"/>
          <w:sz w:val="28"/>
          <w:szCs w:val="28"/>
          <w:highlight w:val="none"/>
        </w:rPr>
      </w:pPr>
    </w:p>
    <w:p w14:paraId="1B28170A">
      <w:pPr>
        <w:snapToGrid w:val="0"/>
        <w:spacing w:before="120" w:beforeLines="50" w:after="50"/>
        <w:ind w:left="420"/>
        <w:jc w:val="center"/>
        <w:rPr>
          <w:rFonts w:hint="eastAsia" w:ascii="宋体" w:hAnsi="宋体" w:cs="宋体"/>
          <w:bCs/>
          <w:color w:val="auto"/>
          <w:spacing w:val="-17"/>
          <w:sz w:val="44"/>
          <w:szCs w:val="44"/>
          <w:highlight w:val="none"/>
        </w:rPr>
      </w:pPr>
      <w:r>
        <w:rPr>
          <w:rFonts w:hint="eastAsia" w:ascii="宋体" w:hAnsi="宋体" w:cs="宋体"/>
          <w:bCs/>
          <w:color w:val="auto"/>
          <w:spacing w:val="-17"/>
          <w:sz w:val="44"/>
          <w:szCs w:val="44"/>
          <w:highlight w:val="none"/>
        </w:rPr>
        <w:t>供应商直接控股、管理关系信息表</w:t>
      </w:r>
    </w:p>
    <w:tbl>
      <w:tblPr>
        <w:tblStyle w:val="39"/>
        <w:tblW w:w="50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049"/>
        <w:gridCol w:w="803"/>
        <w:gridCol w:w="1484"/>
        <w:gridCol w:w="4510"/>
      </w:tblGrid>
      <w:tr w14:paraId="4A3D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386" w:type="pct"/>
            <w:gridSpan w:val="4"/>
            <w:shd w:val="clear" w:color="auto" w:fill="F2DBDB"/>
            <w:noWrap w:val="0"/>
            <w:vAlign w:val="center"/>
          </w:tcPr>
          <w:p w14:paraId="3B4C8920">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投标人直接控股股东信息表</w:t>
            </w:r>
          </w:p>
        </w:tc>
        <w:tc>
          <w:tcPr>
            <w:tcW w:w="2613" w:type="pct"/>
            <w:shd w:val="clear" w:color="auto" w:fill="F2DBDB"/>
            <w:noWrap w:val="0"/>
            <w:vAlign w:val="center"/>
          </w:tcPr>
          <w:p w14:paraId="72B784AD">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说明</w:t>
            </w:r>
          </w:p>
        </w:tc>
      </w:tr>
      <w:tr w14:paraId="0E1A8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31757FC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608" w:type="pct"/>
            <w:noWrap w:val="0"/>
            <w:vAlign w:val="center"/>
          </w:tcPr>
          <w:p w14:paraId="5C4C3022">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直接控股股东名称</w:t>
            </w:r>
          </w:p>
        </w:tc>
        <w:tc>
          <w:tcPr>
            <w:tcW w:w="464" w:type="pct"/>
            <w:noWrap w:val="0"/>
            <w:vAlign w:val="center"/>
          </w:tcPr>
          <w:p w14:paraId="553AEEBE">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出资比例</w:t>
            </w:r>
          </w:p>
        </w:tc>
        <w:tc>
          <w:tcPr>
            <w:tcW w:w="858" w:type="pct"/>
            <w:noWrap w:val="0"/>
            <w:vAlign w:val="center"/>
          </w:tcPr>
          <w:p w14:paraId="02459703">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身份证号码或者统一社会信用代码</w:t>
            </w:r>
          </w:p>
        </w:tc>
        <w:tc>
          <w:tcPr>
            <w:tcW w:w="2613" w:type="pct"/>
            <w:vMerge w:val="restart"/>
            <w:noWrap w:val="0"/>
            <w:vAlign w:val="center"/>
          </w:tcPr>
          <w:p w14:paraId="158CD9F9">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6FA158E">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2.本表所指的控股关系仅限于直接控股关系，不包括间接的控股关系。公司实际控制人与公司之间的关系不属于本表所指的直接控股关系。</w:t>
            </w:r>
          </w:p>
          <w:p w14:paraId="537AD769">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b/>
                <w:bCs/>
                <w:color w:val="auto"/>
                <w:kern w:val="0"/>
                <w:szCs w:val="21"/>
                <w:highlight w:val="none"/>
              </w:rPr>
            </w:pPr>
            <w:r>
              <w:rPr>
                <w:rFonts w:hint="eastAsia" w:ascii="宋体" w:hAnsi="宋体" w:cs="宋体"/>
                <w:color w:val="auto"/>
                <w:szCs w:val="21"/>
                <w:highlight w:val="none"/>
              </w:rPr>
              <w:t>3.供应商不存在直接控股股东的，则填“无”。</w:t>
            </w:r>
          </w:p>
        </w:tc>
      </w:tr>
      <w:tr w14:paraId="1A866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top"/>
          </w:tcPr>
          <w:p w14:paraId="150FDFDA">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1</w:t>
            </w:r>
          </w:p>
        </w:tc>
        <w:tc>
          <w:tcPr>
            <w:tcW w:w="608" w:type="pct"/>
            <w:noWrap w:val="0"/>
            <w:vAlign w:val="top"/>
          </w:tcPr>
          <w:p w14:paraId="4CFD35AC">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464" w:type="pct"/>
            <w:noWrap w:val="0"/>
            <w:vAlign w:val="top"/>
          </w:tcPr>
          <w:p w14:paraId="7DE6D5D2">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858" w:type="pct"/>
            <w:noWrap w:val="0"/>
            <w:vAlign w:val="top"/>
          </w:tcPr>
          <w:p w14:paraId="06BE8940">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2613" w:type="pct"/>
            <w:vMerge w:val="continue"/>
            <w:noWrap w:val="0"/>
            <w:vAlign w:val="top"/>
          </w:tcPr>
          <w:p w14:paraId="481052C5">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p>
        </w:tc>
      </w:tr>
      <w:tr w14:paraId="36871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top"/>
          </w:tcPr>
          <w:p w14:paraId="73014B64">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w:t>
            </w:r>
          </w:p>
        </w:tc>
        <w:tc>
          <w:tcPr>
            <w:tcW w:w="608" w:type="pct"/>
            <w:noWrap w:val="0"/>
            <w:vAlign w:val="top"/>
          </w:tcPr>
          <w:p w14:paraId="38E8FC47">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464" w:type="pct"/>
            <w:noWrap w:val="0"/>
            <w:vAlign w:val="top"/>
          </w:tcPr>
          <w:p w14:paraId="781C5B95">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858" w:type="pct"/>
            <w:noWrap w:val="0"/>
            <w:vAlign w:val="top"/>
          </w:tcPr>
          <w:p w14:paraId="40DE86E5">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2613" w:type="pct"/>
            <w:vMerge w:val="continue"/>
            <w:noWrap w:val="0"/>
            <w:vAlign w:val="top"/>
          </w:tcPr>
          <w:p w14:paraId="765C3133">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r>
      <w:tr w14:paraId="68E1B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Borders>
              <w:bottom w:val="single" w:color="auto" w:sz="4" w:space="0"/>
            </w:tcBorders>
            <w:noWrap w:val="0"/>
            <w:vAlign w:val="top"/>
          </w:tcPr>
          <w:p w14:paraId="20A7B523">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r>
              <w:rPr>
                <w:rFonts w:hint="eastAsia" w:ascii="宋体" w:hAnsi="宋体" w:cs="宋体"/>
                <w:color w:val="auto"/>
                <w:kern w:val="0"/>
                <w:szCs w:val="21"/>
                <w:highlight w:val="none"/>
              </w:rPr>
              <w:t>……</w:t>
            </w:r>
          </w:p>
        </w:tc>
        <w:tc>
          <w:tcPr>
            <w:tcW w:w="608" w:type="pct"/>
            <w:tcBorders>
              <w:bottom w:val="single" w:color="auto" w:sz="4" w:space="0"/>
            </w:tcBorders>
            <w:noWrap w:val="0"/>
            <w:vAlign w:val="top"/>
          </w:tcPr>
          <w:p w14:paraId="3A879A79">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464" w:type="pct"/>
            <w:tcBorders>
              <w:bottom w:val="single" w:color="auto" w:sz="4" w:space="0"/>
            </w:tcBorders>
            <w:noWrap w:val="0"/>
            <w:vAlign w:val="top"/>
          </w:tcPr>
          <w:p w14:paraId="1F2ABDA1">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858" w:type="pct"/>
            <w:tcBorders>
              <w:bottom w:val="single" w:color="auto" w:sz="4" w:space="0"/>
            </w:tcBorders>
            <w:noWrap w:val="0"/>
            <w:vAlign w:val="top"/>
          </w:tcPr>
          <w:p w14:paraId="77A987B1">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2613" w:type="pct"/>
            <w:vMerge w:val="continue"/>
            <w:tcBorders>
              <w:bottom w:val="single" w:color="auto" w:sz="4" w:space="0"/>
            </w:tcBorders>
            <w:noWrap w:val="0"/>
            <w:vAlign w:val="top"/>
          </w:tcPr>
          <w:p w14:paraId="5D684CE8">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r>
      <w:tr w14:paraId="4874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2386" w:type="pct"/>
            <w:gridSpan w:val="4"/>
            <w:shd w:val="clear" w:color="auto" w:fill="F2DBDB"/>
            <w:noWrap w:val="0"/>
            <w:vAlign w:val="center"/>
          </w:tcPr>
          <w:p w14:paraId="40402F2E">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投标人直接管理关系信息表</w:t>
            </w:r>
          </w:p>
        </w:tc>
        <w:tc>
          <w:tcPr>
            <w:tcW w:w="2613" w:type="pct"/>
            <w:shd w:val="clear" w:color="auto" w:fill="F2DBDB"/>
            <w:noWrap w:val="0"/>
            <w:vAlign w:val="center"/>
          </w:tcPr>
          <w:p w14:paraId="324A2C9B">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说明</w:t>
            </w:r>
          </w:p>
        </w:tc>
      </w:tr>
      <w:tr w14:paraId="10E4C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5B1AB27D">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bCs/>
                <w:color w:val="auto"/>
                <w:kern w:val="0"/>
                <w:szCs w:val="21"/>
                <w:highlight w:val="none"/>
              </w:rPr>
              <w:t>序号</w:t>
            </w:r>
          </w:p>
        </w:tc>
        <w:tc>
          <w:tcPr>
            <w:tcW w:w="1073" w:type="pct"/>
            <w:gridSpan w:val="2"/>
            <w:noWrap w:val="0"/>
            <w:vAlign w:val="center"/>
          </w:tcPr>
          <w:p w14:paraId="286DD421">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bCs/>
                <w:color w:val="auto"/>
                <w:kern w:val="0"/>
                <w:szCs w:val="21"/>
                <w:highlight w:val="none"/>
              </w:rPr>
              <w:t>直接管理关系单位名称</w:t>
            </w:r>
          </w:p>
        </w:tc>
        <w:tc>
          <w:tcPr>
            <w:tcW w:w="858" w:type="pct"/>
            <w:noWrap w:val="0"/>
            <w:vAlign w:val="center"/>
          </w:tcPr>
          <w:p w14:paraId="388BD807">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bCs/>
                <w:color w:val="auto"/>
                <w:kern w:val="0"/>
                <w:szCs w:val="21"/>
                <w:highlight w:val="none"/>
              </w:rPr>
              <w:t>统一社会信用代码</w:t>
            </w:r>
          </w:p>
        </w:tc>
        <w:tc>
          <w:tcPr>
            <w:tcW w:w="2613" w:type="pct"/>
            <w:vMerge w:val="restart"/>
            <w:noWrap w:val="0"/>
            <w:vAlign w:val="center"/>
          </w:tcPr>
          <w:p w14:paraId="563D2C4D">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14:paraId="160E4A30">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2.本表所指的管理关系仅限于直接管理关系，不包括间接的管理关系。</w:t>
            </w:r>
          </w:p>
          <w:p w14:paraId="65BD52C5">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3.供应商不存在直接管理关系的，则填“无”。</w:t>
            </w:r>
          </w:p>
        </w:tc>
      </w:tr>
      <w:tr w14:paraId="17B5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39EFE594">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w:t>
            </w:r>
          </w:p>
        </w:tc>
        <w:tc>
          <w:tcPr>
            <w:tcW w:w="1073" w:type="pct"/>
            <w:gridSpan w:val="2"/>
            <w:noWrap w:val="0"/>
            <w:vAlign w:val="center"/>
          </w:tcPr>
          <w:p w14:paraId="66D125DD">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p>
        </w:tc>
        <w:tc>
          <w:tcPr>
            <w:tcW w:w="858" w:type="pct"/>
            <w:noWrap w:val="0"/>
            <w:vAlign w:val="center"/>
          </w:tcPr>
          <w:p w14:paraId="2D537FAB">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p>
        </w:tc>
        <w:tc>
          <w:tcPr>
            <w:tcW w:w="2613" w:type="pct"/>
            <w:vMerge w:val="continue"/>
            <w:noWrap w:val="0"/>
            <w:vAlign w:val="center"/>
          </w:tcPr>
          <w:p w14:paraId="1EB07007">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p>
        </w:tc>
      </w:tr>
      <w:tr w14:paraId="79B7A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68E01455">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ascii="宋体" w:hAnsi="宋体" w:cs="宋体"/>
                <w:b/>
                <w:bCs/>
                <w:color w:val="auto"/>
                <w:kern w:val="0"/>
                <w:szCs w:val="21"/>
                <w:highlight w:val="none"/>
              </w:rPr>
            </w:pPr>
            <w:r>
              <w:rPr>
                <w:rFonts w:hint="eastAsia" w:ascii="宋体" w:hAnsi="宋体" w:cs="宋体"/>
                <w:b/>
                <w:bCs/>
                <w:color w:val="auto"/>
                <w:kern w:val="0"/>
                <w:szCs w:val="21"/>
                <w:highlight w:val="none"/>
              </w:rPr>
              <w:t>2</w:t>
            </w:r>
          </w:p>
        </w:tc>
        <w:tc>
          <w:tcPr>
            <w:tcW w:w="1073" w:type="pct"/>
            <w:gridSpan w:val="2"/>
            <w:noWrap w:val="0"/>
            <w:vAlign w:val="center"/>
          </w:tcPr>
          <w:p w14:paraId="127CA364">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p>
        </w:tc>
        <w:tc>
          <w:tcPr>
            <w:tcW w:w="858" w:type="pct"/>
            <w:noWrap w:val="0"/>
            <w:vAlign w:val="center"/>
          </w:tcPr>
          <w:p w14:paraId="03DBD2A2">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p>
        </w:tc>
        <w:tc>
          <w:tcPr>
            <w:tcW w:w="2613" w:type="pct"/>
            <w:vMerge w:val="continue"/>
            <w:noWrap w:val="0"/>
            <w:vAlign w:val="center"/>
          </w:tcPr>
          <w:p w14:paraId="26F6AE16">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p>
        </w:tc>
      </w:tr>
      <w:tr w14:paraId="5490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0E77BD84">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r>
              <w:rPr>
                <w:rFonts w:hint="eastAsia" w:ascii="宋体" w:hAnsi="宋体" w:cs="宋体"/>
                <w:color w:val="auto"/>
                <w:kern w:val="0"/>
                <w:szCs w:val="21"/>
                <w:highlight w:val="none"/>
              </w:rPr>
              <w:t>……</w:t>
            </w:r>
          </w:p>
        </w:tc>
        <w:tc>
          <w:tcPr>
            <w:tcW w:w="1073" w:type="pct"/>
            <w:gridSpan w:val="2"/>
            <w:noWrap w:val="0"/>
            <w:vAlign w:val="center"/>
          </w:tcPr>
          <w:p w14:paraId="3299FCD4">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p>
        </w:tc>
        <w:tc>
          <w:tcPr>
            <w:tcW w:w="858" w:type="pct"/>
            <w:noWrap w:val="0"/>
            <w:vAlign w:val="center"/>
          </w:tcPr>
          <w:p w14:paraId="4B0EA229">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p>
        </w:tc>
        <w:tc>
          <w:tcPr>
            <w:tcW w:w="2613" w:type="pct"/>
            <w:vMerge w:val="continue"/>
            <w:noWrap w:val="0"/>
            <w:vAlign w:val="center"/>
          </w:tcPr>
          <w:p w14:paraId="68579E50">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p>
        </w:tc>
      </w:tr>
    </w:tbl>
    <w:p w14:paraId="0C854A92">
      <w:pPr>
        <w:snapToGrid w:val="0"/>
        <w:spacing w:line="400" w:lineRule="exact"/>
        <w:jc w:val="left"/>
        <w:rPr>
          <w:rFonts w:hint="eastAsia" w:ascii="宋体" w:hAnsi="宋体" w:cs="宋体"/>
          <w:color w:val="auto"/>
          <w:szCs w:val="21"/>
          <w:highlight w:val="none"/>
        </w:rPr>
      </w:pPr>
    </w:p>
    <w:p w14:paraId="4CAD885C">
      <w:pPr>
        <w:snapToGrid w:val="0"/>
        <w:spacing w:line="400" w:lineRule="exact"/>
        <w:ind w:left="-2" w:leftChars="-1" w:right="-817" w:rightChars="-389"/>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4372A588">
      <w:pPr>
        <w:snapToGrid w:val="0"/>
        <w:spacing w:line="400" w:lineRule="exact"/>
        <w:ind w:left="-6" w:leftChars="-15" w:right="-817" w:rightChars="-389" w:hanging="25" w:hangingChars="12"/>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p>
    <w:p w14:paraId="7D47F1EA">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                                    日期：    年   月   日</w:t>
      </w:r>
    </w:p>
    <w:p w14:paraId="59759396">
      <w:pPr>
        <w:snapToGrid w:val="0"/>
        <w:jc w:val="center"/>
        <w:rPr>
          <w:rFonts w:hint="eastAsia" w:ascii="宋体" w:hAnsi="宋体" w:cs="宋体"/>
          <w:b/>
          <w:color w:val="auto"/>
          <w:sz w:val="28"/>
          <w:szCs w:val="28"/>
          <w:highlight w:val="none"/>
        </w:rPr>
      </w:pPr>
    </w:p>
    <w:p w14:paraId="62C594D0">
      <w:pPr>
        <w:snapToGrid w:val="0"/>
        <w:spacing w:before="120" w:beforeLines="50" w:after="50"/>
        <w:jc w:val="left"/>
        <w:rPr>
          <w:rFonts w:hint="eastAsia"/>
          <w:color w:val="auto"/>
          <w:szCs w:val="20"/>
          <w:highlight w:val="none"/>
        </w:rPr>
      </w:pPr>
      <w:r>
        <w:rPr>
          <w:rFonts w:hint="eastAsia" w:ascii="宋体" w:hAnsi="宋体" w:cs="宋体"/>
          <w:b/>
          <w:color w:val="auto"/>
          <w:sz w:val="32"/>
          <w:szCs w:val="32"/>
          <w:highlight w:val="none"/>
        </w:rPr>
        <w:br w:type="page"/>
      </w:r>
      <w:r>
        <w:rPr>
          <w:rFonts w:hint="eastAsia" w:ascii="宋体" w:hAnsi="宋体" w:cs="宋体"/>
          <w:b/>
          <w:color w:val="auto"/>
          <w:sz w:val="28"/>
          <w:szCs w:val="28"/>
          <w:highlight w:val="none"/>
        </w:rPr>
        <w:t>4.投标声明</w:t>
      </w:r>
    </w:p>
    <w:p w14:paraId="17DAA3BF">
      <w:pPr>
        <w:snapToGrid w:val="0"/>
        <w:spacing w:before="50" w:after="120" w:afterLines="50"/>
        <w:jc w:val="left"/>
        <w:rPr>
          <w:rFonts w:hint="eastAsia" w:ascii="宋体" w:hAnsi="宋体" w:cs="宋体"/>
          <w:color w:val="auto"/>
          <w:highlight w:val="none"/>
        </w:rPr>
      </w:pPr>
    </w:p>
    <w:p w14:paraId="016862DF">
      <w:pPr>
        <w:snapToGrid w:val="0"/>
        <w:spacing w:before="120" w:beforeLines="50" w:after="50"/>
        <w:ind w:left="420"/>
        <w:jc w:val="center"/>
        <w:rPr>
          <w:rFonts w:hint="eastAsia" w:ascii="宋体" w:hAnsi="宋体" w:cs="宋体"/>
          <w:b/>
          <w:bCs/>
          <w:color w:val="auto"/>
          <w:spacing w:val="-17"/>
          <w:sz w:val="30"/>
          <w:szCs w:val="30"/>
          <w:highlight w:val="none"/>
        </w:rPr>
      </w:pPr>
      <w:r>
        <w:rPr>
          <w:rFonts w:hint="eastAsia" w:ascii="宋体" w:hAnsi="宋体" w:cs="宋体"/>
          <w:b/>
          <w:bCs/>
          <w:color w:val="auto"/>
          <w:spacing w:val="-17"/>
          <w:sz w:val="30"/>
          <w:szCs w:val="30"/>
          <w:highlight w:val="none"/>
        </w:rPr>
        <w:t>投标声明</w:t>
      </w:r>
    </w:p>
    <w:p w14:paraId="1FA53EEA">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（采购人名称）：</w:t>
      </w:r>
    </w:p>
    <w:p w14:paraId="5DDC7AA0">
      <w:pPr>
        <w:keepNext w:val="0"/>
        <w:keepLines w:val="0"/>
        <w:pageBreakBefore w:val="0"/>
        <w:widowControl w:val="0"/>
        <w:kinsoku/>
        <w:wordWrap/>
        <w:overflowPunct/>
        <w:topLinePunct w:val="0"/>
        <w:autoSpaceDE/>
        <w:autoSpaceDN/>
        <w:bidi w:val="0"/>
        <w:adjustRightInd/>
        <w:spacing w:line="400" w:lineRule="exact"/>
        <w:ind w:firstLine="457" w:firstLineChars="218"/>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我方参加贵单位组织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）的政府采购活动。我方在此郑重声明：</w:t>
      </w:r>
    </w:p>
    <w:p w14:paraId="27910B1B">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F81C249">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2.我方不是为本次采购项目提供整体设计、规范编制或者项目管理、监理、检测等服务的供应商。</w:t>
      </w:r>
    </w:p>
    <w:p w14:paraId="6F9E46CA">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3.我方承诺符合《中华人民共和国政府采购法》第二十二条规定：</w:t>
      </w:r>
    </w:p>
    <w:p w14:paraId="27ACDC87">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（一）具有独立承担民事责任的能力；</w:t>
      </w:r>
    </w:p>
    <w:p w14:paraId="5BA2CE7B">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（二）具有良好的商业信誉和健全的财务会计制度；</w:t>
      </w:r>
    </w:p>
    <w:p w14:paraId="4E320DA1">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（三）具有履行合同所必需的设备和专业技术能力；</w:t>
      </w:r>
    </w:p>
    <w:p w14:paraId="0F7695C0">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（四）有依法缴纳税收和社会保障资金的良好记录；</w:t>
      </w:r>
    </w:p>
    <w:p w14:paraId="0F4B2070">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（五）参加政府采购活动前三年内，在经营活动中没有重大违法记录；</w:t>
      </w:r>
    </w:p>
    <w:p w14:paraId="78950C19">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（六）法律、行政法规规定的其他条件。</w:t>
      </w:r>
    </w:p>
    <w:p w14:paraId="2F0D87C7">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4.以上事项如有虚假或者隐瞒，我方愿意承担一切后果，并不再寻求任何旨在减轻或者免除法律责任的辩解。</w:t>
      </w:r>
    </w:p>
    <w:p w14:paraId="2AEE2B96">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特此承诺。</w:t>
      </w:r>
    </w:p>
    <w:p w14:paraId="1C2AC492">
      <w:pPr>
        <w:keepNext w:val="0"/>
        <w:keepLines w:val="0"/>
        <w:pageBreakBefore w:val="0"/>
        <w:widowControl w:val="0"/>
        <w:kinsoku/>
        <w:wordWrap/>
        <w:overflowPunct/>
        <w:topLinePunct w:val="0"/>
        <w:autoSpaceDE/>
        <w:autoSpaceDN/>
        <w:bidi w:val="0"/>
        <w:adjustRightInd/>
        <w:snapToGrid w:val="0"/>
        <w:spacing w:before="50" w:after="50" w:line="400" w:lineRule="exact"/>
        <w:ind w:firstLine="930" w:firstLineChars="441"/>
        <w:textAlignment w:val="auto"/>
        <w:rPr>
          <w:rFonts w:hint="eastAsia" w:ascii="宋体" w:hAnsi="宋体" w:cs="宋体"/>
          <w:color w:val="auto"/>
          <w:spacing w:val="20"/>
          <w:szCs w:val="21"/>
          <w:highlight w:val="none"/>
          <w:u w:val="singl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法定代表人</w:t>
      </w:r>
      <w:r>
        <w:rPr>
          <w:rFonts w:hint="eastAsia" w:ascii="宋体" w:hAnsi="宋体" w:cs="宋体"/>
          <w:color w:val="auto"/>
          <w:spacing w:val="20"/>
          <w:szCs w:val="21"/>
          <w:highlight w:val="none"/>
        </w:rPr>
        <w:t>（签字或者电子签名）：</w:t>
      </w:r>
      <w:r>
        <w:rPr>
          <w:rFonts w:hint="eastAsia" w:ascii="宋体" w:hAnsi="宋体" w:cs="宋体"/>
          <w:color w:val="auto"/>
          <w:spacing w:val="20"/>
          <w:szCs w:val="21"/>
          <w:highlight w:val="none"/>
          <w:u w:val="single"/>
        </w:rPr>
        <w:t xml:space="preserve">        </w:t>
      </w:r>
    </w:p>
    <w:p w14:paraId="46510F7F">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r>
        <w:rPr>
          <w:rFonts w:hint="eastAsia" w:ascii="宋体" w:hAnsi="宋体" w:cs="宋体"/>
          <w:color w:val="auto"/>
          <w:szCs w:val="21"/>
          <w:highlight w:val="none"/>
          <w:u w:val="single"/>
        </w:rPr>
        <w:t xml:space="preserve">                 </w:t>
      </w:r>
    </w:p>
    <w:p w14:paraId="56E7D9A0">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4FF4F91E">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b/>
          <w:color w:val="auto"/>
          <w:szCs w:val="21"/>
          <w:highlight w:val="none"/>
        </w:rPr>
      </w:pPr>
      <w:r>
        <w:rPr>
          <w:rFonts w:hint="eastAsia" w:ascii="宋体" w:hAnsi="宋体" w:cs="宋体"/>
          <w:b/>
          <w:color w:val="auto"/>
          <w:szCs w:val="21"/>
          <w:highlight w:val="none"/>
        </w:rPr>
        <w:t>注：如为联合体投标，盖章处须加盖联合体牵头人电子签章并由联合体牵头人法定代表人分别签字或者盖章或者电子签名，否则投标无效。</w:t>
      </w:r>
    </w:p>
    <w:p w14:paraId="2D3031B9">
      <w:pPr>
        <w:snapToGrid w:val="0"/>
        <w:spacing w:before="120" w:beforeLines="50" w:after="50"/>
        <w:jc w:val="left"/>
        <w:rPr>
          <w:rFonts w:ascii="宋体" w:hAnsi="宋体" w:cs="宋体"/>
          <w:b/>
          <w:color w:val="auto"/>
          <w:sz w:val="28"/>
          <w:szCs w:val="28"/>
          <w:highlight w:val="none"/>
        </w:rPr>
      </w:pPr>
    </w:p>
    <w:p w14:paraId="11D4C259">
      <w:pPr>
        <w:snapToGrid w:val="0"/>
        <w:spacing w:before="120" w:beforeLines="50" w:after="50"/>
        <w:jc w:val="left"/>
        <w:rPr>
          <w:rFonts w:hint="eastAsia"/>
          <w:color w:val="auto"/>
          <w:spacing w:val="20"/>
          <w:sz w:val="24"/>
          <w:highlight w:val="none"/>
        </w:rPr>
      </w:pPr>
      <w:r>
        <w:rPr>
          <w:b/>
          <w:color w:val="auto"/>
          <w:highlight w:val="none"/>
        </w:rPr>
        <w:br w:type="page"/>
      </w:r>
      <w:r>
        <w:rPr>
          <w:rFonts w:hint="eastAsia" w:ascii="宋体" w:hAnsi="宋体" w:cs="宋体"/>
          <w:b/>
          <w:color w:val="auto"/>
          <w:sz w:val="28"/>
          <w:szCs w:val="28"/>
          <w:highlight w:val="none"/>
        </w:rPr>
        <w:t>5.联合投标协议书格式</w:t>
      </w:r>
    </w:p>
    <w:p w14:paraId="43670C18">
      <w:pPr>
        <w:pStyle w:val="9"/>
        <w:overflowPunct w:val="0"/>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联合体协议书</w:t>
      </w:r>
    </w:p>
    <w:p w14:paraId="480CD0ED">
      <w:pPr>
        <w:pStyle w:val="9"/>
        <w:overflowPunct w:val="0"/>
        <w:spacing w:line="360" w:lineRule="auto"/>
        <w:ind w:firstLine="0"/>
        <w:contextualSpacing/>
        <w:rPr>
          <w:rFonts w:hint="eastAsia" w:ascii="宋体" w:hAnsi="宋体" w:cs="宋体"/>
          <w:color w:val="auto"/>
          <w:sz w:val="24"/>
          <w:highlight w:val="none"/>
        </w:rPr>
      </w:pPr>
    </w:p>
    <w:p w14:paraId="2BC3EC9B">
      <w:pPr>
        <w:pStyle w:val="9"/>
        <w:keepNext w:val="0"/>
        <w:keepLines w:val="0"/>
        <w:pageBreakBefore w:val="0"/>
        <w:widowControl w:val="0"/>
        <w:kinsoku/>
        <w:wordWrap/>
        <w:overflowPunct w:val="0"/>
        <w:topLinePunct w:val="0"/>
        <w:autoSpaceDE/>
        <w:autoSpaceDN/>
        <w:bidi w:val="0"/>
        <w:adjustRightInd/>
        <w:snapToGri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（所有成员单位名称）自愿组成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（联合体名称）联合体，共同参加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（项目名称）   </w:t>
      </w:r>
      <w:r>
        <w:rPr>
          <w:rFonts w:hint="eastAsia" w:ascii="宋体" w:cs="宋体"/>
          <w:color w:val="auto"/>
          <w:kern w:val="0"/>
          <w:szCs w:val="21"/>
          <w:highlight w:val="none"/>
        </w:rPr>
        <w:t>（项目编号：</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r>
        <w:rPr>
          <w:rFonts w:hint="eastAsia" w:ascii="宋体" w:cs="宋体"/>
          <w:color w:val="auto"/>
          <w:kern w:val="0"/>
          <w:szCs w:val="21"/>
          <w:highlight w:val="none"/>
          <w:u w:val="single"/>
        </w:rPr>
        <w:t xml:space="preserve">   </w:t>
      </w:r>
      <w:r>
        <w:rPr>
          <w:rFonts w:hint="eastAsia" w:ascii="宋体" w:hAnsi="宋体" w:cs="宋体"/>
          <w:color w:val="auto"/>
          <w:szCs w:val="21"/>
          <w:highlight w:val="none"/>
        </w:rPr>
        <w:t>分标采购招标项目投标。现就联合体投标事宜订立如下协议。</w:t>
      </w:r>
    </w:p>
    <w:p w14:paraId="283380C2">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（某成员单位名称）为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（联合体名称）牵头人。</w:t>
      </w:r>
    </w:p>
    <w:p w14:paraId="3A4DCDD9">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2.联合体各成员授权牵头人代表联合体参加投标活动，签署文件及对文件的盖章，提交和接收相关的资料、 信息及指示，进行合同谈判活动，负责合同实施阶段的组织和协调工作，以及处理与本招标项 目有关的一切事宜。</w:t>
      </w:r>
    </w:p>
    <w:p w14:paraId="673B2FDD">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3.联合体牵头人在本项目中签署和盖章的一切文件和处理的一切事宜，联合体各成员均予以承认。 联合体各成员将严格按照招标文件、投标文件和合同的要求全面履行义务，并向招标人承担连带责任。</w:t>
      </w:r>
    </w:p>
    <w:p w14:paraId="71680F66">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4.联合体各成员单位内部的职责分工如下：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F5BA07F">
      <w:pPr>
        <w:keepNext w:val="0"/>
        <w:keepLines w:val="0"/>
        <w:pageBreakBefore w:val="0"/>
        <w:widowControl w:val="0"/>
        <w:kinsoku/>
        <w:wordWrap/>
        <w:topLinePunct w:val="0"/>
        <w:autoSpaceDE/>
        <w:autoSpaceDN/>
        <w:bidi w:val="0"/>
        <w:adjustRightInd/>
        <w:snapToGrid/>
        <w:spacing w:line="400" w:lineRule="exact"/>
        <w:ind w:firstLine="420" w:firstLineChars="200"/>
        <w:textAlignment w:val="auto"/>
        <w:rPr>
          <w:rFonts w:hint="eastAsia"/>
          <w:color w:val="auto"/>
          <w:szCs w:val="21"/>
          <w:highlight w:val="none"/>
        </w:rPr>
      </w:pPr>
      <w:r>
        <w:rPr>
          <w:rFonts w:hint="eastAsia" w:ascii="宋体" w:hAnsi="宋体" w:cs="宋体"/>
          <w:color w:val="auto"/>
          <w:kern w:val="0"/>
          <w:szCs w:val="20"/>
          <w:highlight w:val="none"/>
        </w:rPr>
        <w:t>5.本联合体中，</w:t>
      </w:r>
      <w:r>
        <w:rPr>
          <w:rFonts w:hint="eastAsia" w:ascii="宋体" w:hAnsi="宋体" w:cs="宋体"/>
          <w:color w:val="auto"/>
          <w:kern w:val="0"/>
          <w:szCs w:val="20"/>
          <w:highlight w:val="none"/>
          <w:u w:val="single"/>
        </w:rPr>
        <w:t xml:space="preserve"> （某成员单位名称） </w:t>
      </w:r>
      <w:r>
        <w:rPr>
          <w:rFonts w:hint="eastAsia" w:ascii="宋体" w:hAnsi="宋体" w:cs="宋体"/>
          <w:color w:val="auto"/>
          <w:kern w:val="0"/>
          <w:szCs w:val="20"/>
          <w:highlight w:val="none"/>
        </w:rPr>
        <w:t>为</w:t>
      </w:r>
      <w:r>
        <w:rPr>
          <w:rFonts w:hint="eastAsia" w:ascii="宋体" w:hAnsi="Courier New"/>
          <w:color w:val="auto"/>
          <w:szCs w:val="20"/>
          <w:highlight w:val="none"/>
          <w:u w:val="single"/>
        </w:rPr>
        <w:t xml:space="preserve">        </w:t>
      </w:r>
      <w:r>
        <w:rPr>
          <w:rFonts w:hint="eastAsia" w:ascii="宋体" w:hAnsi="Courier New"/>
          <w:color w:val="auto"/>
          <w:szCs w:val="20"/>
          <w:highlight w:val="none"/>
        </w:rPr>
        <w:t>（请填写：中型、小型、微型）企业，其协议合同金额占联合体协议合同总金额的</w:t>
      </w:r>
      <w:r>
        <w:rPr>
          <w:rFonts w:hint="eastAsia" w:ascii="宋体" w:hAnsi="Courier New"/>
          <w:color w:val="auto"/>
          <w:szCs w:val="20"/>
          <w:highlight w:val="none"/>
          <w:u w:val="single"/>
        </w:rPr>
        <w:t xml:space="preserve">           </w:t>
      </w:r>
      <w:r>
        <w:rPr>
          <w:rFonts w:hint="eastAsia" w:ascii="宋体" w:hAnsi="Courier New"/>
          <w:color w:val="auto"/>
          <w:szCs w:val="20"/>
          <w:highlight w:val="none"/>
        </w:rPr>
        <w:t>%。【如联合体成员中有小型、微型企业的，请填写此条，否则无需填写；如联合体成员中有多个小型、微型企业的，请逐一列出</w:t>
      </w:r>
      <w:r>
        <w:rPr>
          <w:rFonts w:hint="eastAsia" w:ascii="宋体" w:hAnsi="Courier New"/>
          <w:color w:val="auto"/>
          <w:szCs w:val="20"/>
          <w:highlight w:val="none"/>
          <w:lang w:eastAsia="zh-CN"/>
        </w:rPr>
        <w:t>】</w:t>
      </w:r>
    </w:p>
    <w:p w14:paraId="7F5BEC3E">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6.本协议书自所有成员单位法定代表人或者其委托代理人签字（或者电子签名）或</w:t>
      </w:r>
      <w:r>
        <w:rPr>
          <w:rFonts w:hint="eastAsia" w:ascii="宋体" w:hAnsi="宋体" w:cs="宋体"/>
          <w:color w:val="auto"/>
          <w:szCs w:val="21"/>
          <w:highlight w:val="none"/>
          <w:lang w:eastAsia="zh-CN"/>
        </w:rPr>
        <w:t>者加</w:t>
      </w:r>
      <w:r>
        <w:rPr>
          <w:rFonts w:hint="eastAsia" w:ascii="宋体" w:hAnsi="宋体" w:cs="宋体"/>
          <w:color w:val="auto"/>
          <w:szCs w:val="21"/>
          <w:highlight w:val="none"/>
        </w:rPr>
        <w:t>盖公章之日起生效，合同履行完毕后自动失效。</w:t>
      </w:r>
    </w:p>
    <w:p w14:paraId="1681F41F">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7.本协议书一式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份，联合体成员和招标人各执一份。</w:t>
      </w:r>
    </w:p>
    <w:p w14:paraId="5565F9EB">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注：本协议书应附法定代表人身份证明；有委托代理的，应附授权委托书（格式自拟）。</w:t>
      </w:r>
    </w:p>
    <w:p w14:paraId="03ABD7D8">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p>
    <w:p w14:paraId="138AE0B9">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联合体牵头人名称（电子签章）：</w:t>
      </w:r>
    </w:p>
    <w:p w14:paraId="0E6C30F4">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法定代表人或者其委托代理人：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（签字或者电子签名）</w:t>
      </w:r>
    </w:p>
    <w:p w14:paraId="64576E86">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p>
    <w:p w14:paraId="6055E661">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联合体成员名称（盖公章或者电子签章）：</w:t>
      </w:r>
    </w:p>
    <w:p w14:paraId="68F68F77">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法定代表人或者其委托代理人：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（签字或者电子签名）</w:t>
      </w:r>
    </w:p>
    <w:p w14:paraId="091E2DE1">
      <w:pPr>
        <w:pStyle w:val="9"/>
        <w:overflowPunct w:val="0"/>
        <w:spacing w:line="360" w:lineRule="auto"/>
        <w:ind w:firstLine="367" w:firstLineChars="175"/>
        <w:contextualSpacing/>
        <w:rPr>
          <w:rFonts w:hint="eastAsia" w:ascii="宋体" w:hAnsi="宋体" w:cs="宋体"/>
          <w:color w:val="auto"/>
          <w:szCs w:val="21"/>
          <w:highlight w:val="none"/>
        </w:rPr>
      </w:pPr>
      <w:r>
        <w:rPr>
          <w:rFonts w:hint="eastAsia" w:ascii="宋体" w:hAnsi="宋体" w:cs="宋体"/>
          <w:color w:val="auto"/>
          <w:szCs w:val="21"/>
          <w:highlight w:val="none"/>
        </w:rPr>
        <w:t>……</w:t>
      </w:r>
    </w:p>
    <w:p w14:paraId="3A90EABA">
      <w:pPr>
        <w:pStyle w:val="3"/>
        <w:rPr>
          <w:rFonts w:hint="eastAsia" w:ascii="宋体" w:hAnsi="宋体" w:cs="宋体"/>
          <w:color w:val="auto"/>
          <w:sz w:val="28"/>
          <w:szCs w:val="28"/>
          <w:highlight w:val="none"/>
        </w:rPr>
      </w:pPr>
      <w:r>
        <w:rPr>
          <w:color w:val="auto"/>
          <w:sz w:val="21"/>
          <w:szCs w:val="21"/>
          <w:highlight w:val="none"/>
        </w:rPr>
        <w:br w:type="page"/>
      </w:r>
      <w:bookmarkStart w:id="198" w:name="_Toc19686838"/>
      <w:bookmarkStart w:id="199" w:name="_Toc7619"/>
      <w:bookmarkStart w:id="200" w:name="_Toc6222"/>
      <w:r>
        <w:rPr>
          <w:rFonts w:hint="eastAsia" w:ascii="宋体" w:hAnsi="宋体" w:cs="宋体"/>
          <w:color w:val="auto"/>
          <w:sz w:val="28"/>
          <w:szCs w:val="28"/>
          <w:highlight w:val="none"/>
        </w:rPr>
        <w:t>三、商务及技术文件格式</w:t>
      </w:r>
      <w:bookmarkEnd w:id="198"/>
      <w:bookmarkEnd w:id="199"/>
      <w:bookmarkEnd w:id="200"/>
    </w:p>
    <w:p w14:paraId="4D762DDF">
      <w:pPr>
        <w:snapToGrid w:val="0"/>
        <w:spacing w:before="120" w:beforeLines="50" w:after="50"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 xml:space="preserve">（一）商务文件封面格式： </w:t>
      </w:r>
    </w:p>
    <w:p w14:paraId="7B619E3B">
      <w:pPr>
        <w:snapToGrid w:val="0"/>
        <w:spacing w:before="120" w:beforeLines="50" w:after="50"/>
        <w:jc w:val="center"/>
        <w:rPr>
          <w:rFonts w:hint="eastAsia" w:ascii="宋体" w:hAnsi="宋体" w:cs="宋体"/>
          <w:color w:val="auto"/>
          <w:sz w:val="24"/>
          <w:highlight w:val="none"/>
        </w:rPr>
      </w:pPr>
      <w:r>
        <w:rPr>
          <w:rFonts w:hint="eastAsia" w:ascii="宋体" w:hAnsi="宋体" w:cs="宋体"/>
          <w:bCs/>
          <w:color w:val="auto"/>
          <w:sz w:val="48"/>
          <w:szCs w:val="48"/>
          <w:highlight w:val="none"/>
        </w:rPr>
        <w:t>电子投标文件</w:t>
      </w:r>
    </w:p>
    <w:p w14:paraId="15709BBA">
      <w:pPr>
        <w:snapToGrid w:val="0"/>
        <w:spacing w:before="120" w:beforeLines="50" w:after="5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6D4EA01">
      <w:pPr>
        <w:rPr>
          <w:rFonts w:hint="eastAsia" w:ascii="宋体" w:hAnsi="宋体" w:cs="宋体"/>
          <w:color w:val="auto"/>
          <w:sz w:val="24"/>
          <w:highlight w:val="none"/>
        </w:rPr>
      </w:pPr>
    </w:p>
    <w:p w14:paraId="4B38293F">
      <w:pPr>
        <w:rPr>
          <w:rFonts w:hint="eastAsia"/>
          <w:color w:val="auto"/>
          <w:highlight w:val="none"/>
        </w:rPr>
      </w:pPr>
    </w:p>
    <w:p w14:paraId="2218334B">
      <w:pPr>
        <w:snapToGrid w:val="0"/>
        <w:spacing w:before="120" w:beforeLines="50" w:after="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商务文件</w:t>
      </w:r>
    </w:p>
    <w:p w14:paraId="57F7739A">
      <w:pPr>
        <w:rPr>
          <w:rFonts w:hint="eastAsia" w:ascii="宋体" w:hAnsi="宋体" w:cs="宋体"/>
          <w:b/>
          <w:color w:val="auto"/>
          <w:sz w:val="32"/>
          <w:szCs w:val="32"/>
          <w:highlight w:val="none"/>
        </w:rPr>
      </w:pPr>
    </w:p>
    <w:p w14:paraId="706513B0">
      <w:pPr>
        <w:rPr>
          <w:rFonts w:hint="eastAsia"/>
          <w:color w:val="auto"/>
          <w:highlight w:val="none"/>
        </w:rPr>
      </w:pPr>
    </w:p>
    <w:p w14:paraId="1ED71326">
      <w:pPr>
        <w:snapToGrid w:val="0"/>
        <w:spacing w:before="120" w:beforeLines="50" w:after="50"/>
        <w:rPr>
          <w:rFonts w:hint="eastAsia" w:ascii="宋体" w:hAnsi="宋体" w:cs="宋体"/>
          <w:bCs/>
          <w:color w:val="auto"/>
          <w:sz w:val="24"/>
          <w:szCs w:val="20"/>
          <w:highlight w:val="none"/>
        </w:rPr>
      </w:pPr>
    </w:p>
    <w:p w14:paraId="56326486">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项目名称：</w:t>
      </w:r>
    </w:p>
    <w:p w14:paraId="59CC4611">
      <w:pPr>
        <w:snapToGrid w:val="0"/>
        <w:spacing w:before="120" w:beforeLines="50" w:after="50"/>
        <w:ind w:firstLine="540" w:firstLineChars="225"/>
        <w:rPr>
          <w:rFonts w:hint="eastAsia" w:ascii="宋体" w:hAnsi="宋体" w:cs="宋体"/>
          <w:bCs/>
          <w:color w:val="auto"/>
          <w:sz w:val="24"/>
          <w:szCs w:val="20"/>
          <w:highlight w:val="none"/>
        </w:rPr>
      </w:pPr>
    </w:p>
    <w:p w14:paraId="62761A06">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项目编号：</w:t>
      </w:r>
    </w:p>
    <w:p w14:paraId="79E000F9">
      <w:pPr>
        <w:snapToGrid w:val="0"/>
        <w:spacing w:before="120" w:beforeLines="50" w:after="50"/>
        <w:ind w:firstLine="540" w:firstLineChars="225"/>
        <w:rPr>
          <w:rFonts w:hint="eastAsia" w:ascii="宋体" w:hAnsi="宋体" w:cs="宋体"/>
          <w:bCs/>
          <w:color w:val="auto"/>
          <w:sz w:val="24"/>
          <w:szCs w:val="20"/>
          <w:highlight w:val="none"/>
        </w:rPr>
      </w:pPr>
      <w:r>
        <w:rPr>
          <w:rFonts w:hint="eastAsia" w:ascii="宋体" w:hAnsi="宋体" w:cs="宋体"/>
          <w:bCs/>
          <w:color w:val="auto"/>
          <w:sz w:val="24"/>
          <w:highlight w:val="none"/>
        </w:rPr>
        <w:t xml:space="preserve"> </w:t>
      </w:r>
    </w:p>
    <w:p w14:paraId="408AF7E9">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06D7DB27">
      <w:pPr>
        <w:snapToGrid w:val="0"/>
        <w:spacing w:before="120" w:beforeLines="50" w:after="50"/>
        <w:ind w:firstLine="540" w:firstLineChars="225"/>
        <w:rPr>
          <w:rFonts w:hint="eastAsia" w:ascii="宋体" w:hAnsi="宋体" w:cs="宋体"/>
          <w:bCs/>
          <w:color w:val="auto"/>
          <w:sz w:val="24"/>
          <w:szCs w:val="20"/>
          <w:highlight w:val="none"/>
        </w:rPr>
      </w:pPr>
    </w:p>
    <w:p w14:paraId="53776535">
      <w:pPr>
        <w:pStyle w:val="9"/>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5A4D7042">
      <w:pPr>
        <w:pStyle w:val="9"/>
        <w:snapToGrid w:val="0"/>
        <w:spacing w:before="50" w:after="50"/>
        <w:ind w:firstLine="540" w:firstLineChars="225"/>
        <w:rPr>
          <w:rFonts w:hint="eastAsia" w:ascii="宋体" w:hAnsi="宋体" w:cs="宋体"/>
          <w:bCs/>
          <w:color w:val="auto"/>
          <w:sz w:val="24"/>
          <w:szCs w:val="24"/>
          <w:highlight w:val="none"/>
        </w:rPr>
      </w:pPr>
    </w:p>
    <w:p w14:paraId="41F007BF">
      <w:pPr>
        <w:pStyle w:val="9"/>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2FB7647E">
      <w:pPr>
        <w:pStyle w:val="9"/>
        <w:snapToGrid w:val="0"/>
        <w:spacing w:before="50" w:after="50"/>
        <w:ind w:firstLine="960" w:firstLineChars="400"/>
        <w:rPr>
          <w:rFonts w:hint="eastAsia" w:ascii="宋体" w:hAnsi="宋体" w:cs="宋体"/>
          <w:bCs/>
          <w:color w:val="auto"/>
          <w:sz w:val="24"/>
          <w:szCs w:val="24"/>
          <w:highlight w:val="none"/>
        </w:rPr>
      </w:pPr>
    </w:p>
    <w:p w14:paraId="71E5A017">
      <w:pPr>
        <w:snapToGrid w:val="0"/>
        <w:spacing w:before="120" w:beforeLines="50" w:after="50"/>
        <w:ind w:firstLine="645"/>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337B4A38">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2BB4D4E9">
      <w:pPr>
        <w:snapToGrid w:val="0"/>
        <w:spacing w:line="360" w:lineRule="auto"/>
        <w:jc w:val="center"/>
        <w:rPr>
          <w:rFonts w:hint="eastAsia" w:ascii="宋体" w:hAnsi="宋体" w:cs="宋体"/>
          <w:b/>
          <w:bCs/>
          <w:color w:val="auto"/>
          <w:sz w:val="28"/>
          <w:szCs w:val="28"/>
          <w:highlight w:val="none"/>
        </w:rPr>
      </w:pPr>
      <w:r>
        <w:rPr>
          <w:rFonts w:hint="eastAsia" w:ascii="宋体" w:hAnsi="宋体" w:cs="宋体"/>
          <w:color w:val="auto"/>
          <w:sz w:val="24"/>
          <w:szCs w:val="20"/>
          <w:highlight w:val="none"/>
        </w:rPr>
        <w:br w:type="page"/>
      </w:r>
      <w:r>
        <w:rPr>
          <w:rFonts w:hint="eastAsia" w:ascii="宋体" w:hAnsi="宋体" w:cs="宋体"/>
          <w:b/>
          <w:bCs/>
          <w:color w:val="auto"/>
          <w:sz w:val="28"/>
          <w:szCs w:val="28"/>
          <w:highlight w:val="none"/>
        </w:rPr>
        <w:t>商务文件目录</w:t>
      </w:r>
    </w:p>
    <w:p w14:paraId="54C1C56E">
      <w:pPr>
        <w:snapToGrid w:val="0"/>
        <w:spacing w:before="50" w:after="120" w:afterLines="50" w:line="360" w:lineRule="auto"/>
        <w:jc w:val="center"/>
        <w:rPr>
          <w:rFonts w:hint="eastAsia" w:ascii="宋体" w:hAnsi="宋体" w:cs="宋体"/>
          <w:b/>
          <w:bCs/>
          <w:color w:val="auto"/>
          <w:sz w:val="24"/>
          <w:highlight w:val="none"/>
        </w:rPr>
      </w:pPr>
      <w:r>
        <w:rPr>
          <w:rFonts w:hint="eastAsia" w:ascii="宋体" w:hAnsi="宋体" w:cs="宋体"/>
          <w:color w:val="auto"/>
          <w:szCs w:val="21"/>
          <w:highlight w:val="none"/>
        </w:rPr>
        <w:t>根据招标文件规定及投标人提供的材料自行编写目录。</w:t>
      </w:r>
    </w:p>
    <w:p w14:paraId="48132032">
      <w:pPr>
        <w:snapToGrid w:val="0"/>
        <w:spacing w:before="50" w:after="120" w:afterLines="50"/>
        <w:jc w:val="left"/>
        <w:rPr>
          <w:rFonts w:hint="eastAsia" w:ascii="宋体" w:hAnsi="宋体" w:cs="宋体"/>
          <w:color w:val="auto"/>
          <w:highlight w:val="none"/>
        </w:rPr>
      </w:pPr>
    </w:p>
    <w:p w14:paraId="254935AB">
      <w:pPr>
        <w:snapToGrid w:val="0"/>
        <w:spacing w:before="120" w:beforeLines="50" w:after="50"/>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1. 无串通投标行为的承诺函</w:t>
      </w:r>
    </w:p>
    <w:p w14:paraId="6BD938D1">
      <w:pPr>
        <w:snapToGrid w:val="0"/>
        <w:spacing w:before="120" w:beforeLines="50" w:after="50"/>
        <w:jc w:val="left"/>
        <w:rPr>
          <w:rFonts w:hint="eastAsia" w:ascii="宋体" w:hAnsi="宋体" w:cs="宋体"/>
          <w:b/>
          <w:color w:val="auto"/>
          <w:sz w:val="24"/>
          <w:highlight w:val="none"/>
        </w:rPr>
      </w:pPr>
    </w:p>
    <w:p w14:paraId="0C88E3BF">
      <w:pPr>
        <w:snapToGrid w:val="0"/>
        <w:spacing w:before="120" w:beforeLines="50" w:after="50"/>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无串通投标行为的承诺函</w:t>
      </w:r>
    </w:p>
    <w:p w14:paraId="37F4774B">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一、我方承诺无下列相互串通投标的情形：</w:t>
      </w:r>
    </w:p>
    <w:p w14:paraId="047E4D84">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1.不同投标人的投标文件由同一单位或者个人编制；或者不同投标人报名的IP地址一致的；或者编制标书硬件设备CPU编号、硬盘编号、网卡地址一致的情况。</w:t>
      </w:r>
    </w:p>
    <w:p w14:paraId="1140CF92">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14:paraId="01D44EDB">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3.不同的投标人的投标文件载明的项目管理员为同一个人；</w:t>
      </w:r>
    </w:p>
    <w:p w14:paraId="1E47F71E">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14:paraId="2D684829">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5.不同投标人的投标文件相互混装；</w:t>
      </w:r>
    </w:p>
    <w:p w14:paraId="37A4C87E">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6.不同投标人的投标保证金从同一单位或者个人账户转出。</w:t>
      </w:r>
    </w:p>
    <w:p w14:paraId="2C4292B5">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b/>
          <w:color w:val="auto"/>
          <w:szCs w:val="21"/>
          <w:highlight w:val="none"/>
        </w:rPr>
        <w:t>二、我方承诺无下列恶意串通的情形：</w:t>
      </w:r>
    </w:p>
    <w:p w14:paraId="44E4E5E6">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1.投标人直接或者间接从采购人或者采购代理机构处获得其他投标人的相关信息并修改其投标文件或者响应文件；</w:t>
      </w:r>
    </w:p>
    <w:p w14:paraId="269436EE">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2.投标人按照采购人或者采购代理机构的授意撤换、修改投标文件或者响应文件；</w:t>
      </w:r>
    </w:p>
    <w:p w14:paraId="38FB6A01">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3.投标人之间协商报价、技术方案等投标文件或者响应文件的实质性内容；</w:t>
      </w:r>
    </w:p>
    <w:p w14:paraId="6C33C5C3">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4.属于同一集团、协会、商会等组织成员的投标人按照该组织要求协同参加政府采购活动；</w:t>
      </w:r>
    </w:p>
    <w:p w14:paraId="478A3F34">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133044B0">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6.投标人之间商定部分投标人放弃参加政府采购活动或者放弃中标；</w:t>
      </w:r>
    </w:p>
    <w:p w14:paraId="17964603">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7.投标人与采购人或者采购代理机构之间、投标人相互之间，为谋求特定投标人中标或者排斥其他投标人的其他串通行为。</w:t>
      </w:r>
    </w:p>
    <w:p w14:paraId="3BA23B7C">
      <w:pPr>
        <w:keepNext w:val="0"/>
        <w:keepLines w:val="0"/>
        <w:pageBreakBefore w:val="0"/>
        <w:widowControl w:val="0"/>
        <w:kinsoku/>
        <w:wordWrap/>
        <w:overflowPunct/>
        <w:topLinePunct w:val="0"/>
        <w:autoSpaceDE/>
        <w:autoSpaceDN/>
        <w:bidi w:val="0"/>
        <w:adjustRightInd/>
        <w:snapToGrid/>
        <w:spacing w:line="400" w:lineRule="exact"/>
        <w:ind w:firstLine="413" w:firstLineChars="196"/>
        <w:contextualSpacing/>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以上情形一经核查属实，我方愿意承担一切后果，并不再寻求任何旨在减轻或者免除法律责任的辩解。</w:t>
      </w:r>
    </w:p>
    <w:p w14:paraId="6C1B2F6D">
      <w:pPr>
        <w:pStyle w:val="20"/>
        <w:keepNext w:val="0"/>
        <w:keepLines w:val="0"/>
        <w:pageBreakBefore w:val="0"/>
        <w:widowControl w:val="0"/>
        <w:kinsoku/>
        <w:wordWrap/>
        <w:overflowPunct/>
        <w:topLinePunct w:val="0"/>
        <w:autoSpaceDE/>
        <w:autoSpaceDN/>
        <w:bidi w:val="0"/>
        <w:adjustRightInd/>
        <w:snapToGrid/>
        <w:spacing w:line="400" w:lineRule="exact"/>
        <w:ind w:firstLine="840" w:firstLineChars="400"/>
        <w:textAlignment w:val="auto"/>
        <w:rPr>
          <w:rFonts w:hint="eastAsia" w:hAnsi="宋体" w:cs="宋体"/>
          <w:color w:val="auto"/>
          <w:highlight w:val="none"/>
        </w:rPr>
      </w:pPr>
      <w:r>
        <w:rPr>
          <w:rFonts w:hint="eastAsia" w:hAnsi="宋体" w:cs="宋体"/>
          <w:color w:val="auto"/>
          <w:highlight w:val="none"/>
        </w:rPr>
        <w:t xml:space="preserve"> </w:t>
      </w:r>
    </w:p>
    <w:p w14:paraId="2022B914">
      <w:pPr>
        <w:pStyle w:val="20"/>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hAnsi="宋体" w:cs="宋体"/>
          <w:color w:val="auto"/>
          <w:highlight w:val="none"/>
        </w:rPr>
      </w:pPr>
      <w:r>
        <w:rPr>
          <w:rFonts w:hint="eastAsia" w:hAnsi="宋体" w:cs="宋体"/>
          <w:color w:val="auto"/>
          <w:highlight w:val="none"/>
        </w:rPr>
        <w:t xml:space="preserve">                                    投标人名称（电子签章）</w:t>
      </w:r>
      <w:r>
        <w:rPr>
          <w:rFonts w:hint="eastAsia" w:hAnsi="宋体" w:cs="宋体"/>
          <w:color w:val="auto"/>
          <w:highlight w:val="none"/>
          <w:lang w:eastAsia="zh-CN"/>
        </w:rPr>
        <w:t>：</w:t>
      </w:r>
      <w:r>
        <w:rPr>
          <w:rFonts w:hint="eastAsia" w:hAnsi="宋体" w:cs="宋体"/>
          <w:color w:val="auto"/>
          <w:spacing w:val="20"/>
          <w:highlight w:val="none"/>
          <w:u w:val="single"/>
        </w:rPr>
        <w:t xml:space="preserve">            </w:t>
      </w:r>
      <w:r>
        <w:rPr>
          <w:rFonts w:hint="eastAsia" w:hAnsi="宋体" w:cs="宋体"/>
          <w:color w:val="auto"/>
          <w:spacing w:val="20"/>
          <w:highlight w:val="none"/>
        </w:rPr>
        <w:t xml:space="preserve"> </w:t>
      </w:r>
    </w:p>
    <w:p w14:paraId="7741759F">
      <w:pPr>
        <w:pStyle w:val="20"/>
        <w:keepNext w:val="0"/>
        <w:keepLines w:val="0"/>
        <w:pageBreakBefore w:val="0"/>
        <w:widowControl w:val="0"/>
        <w:kinsoku/>
        <w:wordWrap/>
        <w:overflowPunct/>
        <w:topLinePunct w:val="0"/>
        <w:autoSpaceDE/>
        <w:autoSpaceDN/>
        <w:bidi w:val="0"/>
        <w:adjustRightInd/>
        <w:snapToGrid/>
        <w:spacing w:line="400" w:lineRule="exact"/>
        <w:contextualSpacing/>
        <w:jc w:val="right"/>
        <w:textAlignment w:val="auto"/>
        <w:rPr>
          <w:rFonts w:hint="eastAsia" w:hAnsi="宋体" w:cs="宋体"/>
          <w:color w:val="auto"/>
          <w:highlight w:val="none"/>
        </w:rPr>
      </w:pPr>
      <w:r>
        <w:rPr>
          <w:rFonts w:hint="eastAsia" w:hAnsi="宋体" w:cs="宋体"/>
          <w:color w:val="auto"/>
          <w:highlight w:val="none"/>
        </w:rPr>
        <w:t xml:space="preserve">                                                </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50CC18A5">
      <w:pPr>
        <w:snapToGrid w:val="0"/>
        <w:spacing w:before="120" w:beforeLines="50" w:after="50" w:line="360" w:lineRule="auto"/>
        <w:ind w:firstLine="472" w:firstLineChars="196"/>
        <w:jc w:val="left"/>
        <w:rPr>
          <w:rFonts w:hint="eastAsia"/>
          <w:color w:val="auto"/>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2.投标保证金缴纳证明</w:t>
      </w:r>
    </w:p>
    <w:p w14:paraId="3BFB63B6">
      <w:pPr>
        <w:pStyle w:val="20"/>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Ansi="宋体"/>
          <w:color w:val="auto"/>
          <w:sz w:val="24"/>
          <w:szCs w:val="24"/>
          <w:highlight w:val="none"/>
        </w:rPr>
      </w:pPr>
    </w:p>
    <w:p w14:paraId="0EFC01AD">
      <w:pPr>
        <w:keepNext w:val="0"/>
        <w:keepLines w:val="0"/>
        <w:pageBreakBefore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olor w:val="auto"/>
          <w:szCs w:val="21"/>
          <w:highlight w:val="none"/>
        </w:rPr>
      </w:pPr>
    </w:p>
    <w:p w14:paraId="68109812">
      <w:pPr>
        <w:keepNext w:val="0"/>
        <w:keepLines w:val="0"/>
        <w:pageBreakBefore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olor w:val="auto"/>
          <w:szCs w:val="21"/>
          <w:highlight w:val="none"/>
        </w:rPr>
      </w:pPr>
      <w:r>
        <w:rPr>
          <w:rFonts w:hint="eastAsia" w:ascii="宋体" w:hAnsi="宋体"/>
          <w:color w:val="auto"/>
          <w:szCs w:val="21"/>
          <w:highlight w:val="none"/>
        </w:rPr>
        <w:t>附：银行出具的汇款单或转账凭证扫描件或保函扫描件。</w:t>
      </w:r>
    </w:p>
    <w:p w14:paraId="63EC8DBE">
      <w:pPr>
        <w:rPr>
          <w:rFonts w:hint="eastAsia"/>
          <w:color w:val="auto"/>
          <w:highlight w:val="none"/>
        </w:rPr>
      </w:pPr>
    </w:p>
    <w:p w14:paraId="6957C4EB">
      <w:pPr>
        <w:spacing w:line="520" w:lineRule="exact"/>
        <w:ind w:left="239" w:leftChars="114" w:firstLine="6144" w:firstLineChars="2550"/>
        <w:jc w:val="left"/>
        <w:rPr>
          <w:rFonts w:hint="eastAsia" w:ascii="宋体" w:hAnsi="宋体" w:cs="宋体"/>
          <w:b/>
          <w:color w:val="auto"/>
          <w:kern w:val="0"/>
          <w:sz w:val="24"/>
          <w:highlight w:val="none"/>
        </w:rPr>
      </w:pPr>
    </w:p>
    <w:p w14:paraId="11B1991A">
      <w:pPr>
        <w:snapToGrid w:val="0"/>
        <w:spacing w:before="120" w:beforeLines="50" w:after="50"/>
        <w:ind w:firstLine="472" w:firstLineChars="196"/>
        <w:jc w:val="left"/>
        <w:rPr>
          <w:rFonts w:hint="eastAsia"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3.法定代表人身份证明</w:t>
      </w:r>
    </w:p>
    <w:p w14:paraId="37E4C4BF">
      <w:pPr>
        <w:spacing w:before="240" w:beforeLines="100" w:after="120" w:afterLines="50"/>
        <w:ind w:left="540"/>
        <w:jc w:val="center"/>
        <w:rPr>
          <w:rFonts w:hint="eastAsia" w:ascii="宋体" w:hAnsi="宋体" w:cs="宋体"/>
          <w:b/>
          <w:color w:val="auto"/>
          <w:sz w:val="32"/>
          <w:szCs w:val="32"/>
          <w:highlight w:val="none"/>
        </w:rPr>
      </w:pPr>
    </w:p>
    <w:p w14:paraId="7B0587E9">
      <w:pPr>
        <w:spacing w:before="240" w:beforeLines="100" w:after="120" w:afterLines="50"/>
        <w:ind w:left="540"/>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法定代表人身份证明</w:t>
      </w:r>
    </w:p>
    <w:p w14:paraId="6B6D05A2">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投 标 人：</w:t>
      </w:r>
      <w:r>
        <w:rPr>
          <w:rFonts w:hint="eastAsia" w:ascii="宋体" w:hAnsi="宋体" w:cs="宋体"/>
          <w:color w:val="auto"/>
          <w:szCs w:val="21"/>
          <w:highlight w:val="none"/>
          <w:u w:val="single"/>
        </w:rPr>
        <w:t xml:space="preserve">                                                        </w:t>
      </w:r>
    </w:p>
    <w:p w14:paraId="3620E53C">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0F830474">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      别：</w:t>
      </w:r>
      <w:r>
        <w:rPr>
          <w:rFonts w:hint="eastAsia" w:ascii="宋体" w:hAnsi="宋体" w:cs="宋体"/>
          <w:color w:val="auto"/>
          <w:szCs w:val="21"/>
          <w:highlight w:val="none"/>
          <w:u w:val="single"/>
        </w:rPr>
        <w:t xml:space="preserve">                </w:t>
      </w:r>
    </w:p>
    <w:p w14:paraId="1819CBE1">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年    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w:t>
      </w:r>
    </w:p>
    <w:p w14:paraId="13C23628">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0E890DF6">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（投标人名称）              </w:t>
      </w:r>
      <w:r>
        <w:rPr>
          <w:rFonts w:hint="eastAsia" w:ascii="宋体" w:hAnsi="宋体" w:cs="宋体"/>
          <w:color w:val="auto"/>
          <w:szCs w:val="21"/>
          <w:highlight w:val="none"/>
        </w:rPr>
        <w:t>的法定代表人。</w:t>
      </w:r>
    </w:p>
    <w:p w14:paraId="62E66F8A">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特此证明。</w:t>
      </w:r>
    </w:p>
    <w:p w14:paraId="17B8E551">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p>
    <w:p w14:paraId="6003C90F">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p>
    <w:p w14:paraId="40D8FE6C">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附件：法定代表人有效身份证正反面复印件</w:t>
      </w:r>
    </w:p>
    <w:p w14:paraId="26BFFCFB">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p>
    <w:p w14:paraId="46F3734A">
      <w:pPr>
        <w:keepNext w:val="0"/>
        <w:keepLines w:val="0"/>
        <w:pageBreakBefore w:val="0"/>
        <w:widowControl w:val="0"/>
        <w:kinsoku/>
        <w:wordWrap/>
        <w:overflowPunct/>
        <w:topLinePunct w:val="0"/>
        <w:autoSpaceDE/>
        <w:autoSpaceDN/>
        <w:bidi w:val="0"/>
        <w:adjustRightInd/>
        <w:spacing w:line="400" w:lineRule="exact"/>
        <w:ind w:right="420" w:firstLine="4620" w:firstLineChars="2200"/>
        <w:textAlignment w:val="auto"/>
        <w:rPr>
          <w:rFonts w:hint="eastAsia" w:ascii="宋体" w:hAnsi="宋体" w:cs="宋体"/>
          <w:color w:val="auto"/>
          <w:szCs w:val="21"/>
          <w:highlight w:val="none"/>
        </w:rPr>
      </w:pPr>
      <w:r>
        <w:rPr>
          <w:rFonts w:hint="eastAsia" w:ascii="宋体" w:hAnsi="宋体" w:cs="宋体"/>
          <w:color w:val="auto"/>
          <w:szCs w:val="21"/>
          <w:highlight w:val="none"/>
        </w:rPr>
        <w:t>投标人名称（电子签章）</w:t>
      </w:r>
      <w:r>
        <w:rPr>
          <w:rFonts w:hint="eastAsia" w:ascii="宋体" w:hAnsi="宋体" w:cs="宋体"/>
          <w:color w:val="auto"/>
          <w:szCs w:val="21"/>
          <w:highlight w:val="none"/>
          <w:lang w:eastAsia="zh-CN"/>
        </w:rPr>
        <w:t>：</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18CBA684">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left="540" w:right="420"/>
        <w:jc w:val="right"/>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4D87AB8">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p>
    <w:p w14:paraId="5D8D4809">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r>
        <w:rPr>
          <w:rFonts w:hint="eastAsia" w:ascii="宋体" w:hAnsi="宋体" w:cs="宋体"/>
          <w:color w:val="auto"/>
          <w:szCs w:val="21"/>
          <w:highlight w:val="none"/>
        </w:rPr>
        <w:t>注：自然人投标的无需提供</w:t>
      </w:r>
    </w:p>
    <w:p w14:paraId="707C44B9">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4.授权委托书格式</w:t>
      </w:r>
    </w:p>
    <w:p w14:paraId="44522D30">
      <w:pPr>
        <w:snapToGrid w:val="0"/>
        <w:spacing w:before="120" w:beforeLines="50" w:after="50"/>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授权委托书</w:t>
      </w:r>
    </w:p>
    <w:p w14:paraId="546F3224">
      <w:pPr>
        <w:snapToGrid w:val="0"/>
        <w:spacing w:before="120" w:beforeLines="50" w:after="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（非联合体投标格式）</w:t>
      </w:r>
    </w:p>
    <w:p w14:paraId="43203B8F">
      <w:pPr>
        <w:snapToGrid w:val="0"/>
        <w:spacing w:before="120" w:beforeLines="50" w:after="50"/>
        <w:jc w:val="center"/>
        <w:rPr>
          <w:rFonts w:hint="eastAsia" w:ascii="宋体" w:hAnsi="宋体" w:cs="宋体"/>
          <w:b/>
          <w:color w:val="auto"/>
          <w:sz w:val="24"/>
          <w:highlight w:val="none"/>
        </w:rPr>
      </w:pPr>
      <w:r>
        <w:rPr>
          <w:rFonts w:hint="eastAsia" w:ascii="宋体" w:hAnsi="宋体" w:cs="宋体"/>
          <w:b/>
          <w:color w:val="auto"/>
          <w:sz w:val="32"/>
          <w:szCs w:val="32"/>
          <w:highlight w:val="none"/>
        </w:rPr>
        <w:t>（如有委托时）</w:t>
      </w:r>
    </w:p>
    <w:p w14:paraId="69CAD7F8">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b/>
          <w:bCs/>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u w:val="single"/>
        </w:rPr>
        <w:t>采购人名称</w:t>
      </w:r>
    </w:p>
    <w:p w14:paraId="556123E2">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（投标人名称）的法定代表人，现授权委托</w:t>
      </w:r>
      <w:r>
        <w:rPr>
          <w:rFonts w:hint="eastAsia" w:ascii="宋体" w:hAnsi="宋体" w:cs="宋体"/>
          <w:color w:val="auto"/>
          <w:szCs w:val="21"/>
          <w:highlight w:val="none"/>
          <w:u w:val="single"/>
        </w:rPr>
        <w:t xml:space="preserve">              （姓名）</w:t>
      </w:r>
      <w:r>
        <w:rPr>
          <w:rFonts w:hint="eastAsia" w:ascii="宋体" w:hAnsi="宋体" w:cs="宋体"/>
          <w:color w:val="auto"/>
          <w:szCs w:val="21"/>
          <w:highlight w:val="none"/>
        </w:rPr>
        <w:t>以我方的名义参加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项目的投标活动，并代表我方全权办理针对上述项目的所有采购程序和环节的具体事务和签署相关文件。</w:t>
      </w:r>
    </w:p>
    <w:p w14:paraId="2AFFFCB4">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我方对委托代理人的签字或者电子签名事项负全部责任。</w:t>
      </w:r>
    </w:p>
    <w:p w14:paraId="6A6E83E4">
      <w:pPr>
        <w:keepNext w:val="0"/>
        <w:keepLines w:val="0"/>
        <w:pageBreakBefore w:val="0"/>
        <w:widowControl w:val="0"/>
        <w:kinsoku/>
        <w:wordWrap/>
        <w:overflowPunct/>
        <w:topLinePunct w:val="0"/>
        <w:autoSpaceDE/>
        <w:autoSpaceDN/>
        <w:bidi w:val="0"/>
        <w:adjustRightInd/>
        <w:spacing w:line="400" w:lineRule="exact"/>
        <w:ind w:firstLine="480"/>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本授权书自签署之日起生效，在撤销授权的书面通知以前，本授权书一直有效。委托代理人在授权书有效期内签署的所有文件不因授权的撤销而失效。</w:t>
      </w:r>
    </w:p>
    <w:p w14:paraId="5E98F98A">
      <w:pPr>
        <w:keepNext w:val="0"/>
        <w:keepLines w:val="0"/>
        <w:pageBreakBefore w:val="0"/>
        <w:widowControl w:val="0"/>
        <w:kinsoku/>
        <w:wordWrap/>
        <w:overflowPunct/>
        <w:topLinePunct w:val="0"/>
        <w:autoSpaceDE/>
        <w:autoSpaceDN/>
        <w:bidi w:val="0"/>
        <w:adjustRightInd/>
        <w:spacing w:line="400" w:lineRule="exact"/>
        <w:ind w:firstLine="480"/>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委托代理人无转委托权，特此委托。</w:t>
      </w:r>
    </w:p>
    <w:p w14:paraId="63D093E5">
      <w:pPr>
        <w:keepNext w:val="0"/>
        <w:keepLines w:val="0"/>
        <w:pageBreakBefore w:val="0"/>
        <w:widowControl w:val="0"/>
        <w:kinsoku/>
        <w:wordWrap/>
        <w:overflowPunct/>
        <w:topLinePunct w:val="0"/>
        <w:autoSpaceDE/>
        <w:autoSpaceDN/>
        <w:bidi w:val="0"/>
        <w:adjustRightInd/>
        <w:spacing w:line="400" w:lineRule="exact"/>
        <w:ind w:firstLine="480"/>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附：法定代表人身份证明及委托代理人有效身份证正反面复印件</w:t>
      </w:r>
    </w:p>
    <w:p w14:paraId="3C24D984">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p>
    <w:p w14:paraId="27C31FE2">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委托代理人（签字或者电子签名）：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9EF9E1B">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委托代理人身份证号码：</w:t>
      </w:r>
      <w:r>
        <w:rPr>
          <w:rFonts w:hint="eastAsia" w:ascii="宋体" w:hAnsi="宋体" w:cs="宋体"/>
          <w:color w:val="auto"/>
          <w:szCs w:val="21"/>
          <w:highlight w:val="none"/>
          <w:u w:val="single"/>
        </w:rPr>
        <w:t xml:space="preserve">                             </w:t>
      </w:r>
    </w:p>
    <w:p w14:paraId="7C2840D0">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法定代表人（签字或者盖章或者电子签名）：</w:t>
      </w:r>
      <w:r>
        <w:rPr>
          <w:rFonts w:hint="eastAsia" w:ascii="宋体" w:hAnsi="宋体" w:cs="宋体"/>
          <w:color w:val="auto"/>
          <w:szCs w:val="21"/>
          <w:highlight w:val="none"/>
          <w:u w:val="single"/>
        </w:rPr>
        <w:t xml:space="preserve">              </w:t>
      </w:r>
    </w:p>
    <w:p w14:paraId="5776F1B0">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18ECDC4D">
      <w:pPr>
        <w:keepNext w:val="0"/>
        <w:keepLines w:val="0"/>
        <w:pageBreakBefore w:val="0"/>
        <w:widowControl w:val="0"/>
        <w:kinsoku/>
        <w:wordWrap/>
        <w:overflowPunct/>
        <w:topLinePunct w:val="0"/>
        <w:autoSpaceDE/>
        <w:autoSpaceDN/>
        <w:bidi w:val="0"/>
        <w:adjustRightInd/>
        <w:spacing w:line="400" w:lineRule="exact"/>
        <w:contextualSpacing/>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714EE936">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left="540" w:right="420"/>
        <w:jc w:val="righ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795C9AF">
      <w:pPr>
        <w:keepNext w:val="0"/>
        <w:keepLines w:val="0"/>
        <w:pageBreakBefore w:val="0"/>
        <w:widowControl w:val="0"/>
        <w:kinsoku/>
        <w:wordWrap/>
        <w:overflowPunct/>
        <w:topLinePunct w:val="0"/>
        <w:autoSpaceDE/>
        <w:autoSpaceDN/>
        <w:bidi w:val="0"/>
        <w:adjustRightInd/>
        <w:spacing w:line="400" w:lineRule="exact"/>
        <w:contextualSpacing/>
        <w:jc w:val="center"/>
        <w:textAlignment w:val="auto"/>
        <w:rPr>
          <w:rFonts w:hint="eastAsia" w:ascii="宋体" w:hAnsi="宋体" w:cs="宋体"/>
          <w:color w:val="auto"/>
          <w:szCs w:val="21"/>
          <w:highlight w:val="none"/>
        </w:rPr>
      </w:pPr>
    </w:p>
    <w:p w14:paraId="0289D06A">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注：1.</w:t>
      </w:r>
      <w:bookmarkStart w:id="201" w:name="_Hlk65851555"/>
      <w:bookmarkStart w:id="202" w:name="_Hlk65851620"/>
      <w:r>
        <w:rPr>
          <w:rFonts w:hint="eastAsia" w:ascii="宋体" w:hAnsi="宋体" w:cs="宋体"/>
          <w:color w:val="auto"/>
          <w:szCs w:val="21"/>
          <w:highlight w:val="none"/>
        </w:rPr>
        <w:t>法定代表人必须在授权委托书上签字或者盖章或者电子签名，</w:t>
      </w:r>
      <w:bookmarkEnd w:id="201"/>
      <w:r>
        <w:rPr>
          <w:rFonts w:hint="eastAsia" w:ascii="宋体" w:hAnsi="宋体" w:cs="宋体"/>
          <w:color w:val="auto"/>
          <w:szCs w:val="21"/>
          <w:highlight w:val="none"/>
        </w:rPr>
        <w:t>委托代理人必须在授权委托书上签字或者电子签名，</w:t>
      </w:r>
      <w:r>
        <w:rPr>
          <w:rFonts w:hint="eastAsia" w:ascii="宋体" w:hAnsi="宋体" w:cs="宋体"/>
          <w:b/>
          <w:bCs/>
          <w:color w:val="auto"/>
          <w:szCs w:val="21"/>
          <w:highlight w:val="none"/>
        </w:rPr>
        <w:t>否则按无效投标处理</w:t>
      </w:r>
      <w:r>
        <w:rPr>
          <w:rFonts w:hint="eastAsia" w:ascii="宋体" w:hAnsi="宋体" w:cs="宋体"/>
          <w:color w:val="auto"/>
          <w:szCs w:val="21"/>
          <w:highlight w:val="none"/>
        </w:rPr>
        <w:t>；</w:t>
      </w:r>
      <w:bookmarkEnd w:id="202"/>
    </w:p>
    <w:p w14:paraId="1BBFAF72">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2.法人、其他组织投标时“我方”是指“我单位”，自然人投标时“我方”是指“本人”。</w:t>
      </w:r>
    </w:p>
    <w:p w14:paraId="69946DDD">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firstLine="566" w:firstLineChars="236"/>
        <w:jc w:val="center"/>
        <w:textAlignment w:val="auto"/>
        <w:rPr>
          <w:rFonts w:hint="eastAsia" w:ascii="宋体" w:hAnsi="宋体" w:cs="宋体"/>
          <w:b/>
          <w:color w:val="auto"/>
          <w:sz w:val="30"/>
          <w:szCs w:val="30"/>
          <w:highlight w:val="none"/>
        </w:rPr>
      </w:pPr>
      <w:r>
        <w:rPr>
          <w:rFonts w:hint="eastAsia" w:ascii="宋体" w:hAnsi="宋体" w:cs="宋体"/>
          <w:color w:val="auto"/>
          <w:sz w:val="24"/>
          <w:highlight w:val="none"/>
        </w:rPr>
        <w:br w:type="page"/>
      </w:r>
      <w:r>
        <w:rPr>
          <w:rFonts w:hint="eastAsia" w:ascii="宋体" w:hAnsi="宋体" w:cs="宋体"/>
          <w:b/>
          <w:color w:val="auto"/>
          <w:sz w:val="30"/>
          <w:szCs w:val="30"/>
          <w:highlight w:val="none"/>
        </w:rPr>
        <w:t>授权委托书</w:t>
      </w:r>
    </w:p>
    <w:p w14:paraId="1CCEF1D8">
      <w:pPr>
        <w:snapToGrid w:val="0"/>
        <w:spacing w:before="120" w:beforeLines="50" w:after="50"/>
        <w:ind w:firstLine="758" w:firstLineChars="236"/>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（联合体投标格式）</w:t>
      </w:r>
    </w:p>
    <w:p w14:paraId="6E70E2A7">
      <w:pPr>
        <w:snapToGrid w:val="0"/>
        <w:spacing w:before="120" w:beforeLines="50" w:after="50"/>
        <w:ind w:firstLine="758" w:firstLineChars="236"/>
        <w:jc w:val="center"/>
        <w:rPr>
          <w:rFonts w:hint="eastAsia" w:ascii="宋体" w:hAnsi="宋体" w:cs="宋体"/>
          <w:color w:val="auto"/>
          <w:sz w:val="24"/>
          <w:highlight w:val="none"/>
        </w:rPr>
      </w:pPr>
      <w:r>
        <w:rPr>
          <w:rFonts w:hint="eastAsia" w:ascii="宋体" w:hAnsi="宋体" w:cs="宋体"/>
          <w:b/>
          <w:bCs/>
          <w:color w:val="auto"/>
          <w:sz w:val="32"/>
          <w:szCs w:val="32"/>
          <w:highlight w:val="none"/>
        </w:rPr>
        <w:t>（如有委托时）</w:t>
      </w:r>
    </w:p>
    <w:p w14:paraId="5642B521">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u w:val="single"/>
        </w:rPr>
        <w:t>采购人名称</w:t>
      </w:r>
    </w:p>
    <w:p w14:paraId="6E0CA110">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根据 </w:t>
      </w:r>
      <w:r>
        <w:rPr>
          <w:rFonts w:hint="eastAsia" w:ascii="宋体" w:hAnsi="宋体" w:cs="宋体"/>
          <w:color w:val="auto"/>
          <w:szCs w:val="21"/>
          <w:highlight w:val="none"/>
          <w:u w:val="single"/>
        </w:rPr>
        <w:t xml:space="preserve"> （牵头人名称）</w:t>
      </w:r>
      <w:r>
        <w:rPr>
          <w:rFonts w:hint="eastAsia" w:ascii="宋体" w:hAnsi="宋体" w:cs="宋体"/>
          <w:color w:val="auto"/>
          <w:szCs w:val="21"/>
          <w:highlight w:val="none"/>
        </w:rPr>
        <w:t>与</w:t>
      </w:r>
      <w:r>
        <w:rPr>
          <w:rFonts w:hint="eastAsia" w:ascii="宋体" w:hAnsi="宋体" w:cs="宋体"/>
          <w:color w:val="auto"/>
          <w:szCs w:val="21"/>
          <w:highlight w:val="none"/>
          <w:u w:val="single"/>
        </w:rPr>
        <w:t>（联合体其他成员名称）</w:t>
      </w:r>
      <w:r>
        <w:rPr>
          <w:rFonts w:hint="eastAsia" w:ascii="宋体" w:hAnsi="宋体" w:cs="宋体"/>
          <w:color w:val="auto"/>
          <w:szCs w:val="21"/>
          <w:highlight w:val="none"/>
        </w:rPr>
        <w:t>签订的《联合体投标协议书》的内容，</w:t>
      </w:r>
      <w:r>
        <w:rPr>
          <w:rFonts w:hint="eastAsia" w:ascii="宋体" w:hAnsi="宋体" w:cs="宋体"/>
          <w:color w:val="auto"/>
          <w:szCs w:val="21"/>
          <w:highlight w:val="none"/>
          <w:u w:val="single"/>
        </w:rPr>
        <w:t>（牵头人名称）</w:t>
      </w:r>
      <w:r>
        <w:rPr>
          <w:rFonts w:hint="eastAsia" w:ascii="宋体" w:hAnsi="宋体" w:cs="宋体"/>
          <w:color w:val="auto"/>
          <w:szCs w:val="21"/>
          <w:highlight w:val="none"/>
        </w:rPr>
        <w:t>的法定代表人</w:t>
      </w:r>
      <w:r>
        <w:rPr>
          <w:rFonts w:hint="eastAsia" w:ascii="宋体" w:hAnsi="宋体" w:cs="宋体"/>
          <w:color w:val="auto"/>
          <w:szCs w:val="21"/>
          <w:highlight w:val="none"/>
          <w:u w:val="single"/>
        </w:rPr>
        <w:t>（姓名）</w:t>
      </w:r>
      <w:r>
        <w:rPr>
          <w:rFonts w:hint="eastAsia" w:ascii="宋体" w:hAnsi="宋体" w:cs="宋体"/>
          <w:color w:val="auto"/>
          <w:szCs w:val="21"/>
          <w:highlight w:val="none"/>
        </w:rPr>
        <w:t>现授权委托</w:t>
      </w:r>
      <w:r>
        <w:rPr>
          <w:rFonts w:hint="eastAsia" w:ascii="宋体" w:hAnsi="宋体" w:cs="宋体"/>
          <w:color w:val="auto"/>
          <w:szCs w:val="21"/>
          <w:highlight w:val="none"/>
          <w:u w:val="single"/>
        </w:rPr>
        <w:t xml:space="preserve">          （姓名）</w:t>
      </w:r>
      <w:r>
        <w:rPr>
          <w:rFonts w:hint="eastAsia" w:ascii="宋体" w:hAnsi="宋体" w:cs="宋体"/>
          <w:color w:val="auto"/>
          <w:szCs w:val="21"/>
          <w:highlight w:val="none"/>
        </w:rPr>
        <w:t>以我方的名义参加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项目的投标活动，并代表我方全权办理针对上述项目的所有采购程序和环节的具体事务和签署相关文件。</w:t>
      </w:r>
    </w:p>
    <w:p w14:paraId="5F5B71F9">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bookmarkStart w:id="203" w:name="_Hlk65852658"/>
      <w:r>
        <w:rPr>
          <w:rFonts w:hint="eastAsia" w:ascii="宋体" w:hAnsi="宋体" w:cs="宋体"/>
          <w:color w:val="auto"/>
          <w:szCs w:val="21"/>
          <w:highlight w:val="none"/>
        </w:rPr>
        <w:t>我方对委托代理人的签字或者电子签名事项负全部责任。</w:t>
      </w:r>
    </w:p>
    <w:p w14:paraId="49AB7A6D">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本授权书自签署之日起生效，在撤销授权的书面通知以前，本授权书一直有效。委托代理人在授权书有效期内签署的所有文件不因授权的撤销而失效。</w:t>
      </w:r>
    </w:p>
    <w:p w14:paraId="2F86BB6E">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委托代理人无转委托权，特此委托。</w:t>
      </w:r>
    </w:p>
    <w:p w14:paraId="5D4AE9DB">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附：牵头人法定代表人身份证明及委托代理人有效身份证正反面复印件</w:t>
      </w:r>
    </w:p>
    <w:p w14:paraId="1AB41C88">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p>
    <w:p w14:paraId="06A36B02">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牵头人法定代表人（签字或者盖章或者电子签名）：</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4231DB16">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牵头人（电子签章）：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0D4F6A38">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48349B7A">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p>
    <w:p w14:paraId="643BF2A9">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被授权人（签字或者电子签名）：</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799A6264">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50DD58EC">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注：1.法定代表人必须在授权委托书上签字或者盖章或者电子签名，委托代理人必须在授权委托书上签字或者电子签名，</w:t>
      </w:r>
      <w:r>
        <w:rPr>
          <w:rFonts w:hint="eastAsia" w:ascii="宋体" w:hAnsi="宋体" w:cs="宋体"/>
          <w:b/>
          <w:bCs/>
          <w:color w:val="auto"/>
          <w:szCs w:val="21"/>
          <w:highlight w:val="none"/>
        </w:rPr>
        <w:t>否则按无效投标处理</w:t>
      </w:r>
      <w:r>
        <w:rPr>
          <w:rFonts w:hint="eastAsia" w:ascii="宋体" w:hAnsi="宋体" w:cs="宋体"/>
          <w:color w:val="auto"/>
          <w:szCs w:val="21"/>
          <w:highlight w:val="none"/>
        </w:rPr>
        <w:t>；</w:t>
      </w:r>
    </w:p>
    <w:p w14:paraId="4AA7AA6C">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 w:val="24"/>
          <w:highlight w:val="none"/>
        </w:rPr>
      </w:pPr>
      <w:r>
        <w:rPr>
          <w:rFonts w:hint="eastAsia" w:ascii="宋体" w:hAnsi="宋体" w:cs="宋体"/>
          <w:color w:val="auto"/>
          <w:szCs w:val="21"/>
          <w:highlight w:val="none"/>
        </w:rPr>
        <w:t>2.法人、其他组织投标时“我方”是指“我单位”，自然人投标时“我方”是指“本人”。</w:t>
      </w:r>
    </w:p>
    <w:p w14:paraId="2A1960A9">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 w:val="24"/>
          <w:highlight w:val="none"/>
        </w:rPr>
      </w:pPr>
    </w:p>
    <w:bookmarkEnd w:id="203"/>
    <w:p w14:paraId="508036EC">
      <w:pPr>
        <w:keepNext w:val="0"/>
        <w:keepLines w:val="0"/>
        <w:pageBreakBefore w:val="0"/>
        <w:widowControl w:val="0"/>
        <w:kinsoku/>
        <w:wordWrap/>
        <w:overflowPunct/>
        <w:topLinePunct w:val="0"/>
        <w:autoSpaceDE/>
        <w:autoSpaceDN/>
        <w:bidi w:val="0"/>
        <w:adjustRightInd/>
        <w:snapToGrid w:val="0"/>
        <w:spacing w:before="50" w:after="120" w:afterLines="50" w:line="400" w:lineRule="exact"/>
        <w:ind w:firstLine="480" w:firstLineChars="200"/>
        <w:jc w:val="left"/>
        <w:textAlignment w:val="auto"/>
        <w:rPr>
          <w:rFonts w:hint="eastAsia" w:ascii="宋体" w:hAnsi="宋体" w:cs="宋体"/>
          <w:color w:val="auto"/>
          <w:sz w:val="24"/>
          <w:highlight w:val="none"/>
        </w:rPr>
        <w:sectPr>
          <w:footerReference r:id="rId9" w:type="first"/>
          <w:footerReference r:id="rId8" w:type="default"/>
          <w:pgSz w:w="11906" w:h="16838"/>
          <w:pgMar w:top="1440" w:right="1803" w:bottom="1440" w:left="1803" w:header="850" w:footer="850" w:gutter="0"/>
          <w:pgNumType w:fmt="decimal"/>
          <w:cols w:space="720" w:num="1"/>
          <w:docGrid w:linePitch="312" w:charSpace="0"/>
        </w:sectPr>
      </w:pPr>
    </w:p>
    <w:p w14:paraId="2041B8A4">
      <w:pPr>
        <w:rPr>
          <w:rFonts w:hint="eastAsia" w:ascii="宋体" w:hAnsi="宋体" w:cs="宋体"/>
          <w:color w:val="auto"/>
          <w:sz w:val="24"/>
          <w:highlight w:val="none"/>
        </w:rPr>
      </w:pPr>
    </w:p>
    <w:p w14:paraId="50CA4A2B">
      <w:pPr>
        <w:rPr>
          <w:rFonts w:hint="eastAsia" w:ascii="宋体" w:hAnsi="宋体" w:cs="宋体"/>
          <w:b/>
          <w:color w:val="auto"/>
          <w:sz w:val="24"/>
          <w:szCs w:val="20"/>
          <w:highlight w:val="none"/>
        </w:rPr>
      </w:pPr>
      <w:r>
        <w:rPr>
          <w:rFonts w:hint="eastAsia" w:ascii="宋体" w:hAnsi="宋体" w:cs="宋体"/>
          <w:b/>
          <w:color w:val="auto"/>
          <w:sz w:val="24"/>
          <w:highlight w:val="none"/>
        </w:rPr>
        <w:t>5.商务要求偏离表格式（注：按项目需求表具体项目修改）</w:t>
      </w:r>
    </w:p>
    <w:p w14:paraId="48D83986">
      <w:pPr>
        <w:snapToGrid w:val="0"/>
        <w:spacing w:before="50"/>
        <w:jc w:val="left"/>
        <w:rPr>
          <w:rFonts w:hint="eastAsia" w:ascii="宋体" w:hAnsi="宋体" w:cs="宋体"/>
          <w:color w:val="auto"/>
          <w:sz w:val="24"/>
          <w:highlight w:val="none"/>
        </w:rPr>
      </w:pPr>
    </w:p>
    <w:p w14:paraId="2ECFA986">
      <w:pPr>
        <w:pStyle w:val="20"/>
        <w:spacing w:line="440" w:lineRule="exact"/>
        <w:rPr>
          <w:rFonts w:hint="eastAsia" w:hAnsi="宋体" w:cs="宋体"/>
          <w:color w:val="auto"/>
          <w:highlight w:val="none"/>
        </w:rPr>
      </w:pPr>
      <w:r>
        <w:rPr>
          <w:rFonts w:hint="eastAsia" w:hAnsi="宋体" w:cs="宋体"/>
          <w:color w:val="auto"/>
          <w:highlight w:val="none"/>
        </w:rPr>
        <w:t>所投分标：</w:t>
      </w:r>
      <w:r>
        <w:rPr>
          <w:rFonts w:hint="eastAsia" w:hAnsi="宋体" w:cs="宋体"/>
          <w:color w:val="auto"/>
          <w:highlight w:val="none"/>
          <w:u w:val="single"/>
        </w:rPr>
        <w:t xml:space="preserve">   </w:t>
      </w:r>
      <w:r>
        <w:rPr>
          <w:rFonts w:hint="eastAsia" w:hAnsi="宋体" w:cs="宋体"/>
          <w:color w:val="auto"/>
          <w:highlight w:val="none"/>
          <w:u w:val="single"/>
          <w:lang w:val="en-US" w:eastAsia="zh-CN"/>
        </w:rPr>
        <w:t>/</w:t>
      </w:r>
      <w:r>
        <w:rPr>
          <w:rFonts w:hint="eastAsia" w:hAnsi="宋体" w:cs="宋体"/>
          <w:color w:val="auto"/>
          <w:highlight w:val="none"/>
          <w:u w:val="single"/>
        </w:rPr>
        <w:t xml:space="preserve">  </w:t>
      </w:r>
      <w:r>
        <w:rPr>
          <w:rFonts w:hint="eastAsia" w:hAnsi="宋体" w:cs="宋体"/>
          <w:color w:val="auto"/>
          <w:highlight w:val="none"/>
        </w:rPr>
        <w:t>分标</w:t>
      </w:r>
    </w:p>
    <w:p w14:paraId="57F53859">
      <w:pPr>
        <w:snapToGrid w:val="0"/>
        <w:spacing w:before="50" w:line="440" w:lineRule="exact"/>
        <w:jc w:val="left"/>
        <w:rPr>
          <w:rFonts w:hint="eastAsia" w:ascii="宋体" w:hAnsi="宋体" w:cs="宋体"/>
          <w:color w:val="auto"/>
          <w:szCs w:val="21"/>
          <w:highlight w:val="none"/>
          <w:u w:val="single"/>
        </w:rPr>
      </w:pPr>
    </w:p>
    <w:tbl>
      <w:tblPr>
        <w:tblStyle w:val="39"/>
        <w:tblW w:w="0" w:type="auto"/>
        <w:tblInd w:w="9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3"/>
        <w:gridCol w:w="2776"/>
        <w:gridCol w:w="1760"/>
        <w:gridCol w:w="2853"/>
      </w:tblGrid>
      <w:tr w14:paraId="09C1A2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853" w:type="dxa"/>
            <w:tcBorders>
              <w:top w:val="single" w:color="auto" w:sz="4" w:space="0"/>
              <w:left w:val="single" w:color="auto" w:sz="4" w:space="0"/>
              <w:bottom w:val="single" w:color="auto" w:sz="4" w:space="0"/>
              <w:right w:val="single" w:color="auto" w:sz="4" w:space="0"/>
            </w:tcBorders>
            <w:noWrap w:val="0"/>
            <w:vAlign w:val="top"/>
          </w:tcPr>
          <w:p w14:paraId="0AF474C4">
            <w:pPr>
              <w:snapToGrid w:val="0"/>
              <w:spacing w:before="120" w:before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2776" w:type="dxa"/>
            <w:tcBorders>
              <w:top w:val="single" w:color="auto" w:sz="4" w:space="0"/>
              <w:left w:val="single" w:color="auto" w:sz="4" w:space="0"/>
              <w:bottom w:val="single" w:color="auto" w:sz="4" w:space="0"/>
              <w:right w:val="single" w:color="auto" w:sz="4" w:space="0"/>
            </w:tcBorders>
            <w:noWrap w:val="0"/>
            <w:vAlign w:val="top"/>
          </w:tcPr>
          <w:p w14:paraId="18FB9427">
            <w:pPr>
              <w:snapToGrid w:val="0"/>
              <w:spacing w:before="120" w:before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noWrap w:val="0"/>
            <w:vAlign w:val="top"/>
          </w:tcPr>
          <w:p w14:paraId="50C1C7DB">
            <w:pPr>
              <w:snapToGrid w:val="0"/>
              <w:spacing w:before="120" w:before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投标人的承诺</w:t>
            </w:r>
          </w:p>
        </w:tc>
        <w:tc>
          <w:tcPr>
            <w:tcW w:w="2853" w:type="dxa"/>
            <w:tcBorders>
              <w:top w:val="single" w:color="auto" w:sz="4" w:space="0"/>
              <w:left w:val="single" w:color="auto" w:sz="4" w:space="0"/>
              <w:bottom w:val="single" w:color="auto" w:sz="4" w:space="0"/>
              <w:right w:val="single" w:color="auto" w:sz="4" w:space="0"/>
            </w:tcBorders>
            <w:noWrap w:val="0"/>
            <w:vAlign w:val="top"/>
          </w:tcPr>
          <w:p w14:paraId="10289E7F">
            <w:pPr>
              <w:snapToGrid w:val="0"/>
              <w:spacing w:before="120" w:before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769C64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853" w:type="dxa"/>
            <w:tcBorders>
              <w:top w:val="single" w:color="auto" w:sz="4" w:space="0"/>
              <w:left w:val="single" w:color="auto" w:sz="4" w:space="0"/>
              <w:bottom w:val="single" w:color="auto" w:sz="4" w:space="0"/>
              <w:right w:val="single" w:color="auto" w:sz="4" w:space="0"/>
            </w:tcBorders>
            <w:noWrap w:val="0"/>
            <w:vAlign w:val="center"/>
          </w:tcPr>
          <w:p w14:paraId="259C3013">
            <w:pPr>
              <w:spacing w:line="440" w:lineRule="exact"/>
              <w:jc w:val="center"/>
              <w:rPr>
                <w:rFonts w:hint="eastAsia" w:ascii="宋体" w:hAnsi="宋体" w:cs="宋体"/>
                <w:color w:val="auto"/>
                <w:szCs w:val="21"/>
                <w:highlight w:val="none"/>
              </w:rPr>
            </w:pPr>
          </w:p>
        </w:tc>
        <w:tc>
          <w:tcPr>
            <w:tcW w:w="2776" w:type="dxa"/>
            <w:tcBorders>
              <w:top w:val="single" w:color="auto" w:sz="4" w:space="0"/>
              <w:left w:val="single" w:color="auto" w:sz="4" w:space="0"/>
              <w:bottom w:val="single" w:color="auto" w:sz="4" w:space="0"/>
              <w:right w:val="single" w:color="auto" w:sz="4" w:space="0"/>
            </w:tcBorders>
            <w:noWrap w:val="0"/>
            <w:vAlign w:val="center"/>
          </w:tcPr>
          <w:p w14:paraId="39154CB4">
            <w:pPr>
              <w:spacing w:line="440" w:lineRule="exact"/>
              <w:jc w:val="left"/>
              <w:rPr>
                <w:rFonts w:hint="eastAsia" w:ascii="宋体" w:hAnsi="宋体" w:cs="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33BAA357">
            <w:pPr>
              <w:snapToGrid w:val="0"/>
              <w:spacing w:before="120" w:beforeLines="50" w:line="440" w:lineRule="exact"/>
              <w:jc w:val="center"/>
              <w:rPr>
                <w:rFonts w:hint="eastAsia" w:ascii="宋体" w:hAnsi="宋体" w:cs="宋体"/>
                <w:color w:val="auto"/>
                <w:szCs w:val="21"/>
                <w:highlight w:val="none"/>
              </w:rPr>
            </w:pPr>
          </w:p>
        </w:tc>
        <w:tc>
          <w:tcPr>
            <w:tcW w:w="2853" w:type="dxa"/>
            <w:tcBorders>
              <w:top w:val="single" w:color="auto" w:sz="4" w:space="0"/>
              <w:left w:val="single" w:color="auto" w:sz="4" w:space="0"/>
              <w:bottom w:val="single" w:color="auto" w:sz="4" w:space="0"/>
              <w:right w:val="single" w:color="auto" w:sz="4" w:space="0"/>
            </w:tcBorders>
            <w:noWrap w:val="0"/>
            <w:vAlign w:val="top"/>
          </w:tcPr>
          <w:p w14:paraId="5CD55661">
            <w:pPr>
              <w:snapToGrid w:val="0"/>
              <w:spacing w:before="120" w:beforeLines="50" w:line="440" w:lineRule="exact"/>
              <w:jc w:val="center"/>
              <w:rPr>
                <w:rFonts w:hint="eastAsia" w:ascii="宋体" w:hAnsi="宋体" w:cs="宋体"/>
                <w:color w:val="auto"/>
                <w:szCs w:val="21"/>
                <w:highlight w:val="none"/>
              </w:rPr>
            </w:pPr>
          </w:p>
        </w:tc>
      </w:tr>
      <w:tr w14:paraId="6E96A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853" w:type="dxa"/>
            <w:tcBorders>
              <w:top w:val="single" w:color="auto" w:sz="4" w:space="0"/>
              <w:left w:val="single" w:color="auto" w:sz="4" w:space="0"/>
              <w:bottom w:val="single" w:color="auto" w:sz="4" w:space="0"/>
              <w:right w:val="single" w:color="auto" w:sz="4" w:space="0"/>
            </w:tcBorders>
            <w:noWrap w:val="0"/>
            <w:vAlign w:val="center"/>
          </w:tcPr>
          <w:p w14:paraId="1FB5A29E">
            <w:pPr>
              <w:spacing w:line="440" w:lineRule="exact"/>
              <w:jc w:val="center"/>
              <w:rPr>
                <w:rFonts w:hint="eastAsia" w:ascii="宋体" w:hAnsi="宋体" w:cs="宋体"/>
                <w:color w:val="auto"/>
                <w:szCs w:val="21"/>
                <w:highlight w:val="none"/>
              </w:rPr>
            </w:pPr>
          </w:p>
        </w:tc>
        <w:tc>
          <w:tcPr>
            <w:tcW w:w="2776" w:type="dxa"/>
            <w:tcBorders>
              <w:top w:val="single" w:color="auto" w:sz="4" w:space="0"/>
              <w:left w:val="single" w:color="auto" w:sz="4" w:space="0"/>
              <w:bottom w:val="single" w:color="auto" w:sz="4" w:space="0"/>
              <w:right w:val="single" w:color="auto" w:sz="4" w:space="0"/>
            </w:tcBorders>
            <w:noWrap w:val="0"/>
            <w:vAlign w:val="center"/>
          </w:tcPr>
          <w:p w14:paraId="1174E876">
            <w:pPr>
              <w:spacing w:line="440" w:lineRule="exact"/>
              <w:jc w:val="left"/>
              <w:rPr>
                <w:rFonts w:hint="eastAsia" w:ascii="宋体" w:hAnsi="宋体" w:cs="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524672E8">
            <w:pPr>
              <w:snapToGrid w:val="0"/>
              <w:spacing w:before="120" w:beforeLines="50" w:line="440" w:lineRule="exact"/>
              <w:ind w:left="43"/>
              <w:jc w:val="center"/>
              <w:rPr>
                <w:rFonts w:hint="eastAsia" w:ascii="宋体" w:hAnsi="宋体" w:cs="宋体"/>
                <w:color w:val="auto"/>
                <w:szCs w:val="21"/>
                <w:highlight w:val="none"/>
              </w:rPr>
            </w:pPr>
          </w:p>
        </w:tc>
        <w:tc>
          <w:tcPr>
            <w:tcW w:w="2853" w:type="dxa"/>
            <w:tcBorders>
              <w:top w:val="single" w:color="auto" w:sz="4" w:space="0"/>
              <w:left w:val="single" w:color="auto" w:sz="4" w:space="0"/>
              <w:bottom w:val="single" w:color="auto" w:sz="4" w:space="0"/>
              <w:right w:val="single" w:color="auto" w:sz="4" w:space="0"/>
            </w:tcBorders>
            <w:noWrap w:val="0"/>
            <w:vAlign w:val="top"/>
          </w:tcPr>
          <w:p w14:paraId="7309C4F0">
            <w:pPr>
              <w:snapToGrid w:val="0"/>
              <w:spacing w:before="120" w:beforeLines="50" w:line="440" w:lineRule="exact"/>
              <w:ind w:left="43"/>
              <w:jc w:val="center"/>
              <w:rPr>
                <w:rFonts w:hint="eastAsia" w:ascii="宋体" w:hAnsi="宋体" w:cs="宋体"/>
                <w:color w:val="auto"/>
                <w:szCs w:val="21"/>
                <w:highlight w:val="none"/>
              </w:rPr>
            </w:pPr>
          </w:p>
        </w:tc>
      </w:tr>
      <w:tr w14:paraId="7A0564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3" w:type="dxa"/>
            <w:tcBorders>
              <w:top w:val="single" w:color="auto" w:sz="4" w:space="0"/>
              <w:left w:val="single" w:color="auto" w:sz="4" w:space="0"/>
              <w:bottom w:val="single" w:color="auto" w:sz="4" w:space="0"/>
              <w:right w:val="single" w:color="auto" w:sz="4" w:space="0"/>
            </w:tcBorders>
            <w:noWrap w:val="0"/>
            <w:vAlign w:val="top"/>
          </w:tcPr>
          <w:p w14:paraId="05C41F80">
            <w:pPr>
              <w:snapToGrid w:val="0"/>
              <w:spacing w:before="120" w:before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776" w:type="dxa"/>
            <w:tcBorders>
              <w:top w:val="single" w:color="auto" w:sz="4" w:space="0"/>
              <w:left w:val="single" w:color="auto" w:sz="4" w:space="0"/>
              <w:bottom w:val="single" w:color="auto" w:sz="4" w:space="0"/>
              <w:right w:val="single" w:color="auto" w:sz="4" w:space="0"/>
            </w:tcBorders>
            <w:noWrap w:val="0"/>
            <w:vAlign w:val="top"/>
          </w:tcPr>
          <w:p w14:paraId="5FE9226E">
            <w:pPr>
              <w:snapToGrid w:val="0"/>
              <w:spacing w:before="120" w:beforeLines="50" w:line="440" w:lineRule="exact"/>
              <w:jc w:val="center"/>
              <w:rPr>
                <w:rFonts w:hint="eastAsia" w:ascii="宋体" w:hAnsi="宋体" w:cs="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30D7FE9E">
            <w:pPr>
              <w:snapToGrid w:val="0"/>
              <w:spacing w:before="120" w:beforeLines="50" w:line="440" w:lineRule="exact"/>
              <w:jc w:val="center"/>
              <w:rPr>
                <w:rFonts w:hint="eastAsia" w:ascii="宋体" w:hAnsi="宋体" w:cs="宋体"/>
                <w:color w:val="auto"/>
                <w:szCs w:val="21"/>
                <w:highlight w:val="none"/>
              </w:rPr>
            </w:pPr>
          </w:p>
        </w:tc>
        <w:tc>
          <w:tcPr>
            <w:tcW w:w="2853" w:type="dxa"/>
            <w:tcBorders>
              <w:top w:val="single" w:color="auto" w:sz="4" w:space="0"/>
              <w:left w:val="single" w:color="auto" w:sz="4" w:space="0"/>
              <w:bottom w:val="single" w:color="auto" w:sz="4" w:space="0"/>
              <w:right w:val="single" w:color="auto" w:sz="4" w:space="0"/>
            </w:tcBorders>
            <w:noWrap w:val="0"/>
            <w:vAlign w:val="top"/>
          </w:tcPr>
          <w:p w14:paraId="5BFA56C8">
            <w:pPr>
              <w:snapToGrid w:val="0"/>
              <w:spacing w:before="120" w:beforeLines="50" w:line="440" w:lineRule="exact"/>
              <w:jc w:val="center"/>
              <w:rPr>
                <w:rFonts w:hint="eastAsia" w:ascii="宋体" w:hAnsi="宋体" w:cs="宋体"/>
                <w:color w:val="auto"/>
                <w:szCs w:val="21"/>
                <w:highlight w:val="none"/>
              </w:rPr>
            </w:pPr>
          </w:p>
        </w:tc>
      </w:tr>
    </w:tbl>
    <w:p w14:paraId="3A3ACF05">
      <w:pPr>
        <w:pStyle w:val="14"/>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6143FCD9">
      <w:pPr>
        <w:pStyle w:val="16"/>
        <w:keepNext w:val="0"/>
        <w:keepLines w:val="0"/>
        <w:pageBreakBefore w:val="0"/>
        <w:widowControl w:val="0"/>
        <w:kinsoku/>
        <w:wordWrap/>
        <w:overflowPunct/>
        <w:topLinePunct w:val="0"/>
        <w:autoSpaceDE/>
        <w:autoSpaceDN/>
        <w:bidi w:val="0"/>
        <w:adjustRightInd/>
        <w:spacing w:line="400" w:lineRule="exact"/>
        <w:ind w:firstLine="0"/>
        <w:textAlignment w:val="auto"/>
        <w:rPr>
          <w:rFonts w:hint="eastAsia" w:hAnsi="宋体" w:cs="宋体"/>
          <w:color w:val="auto"/>
          <w:sz w:val="21"/>
          <w:szCs w:val="21"/>
          <w:highlight w:val="none"/>
        </w:rPr>
      </w:pPr>
      <w:r>
        <w:rPr>
          <w:rFonts w:hint="eastAsia" w:hAnsi="宋体" w:cs="宋体"/>
          <w:color w:val="auto"/>
          <w:sz w:val="21"/>
          <w:szCs w:val="21"/>
          <w:highlight w:val="none"/>
        </w:rPr>
        <w:t>1. 说明：应对照招标文件“第二章 采购需求”中的商务要求逐条作明确的投标响应，并作出偏离说明。</w:t>
      </w:r>
    </w:p>
    <w:p w14:paraId="3421CED8">
      <w:pPr>
        <w:pStyle w:val="14"/>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2.投标人应根据自身的承诺，对照招标文件要求在“偏离说明”中注明“正偏离</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负偏离”或者“无偏离”。既不属于“正偏离”也不属于“负偏离”即为“无偏离”。</w:t>
      </w:r>
    </w:p>
    <w:p w14:paraId="1D0EC434">
      <w:pPr>
        <w:keepNext w:val="0"/>
        <w:keepLines w:val="0"/>
        <w:pageBreakBefore w:val="0"/>
        <w:widowControl w:val="0"/>
        <w:kinsoku/>
        <w:wordWrap/>
        <w:overflowPunct/>
        <w:topLinePunct w:val="0"/>
        <w:autoSpaceDE/>
        <w:autoSpaceDN/>
        <w:bidi w:val="0"/>
        <w:adjustRightInd/>
        <w:snapToGrid w:val="0"/>
        <w:spacing w:before="50" w:after="50" w:line="400" w:lineRule="exact"/>
        <w:textAlignment w:val="auto"/>
        <w:rPr>
          <w:rFonts w:hint="eastAsia" w:ascii="宋体" w:hAnsi="宋体" w:cs="宋体"/>
          <w:color w:val="auto"/>
          <w:szCs w:val="21"/>
          <w:highlight w:val="none"/>
        </w:rPr>
      </w:pPr>
    </w:p>
    <w:p w14:paraId="06B8A562">
      <w:pPr>
        <w:keepNext w:val="0"/>
        <w:keepLines w:val="0"/>
        <w:pageBreakBefore w:val="0"/>
        <w:widowControl w:val="0"/>
        <w:kinsoku/>
        <w:wordWrap/>
        <w:overflowPunct/>
        <w:topLinePunct w:val="0"/>
        <w:autoSpaceDE/>
        <w:autoSpaceDN/>
        <w:bidi w:val="0"/>
        <w:adjustRightInd/>
        <w:snapToGrid w:val="0"/>
        <w:spacing w:before="50" w:after="50" w:line="400" w:lineRule="exact"/>
        <w:textAlignment w:val="auto"/>
        <w:rPr>
          <w:rFonts w:hint="eastAsia" w:ascii="宋体" w:hAnsi="宋体" w:cs="宋体"/>
          <w:color w:val="auto"/>
          <w:szCs w:val="21"/>
          <w:highlight w:val="none"/>
        </w:rPr>
      </w:pPr>
    </w:p>
    <w:p w14:paraId="163A439A">
      <w:pPr>
        <w:keepNext w:val="0"/>
        <w:keepLines w:val="0"/>
        <w:pageBreakBefore w:val="0"/>
        <w:widowControl w:val="0"/>
        <w:kinsoku/>
        <w:wordWrap/>
        <w:overflowPunct/>
        <w:topLinePunct w:val="0"/>
        <w:autoSpaceDE/>
        <w:autoSpaceDN/>
        <w:bidi w:val="0"/>
        <w:adjustRightInd/>
        <w:snapToGrid w:val="0"/>
        <w:spacing w:before="50" w:after="50" w:line="400" w:lineRule="exact"/>
        <w:textAlignment w:val="auto"/>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（签字或者电子签名）：</w:t>
      </w:r>
      <w:r>
        <w:rPr>
          <w:rFonts w:hint="eastAsia" w:ascii="宋体" w:hAnsi="宋体" w:cs="宋体"/>
          <w:color w:val="auto"/>
          <w:spacing w:val="20"/>
          <w:szCs w:val="21"/>
          <w:highlight w:val="none"/>
          <w:u w:val="single"/>
        </w:rPr>
        <w:t xml:space="preserve">        </w:t>
      </w:r>
    </w:p>
    <w:p w14:paraId="0BD8E69C">
      <w:pPr>
        <w:keepNext w:val="0"/>
        <w:keepLines w:val="0"/>
        <w:pageBreakBefore w:val="0"/>
        <w:widowControl w:val="0"/>
        <w:kinsoku/>
        <w:wordWrap/>
        <w:overflowPunct/>
        <w:topLinePunct w:val="0"/>
        <w:autoSpaceDE/>
        <w:autoSpaceDN/>
        <w:bidi w:val="0"/>
        <w:adjustRightInd/>
        <w:snapToGrid w:val="0"/>
        <w:spacing w:before="120" w:beforeLines="50" w:line="400" w:lineRule="exact"/>
        <w:textAlignment w:val="auto"/>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5DD37E5B">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right="920"/>
        <w:textAlignment w:val="auto"/>
        <w:rPr>
          <w:rFonts w:hint="eastAsia" w:ascii="宋体" w:hAnsi="宋体" w:cs="宋体"/>
          <w:color w:val="auto"/>
          <w:szCs w:val="21"/>
          <w:highlight w:val="none"/>
        </w:rPr>
      </w:pPr>
      <w:r>
        <w:rPr>
          <w:rFonts w:hint="eastAsia" w:ascii="宋体" w:hAnsi="宋体" w:cs="宋体"/>
          <w:color w:val="auto"/>
          <w:spacing w:val="20"/>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A556D43">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p>
    <w:p w14:paraId="7DFA94E5">
      <w:pPr>
        <w:snapToGrid w:val="0"/>
        <w:spacing w:before="120" w:beforeLines="50" w:line="440" w:lineRule="exact"/>
        <w:rPr>
          <w:rFonts w:hint="eastAsia" w:ascii="宋体" w:hAnsi="宋体" w:cs="宋体"/>
          <w:color w:val="auto"/>
          <w:szCs w:val="21"/>
          <w:highlight w:val="none"/>
        </w:rPr>
      </w:pPr>
    </w:p>
    <w:p w14:paraId="72C7BABD">
      <w:pPr>
        <w:snapToGrid w:val="0"/>
        <w:spacing w:before="120" w:beforeLines="50"/>
        <w:rPr>
          <w:rFonts w:hint="eastAsia" w:ascii="宋体" w:hAnsi="宋体" w:cs="宋体"/>
          <w:color w:val="auto"/>
          <w:sz w:val="24"/>
          <w:szCs w:val="20"/>
          <w:highlight w:val="none"/>
        </w:rPr>
      </w:pPr>
    </w:p>
    <w:p w14:paraId="7BFEC42C">
      <w:pPr>
        <w:snapToGrid w:val="0"/>
        <w:spacing w:before="120" w:beforeLines="50" w:after="50"/>
        <w:jc w:val="left"/>
        <w:rPr>
          <w:rFonts w:hint="eastAsia" w:ascii="宋体" w:hAnsi="宋体" w:cs="宋体"/>
          <w:color w:val="auto"/>
          <w:sz w:val="24"/>
          <w:szCs w:val="20"/>
          <w:highlight w:val="none"/>
        </w:rPr>
        <w:sectPr>
          <w:footerReference r:id="rId13" w:type="first"/>
          <w:headerReference r:id="rId10" w:type="default"/>
          <w:footerReference r:id="rId11" w:type="default"/>
          <w:footerReference r:id="rId12" w:type="even"/>
          <w:pgSz w:w="11906" w:h="16838"/>
          <w:pgMar w:top="1134" w:right="1247" w:bottom="1134" w:left="1417" w:header="850" w:footer="850" w:gutter="0"/>
          <w:pgNumType w:fmt="decimal"/>
          <w:cols w:space="720" w:num="1"/>
          <w:titlePg/>
          <w:docGrid w:linePitch="312" w:charSpace="0"/>
        </w:sectPr>
      </w:pPr>
    </w:p>
    <w:p w14:paraId="0B24BD84">
      <w:pPr>
        <w:snapToGrid w:val="0"/>
        <w:spacing w:before="165" w:beforeLines="50" w:after="50"/>
        <w:jc w:val="left"/>
        <w:rPr>
          <w:rFonts w:hint="eastAsia" w:ascii="宋体" w:hAnsi="宋体" w:cs="宋体"/>
          <w:b/>
          <w:color w:val="auto"/>
          <w:sz w:val="24"/>
          <w:highlight w:val="none"/>
        </w:rPr>
      </w:pPr>
      <w:r>
        <w:rPr>
          <w:rFonts w:hint="eastAsia" w:ascii="宋体" w:hAnsi="宋体" w:cs="宋体"/>
          <w:b/>
          <w:color w:val="auto"/>
          <w:sz w:val="24"/>
          <w:highlight w:val="none"/>
        </w:rPr>
        <w:t>6.投标人业绩证明材料</w:t>
      </w:r>
    </w:p>
    <w:p w14:paraId="130B9CC8">
      <w:pPr>
        <w:pStyle w:val="29"/>
        <w:snapToGrid w:val="0"/>
        <w:ind w:left="480" w:hanging="480"/>
        <w:rPr>
          <w:rFonts w:hint="eastAsia" w:ascii="宋体" w:hAnsi="宋体" w:cs="宋体"/>
          <w:color w:val="auto"/>
          <w:sz w:val="24"/>
          <w:highlight w:val="none"/>
        </w:rPr>
      </w:pPr>
    </w:p>
    <w:p w14:paraId="1727B8C1">
      <w:pPr>
        <w:pStyle w:val="29"/>
        <w:snapToGrid w:val="0"/>
        <w:spacing w:line="440" w:lineRule="exact"/>
        <w:ind w:left="600" w:hanging="600"/>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 xml:space="preserve">投标人业绩情况一览表格式 </w:t>
      </w:r>
    </w:p>
    <w:tbl>
      <w:tblPr>
        <w:tblStyle w:val="39"/>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65"/>
        <w:gridCol w:w="1963"/>
        <w:gridCol w:w="1963"/>
        <w:gridCol w:w="3167"/>
      </w:tblGrid>
      <w:tr w14:paraId="1A9206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noWrap w:val="0"/>
            <w:vAlign w:val="center"/>
          </w:tcPr>
          <w:p w14:paraId="5D245135">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21494067">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792B18E0">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合同金额</w:t>
            </w:r>
          </w:p>
          <w:p w14:paraId="29618B12">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noWrap w:val="0"/>
            <w:vAlign w:val="center"/>
          </w:tcPr>
          <w:p w14:paraId="2AA69AE3">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采购人联系人及</w:t>
            </w:r>
          </w:p>
          <w:p w14:paraId="7BCD5B32">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联系电话</w:t>
            </w:r>
          </w:p>
        </w:tc>
      </w:tr>
      <w:tr w14:paraId="506DD6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noWrap w:val="0"/>
            <w:vAlign w:val="center"/>
          </w:tcPr>
          <w:p w14:paraId="1A721FE4">
            <w:pPr>
              <w:spacing w:line="440" w:lineRule="exact"/>
              <w:jc w:val="left"/>
              <w:rPr>
                <w:rFonts w:hint="eastAsia" w:ascii="宋体" w:hAnsi="宋体" w:cs="宋体"/>
                <w:color w:val="auto"/>
                <w:szCs w:val="21"/>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2FC4B69B">
            <w:pPr>
              <w:spacing w:line="440" w:lineRule="exact"/>
              <w:jc w:val="left"/>
              <w:rPr>
                <w:rFonts w:hint="eastAsia" w:ascii="宋体" w:hAnsi="宋体" w:cs="宋体"/>
                <w:color w:val="auto"/>
                <w:szCs w:val="21"/>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48F9EA3B">
            <w:pPr>
              <w:spacing w:line="440" w:lineRule="exact"/>
              <w:jc w:val="left"/>
              <w:rPr>
                <w:rFonts w:hint="eastAsia" w:ascii="宋体" w:hAnsi="宋体" w:cs="宋体"/>
                <w:color w:val="auto"/>
                <w:szCs w:val="21"/>
                <w:highlight w:val="none"/>
              </w:rPr>
            </w:pPr>
          </w:p>
        </w:tc>
        <w:tc>
          <w:tcPr>
            <w:tcW w:w="1674" w:type="pct"/>
            <w:vMerge w:val="continue"/>
            <w:tcBorders>
              <w:top w:val="single" w:color="auto" w:sz="4" w:space="0"/>
              <w:left w:val="single" w:color="auto" w:sz="4" w:space="0"/>
              <w:bottom w:val="single" w:color="auto" w:sz="4" w:space="0"/>
              <w:right w:val="single" w:color="auto" w:sz="4" w:space="0"/>
            </w:tcBorders>
            <w:noWrap w:val="0"/>
            <w:vAlign w:val="center"/>
          </w:tcPr>
          <w:p w14:paraId="709A1D00">
            <w:pPr>
              <w:spacing w:line="440" w:lineRule="exact"/>
              <w:jc w:val="left"/>
              <w:rPr>
                <w:rFonts w:hint="eastAsia" w:ascii="宋体" w:hAnsi="宋体" w:cs="宋体"/>
                <w:color w:val="auto"/>
                <w:szCs w:val="21"/>
                <w:highlight w:val="none"/>
              </w:rPr>
            </w:pPr>
          </w:p>
        </w:tc>
      </w:tr>
      <w:tr w14:paraId="2B1146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5C0DB033">
            <w:pPr>
              <w:snapToGrid w:val="0"/>
              <w:spacing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207F7928">
            <w:pPr>
              <w:snapToGrid w:val="0"/>
              <w:spacing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50F4536">
            <w:pPr>
              <w:snapToGrid w:val="0"/>
              <w:spacing w:line="44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34E27610">
            <w:pPr>
              <w:snapToGrid w:val="0"/>
              <w:spacing w:line="440" w:lineRule="exact"/>
              <w:jc w:val="left"/>
              <w:rPr>
                <w:rFonts w:hint="eastAsia" w:ascii="宋体" w:hAnsi="宋体" w:cs="宋体"/>
                <w:color w:val="auto"/>
                <w:szCs w:val="21"/>
                <w:highlight w:val="none"/>
              </w:rPr>
            </w:pPr>
          </w:p>
        </w:tc>
      </w:tr>
      <w:tr w14:paraId="3218CD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59775B2F">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25121EA6">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421D7D0F">
            <w:pPr>
              <w:snapToGrid w:val="0"/>
              <w:spacing w:before="50" w:after="165" w:afterLines="50" w:line="44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5CE01F0C">
            <w:pPr>
              <w:snapToGrid w:val="0"/>
              <w:spacing w:before="50" w:after="165" w:afterLines="50" w:line="440" w:lineRule="exact"/>
              <w:jc w:val="left"/>
              <w:rPr>
                <w:rFonts w:hint="eastAsia" w:ascii="宋体" w:hAnsi="宋体" w:cs="宋体"/>
                <w:color w:val="auto"/>
                <w:szCs w:val="21"/>
                <w:highlight w:val="none"/>
              </w:rPr>
            </w:pPr>
          </w:p>
        </w:tc>
      </w:tr>
      <w:tr w14:paraId="06D587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376DA00F">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4A675BE0">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7D36E4BF">
            <w:pPr>
              <w:snapToGrid w:val="0"/>
              <w:spacing w:before="50" w:after="165" w:afterLines="50" w:line="44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0D431FAE">
            <w:pPr>
              <w:snapToGrid w:val="0"/>
              <w:spacing w:before="50" w:after="165" w:afterLines="50" w:line="440" w:lineRule="exact"/>
              <w:jc w:val="left"/>
              <w:rPr>
                <w:rFonts w:hint="eastAsia" w:ascii="宋体" w:hAnsi="宋体" w:cs="宋体"/>
                <w:color w:val="auto"/>
                <w:szCs w:val="21"/>
                <w:highlight w:val="none"/>
              </w:rPr>
            </w:pPr>
          </w:p>
        </w:tc>
      </w:tr>
      <w:tr w14:paraId="12139A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11235ADD">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1BB4A465">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3B7AF07">
            <w:pPr>
              <w:snapToGrid w:val="0"/>
              <w:spacing w:before="50" w:after="165" w:afterLines="50" w:line="44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342CFA69">
            <w:pPr>
              <w:snapToGrid w:val="0"/>
              <w:spacing w:before="50" w:after="165" w:afterLines="50" w:line="440" w:lineRule="exact"/>
              <w:jc w:val="left"/>
              <w:rPr>
                <w:rFonts w:hint="eastAsia" w:ascii="宋体" w:hAnsi="宋体" w:cs="宋体"/>
                <w:color w:val="auto"/>
                <w:szCs w:val="21"/>
                <w:highlight w:val="none"/>
              </w:rPr>
            </w:pPr>
          </w:p>
        </w:tc>
      </w:tr>
      <w:tr w14:paraId="1B3298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7FB0EAE4">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4F4F2051">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784525FC">
            <w:pPr>
              <w:snapToGrid w:val="0"/>
              <w:spacing w:before="50" w:after="165" w:afterLines="50" w:line="44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047412FD">
            <w:pPr>
              <w:snapToGrid w:val="0"/>
              <w:spacing w:before="50" w:after="165" w:afterLines="50" w:line="440" w:lineRule="exact"/>
              <w:jc w:val="left"/>
              <w:rPr>
                <w:rFonts w:hint="eastAsia" w:ascii="宋体" w:hAnsi="宋体" w:cs="宋体"/>
                <w:color w:val="auto"/>
                <w:szCs w:val="21"/>
                <w:highlight w:val="none"/>
              </w:rPr>
            </w:pPr>
          </w:p>
        </w:tc>
      </w:tr>
    </w:tbl>
    <w:p w14:paraId="33E38D89">
      <w:pPr>
        <w:pStyle w:val="10"/>
        <w:spacing w:before="0" w:after="0" w:line="440" w:lineRule="exact"/>
        <w:contextualSpacing/>
        <w:rPr>
          <w:rFonts w:hint="eastAsia" w:ascii="宋体" w:hAnsi="宋体" w:eastAsia="宋体" w:cs="宋体"/>
          <w:color w:val="auto"/>
          <w:sz w:val="21"/>
          <w:szCs w:val="21"/>
          <w:highlight w:val="none"/>
        </w:rPr>
      </w:pPr>
    </w:p>
    <w:p w14:paraId="02C807C0">
      <w:pPr>
        <w:pStyle w:val="10"/>
        <w:spacing w:before="0" w:after="0" w:line="440" w:lineRule="exact"/>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注：投标人根据评标标准具体要求附业绩证明材料。</w:t>
      </w:r>
    </w:p>
    <w:p w14:paraId="5B5C8988">
      <w:pPr>
        <w:pStyle w:val="10"/>
        <w:spacing w:before="0" w:after="0" w:line="440" w:lineRule="exact"/>
        <w:contextualSpacing/>
        <w:jc w:val="left"/>
        <w:rPr>
          <w:rFonts w:hint="eastAsia" w:ascii="宋体" w:hAnsi="宋体" w:eastAsia="宋体" w:cs="宋体"/>
          <w:color w:val="auto"/>
          <w:sz w:val="21"/>
          <w:szCs w:val="21"/>
          <w:highlight w:val="none"/>
        </w:rPr>
      </w:pPr>
    </w:p>
    <w:p w14:paraId="25153D43">
      <w:pPr>
        <w:pStyle w:val="10"/>
        <w:spacing w:before="0" w:after="0" w:line="440" w:lineRule="exact"/>
        <w:contextualSpacing/>
        <w:jc w:val="left"/>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法定代表人或者委托代理人（签字或者电子签名）：</w:t>
      </w:r>
      <w:r>
        <w:rPr>
          <w:rFonts w:hint="eastAsia" w:ascii="宋体" w:hAnsi="宋体" w:eastAsia="宋体" w:cs="宋体"/>
          <w:color w:val="auto"/>
          <w:sz w:val="21"/>
          <w:szCs w:val="21"/>
          <w:highlight w:val="none"/>
          <w:u w:val="single"/>
        </w:rPr>
        <w:t xml:space="preserve">             </w:t>
      </w:r>
    </w:p>
    <w:p w14:paraId="1EA67FD8">
      <w:pPr>
        <w:spacing w:line="440" w:lineRule="exact"/>
        <w:ind w:right="480"/>
        <w:contextualSpacing/>
        <w:jc w:val="left"/>
        <w:rPr>
          <w:rFonts w:hint="eastAsia" w:ascii="宋体" w:hAnsi="宋体" w:cs="宋体"/>
          <w:color w:val="auto"/>
          <w:szCs w:val="21"/>
          <w:highlight w:val="none"/>
          <w:u w:val="single"/>
        </w:rPr>
      </w:pPr>
      <w:r>
        <w:rPr>
          <w:rFonts w:hint="eastAsia" w:ascii="宋体" w:hAnsi="宋体" w:cs="宋体"/>
          <w:color w:val="auto"/>
          <w:szCs w:val="21"/>
          <w:highlight w:val="none"/>
        </w:rPr>
        <w:t xml:space="preserve">投标人名称（电子签章）： </w:t>
      </w:r>
      <w:r>
        <w:rPr>
          <w:rFonts w:hint="eastAsia" w:ascii="宋体" w:hAnsi="宋体" w:cs="宋体"/>
          <w:color w:val="auto"/>
          <w:szCs w:val="21"/>
          <w:highlight w:val="none"/>
          <w:u w:val="single"/>
        </w:rPr>
        <w:t xml:space="preserve">                </w:t>
      </w:r>
    </w:p>
    <w:p w14:paraId="260BDC4F">
      <w:pPr>
        <w:snapToGrid w:val="0"/>
        <w:spacing w:before="165" w:beforeLines="50" w:after="50"/>
        <w:ind w:right="840"/>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93B42F2">
      <w:pPr>
        <w:snapToGrid w:val="0"/>
        <w:spacing w:before="165" w:beforeLines="50" w:after="50"/>
        <w:jc w:val="left"/>
        <w:rPr>
          <w:rFonts w:hint="eastAsia"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rPr>
        <w:t xml:space="preserve">（二）技术文件封面格式： </w:t>
      </w:r>
    </w:p>
    <w:p w14:paraId="62590858">
      <w:pPr>
        <w:snapToGrid w:val="0"/>
        <w:spacing w:before="165" w:beforeLines="50" w:after="50"/>
        <w:jc w:val="center"/>
        <w:rPr>
          <w:rFonts w:hint="eastAsia" w:ascii="宋体" w:hAnsi="宋体" w:cs="宋体"/>
          <w:color w:val="auto"/>
          <w:sz w:val="24"/>
          <w:highlight w:val="none"/>
        </w:rPr>
      </w:pPr>
      <w:r>
        <w:rPr>
          <w:rFonts w:hint="eastAsia" w:ascii="宋体" w:hAnsi="宋体" w:cs="宋体"/>
          <w:bCs/>
          <w:color w:val="auto"/>
          <w:sz w:val="48"/>
          <w:szCs w:val="48"/>
          <w:highlight w:val="none"/>
        </w:rPr>
        <w:t>电子投标文件</w:t>
      </w:r>
    </w:p>
    <w:p w14:paraId="70C5E3D7">
      <w:pPr>
        <w:snapToGrid w:val="0"/>
        <w:spacing w:before="165" w:beforeLines="50" w:after="5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9FF6349">
      <w:pPr>
        <w:rPr>
          <w:rFonts w:hint="eastAsia" w:ascii="宋体" w:hAnsi="宋体" w:cs="宋体"/>
          <w:color w:val="auto"/>
          <w:sz w:val="24"/>
          <w:highlight w:val="none"/>
        </w:rPr>
      </w:pPr>
    </w:p>
    <w:p w14:paraId="1D0BCCD6">
      <w:pPr>
        <w:rPr>
          <w:rFonts w:hint="eastAsia"/>
          <w:color w:val="auto"/>
          <w:highlight w:val="none"/>
        </w:rPr>
      </w:pPr>
    </w:p>
    <w:p w14:paraId="605EF92D">
      <w:pPr>
        <w:snapToGrid w:val="0"/>
        <w:spacing w:before="165" w:beforeLines="50" w:after="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技术文件</w:t>
      </w:r>
    </w:p>
    <w:p w14:paraId="1E6297AE">
      <w:pPr>
        <w:rPr>
          <w:rFonts w:hint="eastAsia" w:ascii="宋体" w:hAnsi="宋体" w:cs="宋体"/>
          <w:b/>
          <w:color w:val="auto"/>
          <w:sz w:val="32"/>
          <w:szCs w:val="32"/>
          <w:highlight w:val="none"/>
        </w:rPr>
      </w:pPr>
    </w:p>
    <w:p w14:paraId="1E6DDD14">
      <w:pPr>
        <w:rPr>
          <w:rFonts w:hint="eastAsia"/>
          <w:color w:val="auto"/>
          <w:highlight w:val="none"/>
        </w:rPr>
      </w:pPr>
    </w:p>
    <w:p w14:paraId="0FF0BE02">
      <w:pPr>
        <w:snapToGrid w:val="0"/>
        <w:spacing w:before="165" w:beforeLines="50" w:after="50"/>
        <w:rPr>
          <w:rFonts w:hint="eastAsia" w:ascii="宋体" w:hAnsi="宋体" w:cs="宋体"/>
          <w:bCs/>
          <w:color w:val="auto"/>
          <w:sz w:val="24"/>
          <w:szCs w:val="20"/>
          <w:highlight w:val="none"/>
        </w:rPr>
      </w:pPr>
    </w:p>
    <w:p w14:paraId="3501870B">
      <w:pPr>
        <w:snapToGrid w:val="0"/>
        <w:spacing w:before="165"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项目名称：</w:t>
      </w:r>
    </w:p>
    <w:p w14:paraId="38960BFB">
      <w:pPr>
        <w:snapToGrid w:val="0"/>
        <w:spacing w:before="165" w:beforeLines="50" w:after="50"/>
        <w:ind w:firstLine="540" w:firstLineChars="225"/>
        <w:rPr>
          <w:rFonts w:hint="eastAsia" w:ascii="宋体" w:hAnsi="宋体" w:cs="宋体"/>
          <w:bCs/>
          <w:color w:val="auto"/>
          <w:sz w:val="24"/>
          <w:szCs w:val="20"/>
          <w:highlight w:val="none"/>
        </w:rPr>
      </w:pPr>
    </w:p>
    <w:p w14:paraId="7B360BB5">
      <w:pPr>
        <w:snapToGrid w:val="0"/>
        <w:spacing w:before="165"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项目编号：</w:t>
      </w:r>
    </w:p>
    <w:p w14:paraId="45A082E4">
      <w:pPr>
        <w:snapToGrid w:val="0"/>
        <w:spacing w:before="165" w:beforeLines="50" w:after="50"/>
        <w:ind w:firstLine="540" w:firstLineChars="225"/>
        <w:rPr>
          <w:rFonts w:hint="eastAsia" w:ascii="宋体" w:hAnsi="宋体" w:cs="宋体"/>
          <w:bCs/>
          <w:color w:val="auto"/>
          <w:sz w:val="24"/>
          <w:szCs w:val="20"/>
          <w:highlight w:val="none"/>
        </w:rPr>
      </w:pPr>
      <w:r>
        <w:rPr>
          <w:rFonts w:hint="eastAsia" w:ascii="宋体" w:hAnsi="宋体" w:cs="宋体"/>
          <w:bCs/>
          <w:color w:val="auto"/>
          <w:sz w:val="24"/>
          <w:highlight w:val="none"/>
        </w:rPr>
        <w:t xml:space="preserve"> </w:t>
      </w:r>
    </w:p>
    <w:p w14:paraId="30462BEB">
      <w:pPr>
        <w:snapToGrid w:val="0"/>
        <w:spacing w:before="165"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0DAC8D5A">
      <w:pPr>
        <w:snapToGrid w:val="0"/>
        <w:spacing w:before="165" w:beforeLines="50" w:after="50"/>
        <w:ind w:firstLine="540" w:firstLineChars="225"/>
        <w:rPr>
          <w:rFonts w:hint="eastAsia" w:ascii="宋体" w:hAnsi="宋体" w:cs="宋体"/>
          <w:bCs/>
          <w:color w:val="auto"/>
          <w:sz w:val="24"/>
          <w:szCs w:val="20"/>
          <w:highlight w:val="none"/>
        </w:rPr>
      </w:pPr>
    </w:p>
    <w:p w14:paraId="30ACC411">
      <w:pPr>
        <w:pStyle w:val="9"/>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31C49FFD">
      <w:pPr>
        <w:pStyle w:val="9"/>
        <w:snapToGrid w:val="0"/>
        <w:spacing w:before="50" w:after="50"/>
        <w:ind w:firstLine="540" w:firstLineChars="225"/>
        <w:rPr>
          <w:rFonts w:hint="eastAsia" w:ascii="宋体" w:hAnsi="宋体" w:cs="宋体"/>
          <w:bCs/>
          <w:color w:val="auto"/>
          <w:sz w:val="24"/>
          <w:szCs w:val="24"/>
          <w:highlight w:val="none"/>
        </w:rPr>
      </w:pPr>
    </w:p>
    <w:p w14:paraId="2F578E32">
      <w:pPr>
        <w:pStyle w:val="9"/>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1413DD99">
      <w:pPr>
        <w:pStyle w:val="9"/>
        <w:snapToGrid w:val="0"/>
        <w:spacing w:before="50" w:after="50"/>
        <w:ind w:firstLine="960" w:firstLineChars="400"/>
        <w:rPr>
          <w:rFonts w:hint="eastAsia" w:ascii="宋体" w:hAnsi="宋体" w:cs="宋体"/>
          <w:bCs/>
          <w:color w:val="auto"/>
          <w:sz w:val="24"/>
          <w:szCs w:val="24"/>
          <w:highlight w:val="none"/>
        </w:rPr>
      </w:pPr>
    </w:p>
    <w:p w14:paraId="19CAD830">
      <w:pPr>
        <w:snapToGrid w:val="0"/>
        <w:spacing w:before="165" w:beforeLines="50" w:after="50"/>
        <w:ind w:firstLine="645"/>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76BAF68B">
      <w:pPr>
        <w:snapToGrid w:val="0"/>
        <w:spacing w:before="165" w:beforeLines="50" w:after="5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429021C8">
      <w:pPr>
        <w:snapToGrid w:val="0"/>
        <w:spacing w:line="360" w:lineRule="auto"/>
        <w:ind w:firstLine="120" w:firstLineChars="50"/>
        <w:jc w:val="center"/>
        <w:rPr>
          <w:rFonts w:hint="eastAsia" w:ascii="宋体" w:hAnsi="宋体" w:cs="宋体"/>
          <w:b/>
          <w:bCs/>
          <w:color w:val="auto"/>
          <w:sz w:val="28"/>
          <w:szCs w:val="28"/>
          <w:highlight w:val="none"/>
        </w:rPr>
      </w:pPr>
      <w:r>
        <w:rPr>
          <w:rFonts w:hint="eastAsia" w:ascii="宋体" w:hAnsi="宋体" w:cs="宋体"/>
          <w:color w:val="auto"/>
          <w:sz w:val="24"/>
          <w:szCs w:val="20"/>
          <w:highlight w:val="none"/>
        </w:rPr>
        <w:br w:type="page"/>
      </w:r>
      <w:r>
        <w:rPr>
          <w:rFonts w:hint="eastAsia" w:ascii="宋体" w:hAnsi="宋体" w:cs="宋体"/>
          <w:b/>
          <w:bCs/>
          <w:color w:val="auto"/>
          <w:sz w:val="28"/>
          <w:szCs w:val="28"/>
          <w:highlight w:val="none"/>
        </w:rPr>
        <w:t>商务及技术文件目录</w:t>
      </w:r>
    </w:p>
    <w:p w14:paraId="2F227391">
      <w:pPr>
        <w:snapToGrid w:val="0"/>
        <w:spacing w:before="50" w:after="165" w:afterLines="50" w:line="360" w:lineRule="auto"/>
        <w:jc w:val="center"/>
        <w:rPr>
          <w:rFonts w:ascii="宋体" w:hAnsi="宋体" w:cs="宋体"/>
          <w:color w:val="auto"/>
          <w:szCs w:val="21"/>
          <w:highlight w:val="none"/>
        </w:rPr>
      </w:pPr>
      <w:r>
        <w:rPr>
          <w:rFonts w:hint="eastAsia" w:ascii="宋体" w:hAnsi="宋体" w:cs="宋体"/>
          <w:color w:val="auto"/>
          <w:szCs w:val="21"/>
          <w:highlight w:val="none"/>
        </w:rPr>
        <w:t>根据招标文件规定及投标人提供的材料自行编写目录。</w:t>
      </w:r>
    </w:p>
    <w:p w14:paraId="7BC31ED6">
      <w:pPr>
        <w:snapToGrid w:val="0"/>
        <w:spacing w:before="165" w:beforeLines="50" w:after="50"/>
        <w:ind w:left="142"/>
        <w:jc w:val="left"/>
        <w:rPr>
          <w:rFonts w:hint="eastAsia"/>
          <w:b/>
          <w:color w:val="auto"/>
          <w:highlight w:val="none"/>
        </w:rPr>
      </w:pPr>
      <w:r>
        <w:rPr>
          <w:color w:val="auto"/>
          <w:highlight w:val="none"/>
        </w:rPr>
        <w:br w:type="page"/>
      </w:r>
      <w:r>
        <w:rPr>
          <w:rFonts w:hint="eastAsia" w:ascii="宋体" w:hAnsi="宋体" w:cs="宋体"/>
          <w:b/>
          <w:color w:val="auto"/>
          <w:sz w:val="24"/>
          <w:highlight w:val="none"/>
        </w:rPr>
        <w:t>1.技术要求偏离表格式</w:t>
      </w:r>
    </w:p>
    <w:p w14:paraId="1EFD860A">
      <w:pPr>
        <w:snapToGrid w:val="0"/>
        <w:spacing w:before="165" w:beforeLines="50" w:after="50"/>
        <w:ind w:left="142"/>
        <w:jc w:val="left"/>
        <w:rPr>
          <w:rFonts w:hint="eastAsia" w:ascii="宋体" w:hAnsi="宋体" w:cs="宋体"/>
          <w:b/>
          <w:color w:val="auto"/>
          <w:sz w:val="24"/>
          <w:highlight w:val="none"/>
        </w:rPr>
      </w:pPr>
    </w:p>
    <w:p w14:paraId="2BE67624">
      <w:pPr>
        <w:snapToGrid w:val="0"/>
        <w:spacing w:before="165" w:beforeLines="50" w:after="50"/>
        <w:ind w:left="142"/>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技术要求偏离表</w:t>
      </w:r>
    </w:p>
    <w:p w14:paraId="233DD303">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r>
        <w:rPr>
          <w:rFonts w:hint="eastAsia" w:hAnsi="宋体" w:cs="宋体"/>
          <w:color w:val="auto"/>
          <w:highlight w:val="none"/>
        </w:rPr>
        <w:t>所投分标：</w:t>
      </w:r>
      <w:r>
        <w:rPr>
          <w:rFonts w:hint="eastAsia" w:hAnsi="宋体" w:cs="宋体"/>
          <w:color w:val="auto"/>
          <w:highlight w:val="none"/>
          <w:u w:val="single"/>
        </w:rPr>
        <w:t xml:space="preserve">     </w:t>
      </w:r>
      <w:r>
        <w:rPr>
          <w:rFonts w:hint="eastAsia" w:hAnsi="宋体" w:cs="宋体"/>
          <w:color w:val="auto"/>
          <w:highlight w:val="none"/>
        </w:rPr>
        <w:t>分标</w:t>
      </w:r>
    </w:p>
    <w:tbl>
      <w:tblPr>
        <w:tblStyle w:val="39"/>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143"/>
        <w:gridCol w:w="1834"/>
        <w:gridCol w:w="2181"/>
        <w:gridCol w:w="2084"/>
      </w:tblGrid>
      <w:tr w14:paraId="0AD4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25" w:type="dxa"/>
            <w:noWrap w:val="0"/>
            <w:vAlign w:val="center"/>
          </w:tcPr>
          <w:p w14:paraId="402AEF0C">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r>
              <w:rPr>
                <w:rFonts w:hint="eastAsia" w:hAnsi="宋体" w:cs="宋体"/>
                <w:color w:val="auto"/>
                <w:highlight w:val="none"/>
              </w:rPr>
              <w:t>项号</w:t>
            </w:r>
          </w:p>
        </w:tc>
        <w:tc>
          <w:tcPr>
            <w:tcW w:w="2143" w:type="dxa"/>
            <w:noWrap w:val="0"/>
            <w:vAlign w:val="center"/>
          </w:tcPr>
          <w:p w14:paraId="172A3FC2">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r>
              <w:rPr>
                <w:rFonts w:hint="eastAsia" w:hAnsi="宋体" w:cs="宋体"/>
                <w:color w:val="auto"/>
                <w:highlight w:val="none"/>
              </w:rPr>
              <w:t>标的名称</w:t>
            </w:r>
          </w:p>
        </w:tc>
        <w:tc>
          <w:tcPr>
            <w:tcW w:w="1834" w:type="dxa"/>
            <w:noWrap w:val="0"/>
            <w:vAlign w:val="center"/>
          </w:tcPr>
          <w:p w14:paraId="6D32915E">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r>
              <w:rPr>
                <w:rFonts w:hint="eastAsia" w:hAnsi="宋体" w:cs="宋体"/>
                <w:color w:val="auto"/>
                <w:highlight w:val="none"/>
              </w:rPr>
              <w:t>项目要求及技术需求</w:t>
            </w:r>
          </w:p>
        </w:tc>
        <w:tc>
          <w:tcPr>
            <w:tcW w:w="2181" w:type="dxa"/>
            <w:noWrap w:val="0"/>
            <w:vAlign w:val="center"/>
          </w:tcPr>
          <w:p w14:paraId="7365E831">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r>
              <w:rPr>
                <w:rFonts w:hint="eastAsia" w:hAnsi="宋体" w:cs="宋体"/>
                <w:color w:val="auto"/>
                <w:highlight w:val="none"/>
              </w:rPr>
              <w:t>投标响应</w:t>
            </w:r>
          </w:p>
        </w:tc>
        <w:tc>
          <w:tcPr>
            <w:tcW w:w="2084" w:type="dxa"/>
            <w:noWrap w:val="0"/>
            <w:vAlign w:val="center"/>
          </w:tcPr>
          <w:p w14:paraId="24B19E1F">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r>
              <w:rPr>
                <w:rFonts w:hint="eastAsia" w:hAnsi="宋体" w:cs="宋体"/>
                <w:color w:val="auto"/>
                <w:highlight w:val="none"/>
              </w:rPr>
              <w:t>偏离说明</w:t>
            </w:r>
          </w:p>
        </w:tc>
      </w:tr>
      <w:tr w14:paraId="420A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49BBAF7C">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p>
        </w:tc>
        <w:tc>
          <w:tcPr>
            <w:tcW w:w="2143" w:type="dxa"/>
            <w:noWrap w:val="0"/>
            <w:vAlign w:val="center"/>
          </w:tcPr>
          <w:p w14:paraId="08EA5E83">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p>
        </w:tc>
        <w:tc>
          <w:tcPr>
            <w:tcW w:w="1834" w:type="dxa"/>
            <w:noWrap w:val="0"/>
            <w:vAlign w:val="center"/>
          </w:tcPr>
          <w:p w14:paraId="30AA9568">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p>
        </w:tc>
        <w:tc>
          <w:tcPr>
            <w:tcW w:w="2181" w:type="dxa"/>
            <w:noWrap w:val="0"/>
            <w:vAlign w:val="center"/>
          </w:tcPr>
          <w:p w14:paraId="608DD6E9">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p>
        </w:tc>
        <w:tc>
          <w:tcPr>
            <w:tcW w:w="2084" w:type="dxa"/>
            <w:noWrap w:val="0"/>
            <w:vAlign w:val="center"/>
          </w:tcPr>
          <w:p w14:paraId="61CBF745">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p>
        </w:tc>
      </w:tr>
      <w:tr w14:paraId="2176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08715E76">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43" w:type="dxa"/>
            <w:noWrap w:val="0"/>
            <w:vAlign w:val="top"/>
          </w:tcPr>
          <w:p w14:paraId="5971CAC1">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1834" w:type="dxa"/>
            <w:noWrap w:val="0"/>
            <w:vAlign w:val="top"/>
          </w:tcPr>
          <w:p w14:paraId="2275F854">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81" w:type="dxa"/>
            <w:noWrap w:val="0"/>
            <w:vAlign w:val="top"/>
          </w:tcPr>
          <w:p w14:paraId="7C29E736">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084" w:type="dxa"/>
            <w:noWrap w:val="0"/>
            <w:vAlign w:val="top"/>
          </w:tcPr>
          <w:p w14:paraId="7316C200">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r>
      <w:tr w14:paraId="31750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45B67A4E">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43" w:type="dxa"/>
            <w:noWrap w:val="0"/>
            <w:vAlign w:val="top"/>
          </w:tcPr>
          <w:p w14:paraId="0E925088">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1834" w:type="dxa"/>
            <w:noWrap w:val="0"/>
            <w:vAlign w:val="top"/>
          </w:tcPr>
          <w:p w14:paraId="62323195">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81" w:type="dxa"/>
            <w:noWrap w:val="0"/>
            <w:vAlign w:val="top"/>
          </w:tcPr>
          <w:p w14:paraId="3099B9AC">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084" w:type="dxa"/>
            <w:noWrap w:val="0"/>
            <w:vAlign w:val="top"/>
          </w:tcPr>
          <w:p w14:paraId="0BFF7DB7">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r>
      <w:tr w14:paraId="48A4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1B476F7A">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43" w:type="dxa"/>
            <w:noWrap w:val="0"/>
            <w:vAlign w:val="top"/>
          </w:tcPr>
          <w:p w14:paraId="343E7C32">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1834" w:type="dxa"/>
            <w:noWrap w:val="0"/>
            <w:vAlign w:val="top"/>
          </w:tcPr>
          <w:p w14:paraId="25ACF541">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81" w:type="dxa"/>
            <w:noWrap w:val="0"/>
            <w:vAlign w:val="top"/>
          </w:tcPr>
          <w:p w14:paraId="15D104D2">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084" w:type="dxa"/>
            <w:noWrap w:val="0"/>
            <w:vAlign w:val="top"/>
          </w:tcPr>
          <w:p w14:paraId="20906F67">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r>
      <w:tr w14:paraId="3C615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232F6B4B">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43" w:type="dxa"/>
            <w:noWrap w:val="0"/>
            <w:vAlign w:val="top"/>
          </w:tcPr>
          <w:p w14:paraId="0D3CCD45">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1834" w:type="dxa"/>
            <w:noWrap w:val="0"/>
            <w:vAlign w:val="top"/>
          </w:tcPr>
          <w:p w14:paraId="2FA14BBC">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81" w:type="dxa"/>
            <w:noWrap w:val="0"/>
            <w:vAlign w:val="top"/>
          </w:tcPr>
          <w:p w14:paraId="2F0B471B">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084" w:type="dxa"/>
            <w:noWrap w:val="0"/>
            <w:vAlign w:val="top"/>
          </w:tcPr>
          <w:p w14:paraId="6B32DDCA">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r>
      <w:tr w14:paraId="2728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41C33F95">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43" w:type="dxa"/>
            <w:noWrap w:val="0"/>
            <w:vAlign w:val="top"/>
          </w:tcPr>
          <w:p w14:paraId="796D194F">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1834" w:type="dxa"/>
            <w:noWrap w:val="0"/>
            <w:vAlign w:val="top"/>
          </w:tcPr>
          <w:p w14:paraId="1494659E">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81" w:type="dxa"/>
            <w:noWrap w:val="0"/>
            <w:vAlign w:val="top"/>
          </w:tcPr>
          <w:p w14:paraId="1586308A">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084" w:type="dxa"/>
            <w:noWrap w:val="0"/>
            <w:vAlign w:val="top"/>
          </w:tcPr>
          <w:p w14:paraId="464BE6E1">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r>
      <w:tr w14:paraId="18BB3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2EB75047">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43" w:type="dxa"/>
            <w:noWrap w:val="0"/>
            <w:vAlign w:val="top"/>
          </w:tcPr>
          <w:p w14:paraId="606FB8BD">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1834" w:type="dxa"/>
            <w:noWrap w:val="0"/>
            <w:vAlign w:val="top"/>
          </w:tcPr>
          <w:p w14:paraId="4BD71F42">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81" w:type="dxa"/>
            <w:noWrap w:val="0"/>
            <w:vAlign w:val="top"/>
          </w:tcPr>
          <w:p w14:paraId="7D9C68E5">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084" w:type="dxa"/>
            <w:noWrap w:val="0"/>
            <w:vAlign w:val="top"/>
          </w:tcPr>
          <w:p w14:paraId="46D54106">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r>
    </w:tbl>
    <w:p w14:paraId="6F10EF25">
      <w:pPr>
        <w:pStyle w:val="14"/>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46761333">
      <w:pPr>
        <w:pStyle w:val="16"/>
        <w:keepNext w:val="0"/>
        <w:keepLines w:val="0"/>
        <w:pageBreakBefore w:val="0"/>
        <w:widowControl w:val="0"/>
        <w:kinsoku/>
        <w:wordWrap/>
        <w:overflowPunct/>
        <w:topLinePunct w:val="0"/>
        <w:autoSpaceDE/>
        <w:autoSpaceDN/>
        <w:bidi w:val="0"/>
        <w:adjustRightInd/>
        <w:snapToGrid/>
        <w:spacing w:line="400" w:lineRule="exact"/>
        <w:ind w:firstLine="0"/>
        <w:contextualSpacing/>
        <w:textAlignment w:val="auto"/>
        <w:rPr>
          <w:rFonts w:hint="eastAsia" w:hAnsi="宋体" w:cs="宋体"/>
          <w:color w:val="auto"/>
          <w:sz w:val="21"/>
          <w:szCs w:val="21"/>
          <w:highlight w:val="none"/>
        </w:rPr>
      </w:pPr>
      <w:r>
        <w:rPr>
          <w:rFonts w:hint="eastAsia" w:hAnsi="宋体" w:cs="宋体"/>
          <w:color w:val="auto"/>
          <w:sz w:val="21"/>
          <w:szCs w:val="21"/>
          <w:highlight w:val="none"/>
        </w:rPr>
        <w:t>1. 说明：应对照招标文件“第二章 采购需求”中的项目要求及技术需求逐条作明确的投标响应，并作出偏离说明。</w:t>
      </w:r>
    </w:p>
    <w:p w14:paraId="6FBB9454">
      <w:pPr>
        <w:pStyle w:val="14"/>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2.投标人应根据自身的承诺，对照招标文件要求，在“偏离说明”中注明“正偏离</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负偏离”或者“无偏离”。既不属于“正偏离”也不属于“负偏离”即为“无偏离”。</w:t>
      </w:r>
    </w:p>
    <w:p w14:paraId="0E460BAB">
      <w:pPr>
        <w:pStyle w:val="14"/>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pacing w:val="20"/>
          <w:sz w:val="21"/>
          <w:szCs w:val="21"/>
          <w:highlight w:val="none"/>
        </w:rPr>
      </w:pPr>
    </w:p>
    <w:p w14:paraId="48F3B5B2">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（签字或者电子签名）：</w:t>
      </w:r>
      <w:r>
        <w:rPr>
          <w:rFonts w:hint="eastAsia" w:ascii="宋体" w:hAnsi="宋体" w:cs="宋体"/>
          <w:color w:val="auto"/>
          <w:spacing w:val="20"/>
          <w:szCs w:val="21"/>
          <w:highlight w:val="none"/>
          <w:u w:val="single"/>
        </w:rPr>
        <w:t xml:space="preserve">        </w:t>
      </w:r>
    </w:p>
    <w:p w14:paraId="3841392D">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4A5C7F96">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pacing w:val="20"/>
          <w:szCs w:val="21"/>
          <w:highlight w:val="none"/>
          <w:u w:val="single"/>
        </w:rPr>
      </w:pPr>
      <w:r>
        <w:rPr>
          <w:rFonts w:hint="eastAsia" w:ascii="宋体" w:hAnsi="宋体" w:cs="宋体"/>
          <w:color w:val="auto"/>
          <w:spacing w:val="20"/>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DFCF381">
      <w:pPr>
        <w:spacing w:line="360" w:lineRule="auto"/>
        <w:contextualSpacing/>
        <w:rPr>
          <w:rFonts w:hint="eastAsia" w:ascii="宋体" w:hAnsi="宋体" w:cs="宋体"/>
          <w:color w:val="auto"/>
          <w:sz w:val="24"/>
          <w:szCs w:val="20"/>
          <w:highlight w:val="none"/>
        </w:rPr>
      </w:pPr>
    </w:p>
    <w:p w14:paraId="7172274E">
      <w:pPr>
        <w:snapToGrid w:val="0"/>
        <w:spacing w:before="165" w:beforeLines="50" w:after="50"/>
        <w:ind w:left="142"/>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2.项目实施人员一览表格式</w:t>
      </w:r>
    </w:p>
    <w:p w14:paraId="688505FB">
      <w:pPr>
        <w:snapToGrid w:val="0"/>
        <w:spacing w:before="165" w:beforeLines="50" w:after="50"/>
        <w:ind w:left="142"/>
        <w:jc w:val="left"/>
        <w:rPr>
          <w:rFonts w:hint="eastAsia" w:ascii="宋体" w:hAnsi="宋体" w:cs="宋体"/>
          <w:b/>
          <w:color w:val="auto"/>
          <w:sz w:val="24"/>
          <w:highlight w:val="none"/>
        </w:rPr>
      </w:pPr>
    </w:p>
    <w:p w14:paraId="5CC569D6">
      <w:pPr>
        <w:snapToGrid w:val="0"/>
        <w:spacing w:before="165" w:beforeLines="50" w:after="50"/>
        <w:ind w:left="142"/>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项目实施人员一览表</w:t>
      </w:r>
    </w:p>
    <w:p w14:paraId="712827EF">
      <w:pPr>
        <w:pStyle w:val="20"/>
        <w:keepNext w:val="0"/>
        <w:keepLines w:val="0"/>
        <w:pageBreakBefore w:val="0"/>
        <w:widowControl w:val="0"/>
        <w:kinsoku/>
        <w:overflowPunct/>
        <w:topLinePunct w:val="0"/>
        <w:autoSpaceDE/>
        <w:autoSpaceDN/>
        <w:bidi w:val="0"/>
        <w:adjustRightInd/>
        <w:spacing w:line="400" w:lineRule="exact"/>
        <w:textAlignment w:val="auto"/>
        <w:rPr>
          <w:rFonts w:hint="eastAsia" w:hAnsi="宋体" w:cs="宋体"/>
          <w:color w:val="auto"/>
          <w:highlight w:val="none"/>
        </w:rPr>
      </w:pPr>
      <w:r>
        <w:rPr>
          <w:rFonts w:hint="eastAsia" w:hAnsi="宋体" w:cs="宋体"/>
          <w:color w:val="auto"/>
          <w:highlight w:val="none"/>
        </w:rPr>
        <w:t>所投分标：</w:t>
      </w:r>
      <w:r>
        <w:rPr>
          <w:rFonts w:hint="eastAsia" w:hAnsi="宋体" w:cs="宋体"/>
          <w:color w:val="auto"/>
          <w:highlight w:val="none"/>
          <w:u w:val="single"/>
        </w:rPr>
        <w:t xml:space="preserve">     </w:t>
      </w:r>
      <w:r>
        <w:rPr>
          <w:rFonts w:hint="eastAsia" w:hAnsi="宋体" w:cs="宋体"/>
          <w:color w:val="auto"/>
          <w:highlight w:val="none"/>
        </w:rPr>
        <w:t>分标</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777"/>
        <w:gridCol w:w="1865"/>
        <w:gridCol w:w="1557"/>
        <w:gridCol w:w="1862"/>
        <w:gridCol w:w="2406"/>
      </w:tblGrid>
      <w:tr w14:paraId="4003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trPr>
        <w:tc>
          <w:tcPr>
            <w:tcW w:w="896" w:type="dxa"/>
            <w:noWrap w:val="0"/>
            <w:vAlign w:val="center"/>
          </w:tcPr>
          <w:p w14:paraId="0C834C7E">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777" w:type="dxa"/>
            <w:noWrap w:val="0"/>
            <w:vAlign w:val="center"/>
          </w:tcPr>
          <w:p w14:paraId="48D1A4A4">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1865" w:type="dxa"/>
            <w:noWrap w:val="0"/>
            <w:vAlign w:val="center"/>
          </w:tcPr>
          <w:p w14:paraId="007C2746">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专业技术资格（职称）或者职业资格或者执业资格证或者其他证书</w:t>
            </w:r>
          </w:p>
        </w:tc>
        <w:tc>
          <w:tcPr>
            <w:tcW w:w="1557" w:type="dxa"/>
            <w:noWrap w:val="0"/>
            <w:vAlign w:val="center"/>
          </w:tcPr>
          <w:p w14:paraId="0220C0FF">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证书编号</w:t>
            </w:r>
          </w:p>
        </w:tc>
        <w:tc>
          <w:tcPr>
            <w:tcW w:w="1862" w:type="dxa"/>
            <w:noWrap w:val="0"/>
            <w:vAlign w:val="center"/>
          </w:tcPr>
          <w:p w14:paraId="6B935C84">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参加本单位</w:t>
            </w:r>
          </w:p>
          <w:p w14:paraId="5EC538E2">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工作时间</w:t>
            </w:r>
          </w:p>
        </w:tc>
        <w:tc>
          <w:tcPr>
            <w:tcW w:w="2406" w:type="dxa"/>
            <w:noWrap w:val="0"/>
            <w:vAlign w:val="center"/>
          </w:tcPr>
          <w:p w14:paraId="386A1C8B">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劳动合同编号</w:t>
            </w:r>
          </w:p>
        </w:tc>
      </w:tr>
      <w:tr w14:paraId="2BA53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96" w:type="dxa"/>
            <w:noWrap w:val="0"/>
            <w:vAlign w:val="center"/>
          </w:tcPr>
          <w:p w14:paraId="2861B995">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777" w:type="dxa"/>
            <w:noWrap w:val="0"/>
            <w:vAlign w:val="center"/>
          </w:tcPr>
          <w:p w14:paraId="474CB51E">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865" w:type="dxa"/>
            <w:noWrap w:val="0"/>
            <w:vAlign w:val="center"/>
          </w:tcPr>
          <w:p w14:paraId="77166673">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557" w:type="dxa"/>
            <w:noWrap w:val="0"/>
            <w:vAlign w:val="center"/>
          </w:tcPr>
          <w:p w14:paraId="31D84512">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862" w:type="dxa"/>
            <w:noWrap w:val="0"/>
            <w:vAlign w:val="center"/>
          </w:tcPr>
          <w:p w14:paraId="65054D9E">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2406" w:type="dxa"/>
            <w:noWrap w:val="0"/>
            <w:vAlign w:val="center"/>
          </w:tcPr>
          <w:p w14:paraId="5BEA0ACC">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r>
      <w:tr w14:paraId="2A8B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96" w:type="dxa"/>
            <w:noWrap w:val="0"/>
            <w:vAlign w:val="center"/>
          </w:tcPr>
          <w:p w14:paraId="77022929">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777" w:type="dxa"/>
            <w:noWrap w:val="0"/>
            <w:vAlign w:val="center"/>
          </w:tcPr>
          <w:p w14:paraId="59BB3DE2">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865" w:type="dxa"/>
            <w:noWrap w:val="0"/>
            <w:vAlign w:val="center"/>
          </w:tcPr>
          <w:p w14:paraId="6F090DB1">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557" w:type="dxa"/>
            <w:noWrap w:val="0"/>
            <w:vAlign w:val="center"/>
          </w:tcPr>
          <w:p w14:paraId="48BF9784">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862" w:type="dxa"/>
            <w:noWrap w:val="0"/>
            <w:vAlign w:val="center"/>
          </w:tcPr>
          <w:p w14:paraId="0AB10EEE">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2406" w:type="dxa"/>
            <w:noWrap w:val="0"/>
            <w:vAlign w:val="center"/>
          </w:tcPr>
          <w:p w14:paraId="5FEC2A23">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r>
      <w:tr w14:paraId="3AD8E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96" w:type="dxa"/>
            <w:noWrap w:val="0"/>
            <w:vAlign w:val="center"/>
          </w:tcPr>
          <w:p w14:paraId="73C60122">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777" w:type="dxa"/>
            <w:noWrap w:val="0"/>
            <w:vAlign w:val="center"/>
          </w:tcPr>
          <w:p w14:paraId="1741F259">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865" w:type="dxa"/>
            <w:noWrap w:val="0"/>
            <w:vAlign w:val="center"/>
          </w:tcPr>
          <w:p w14:paraId="08E1E449">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557" w:type="dxa"/>
            <w:noWrap w:val="0"/>
            <w:vAlign w:val="center"/>
          </w:tcPr>
          <w:p w14:paraId="0748BA6C">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862" w:type="dxa"/>
            <w:noWrap w:val="0"/>
            <w:vAlign w:val="center"/>
          </w:tcPr>
          <w:p w14:paraId="4B903960">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2406" w:type="dxa"/>
            <w:noWrap w:val="0"/>
            <w:vAlign w:val="center"/>
          </w:tcPr>
          <w:p w14:paraId="7BCABE54">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r>
    </w:tbl>
    <w:p w14:paraId="0409F8C8">
      <w:pPr>
        <w:keepNext w:val="0"/>
        <w:keepLines w:val="0"/>
        <w:pageBreakBefore w:val="0"/>
        <w:widowControl w:val="0"/>
        <w:kinsoku/>
        <w:overflowPunct/>
        <w:topLinePunct w:val="0"/>
        <w:autoSpaceDE/>
        <w:autoSpaceDN/>
        <w:bidi w:val="0"/>
        <w:adjustRightInd/>
        <w:snapToGrid w:val="0"/>
        <w:spacing w:before="50" w:after="165" w:afterLines="50" w:line="400" w:lineRule="exact"/>
        <w:jc w:val="left"/>
        <w:textAlignment w:val="auto"/>
        <w:rPr>
          <w:rFonts w:hint="eastAsia" w:ascii="宋体" w:hAnsi="宋体" w:cs="宋体"/>
          <w:color w:val="auto"/>
          <w:szCs w:val="21"/>
          <w:highlight w:val="none"/>
        </w:rPr>
      </w:pPr>
    </w:p>
    <w:p w14:paraId="5626ADFF">
      <w:pPr>
        <w:keepNext w:val="0"/>
        <w:keepLines w:val="0"/>
        <w:pageBreakBefore w:val="0"/>
        <w:widowControl w:val="0"/>
        <w:kinsoku/>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注：</w:t>
      </w:r>
    </w:p>
    <w:p w14:paraId="65527C8A">
      <w:pPr>
        <w:keepNext w:val="0"/>
        <w:keepLines w:val="0"/>
        <w:pageBreakBefore w:val="0"/>
        <w:widowControl w:val="0"/>
        <w:kinsoku/>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1.在填写时，如本表格不适合投标单位的实际情况，可根据本表格式自行制表填写。</w:t>
      </w:r>
    </w:p>
    <w:p w14:paraId="3731BDE2">
      <w:pPr>
        <w:keepNext w:val="0"/>
        <w:keepLines w:val="0"/>
        <w:pageBreakBefore w:val="0"/>
        <w:widowControl w:val="0"/>
        <w:kinsoku/>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2.投标人应当附本表所列证书的复印件并加盖投标人电子签章。</w:t>
      </w:r>
    </w:p>
    <w:p w14:paraId="4721002F">
      <w:pPr>
        <w:keepNext w:val="0"/>
        <w:keepLines w:val="0"/>
        <w:pageBreakBefore w:val="0"/>
        <w:widowControl w:val="0"/>
        <w:kinsoku/>
        <w:wordWrap w:val="0"/>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p>
    <w:p w14:paraId="54C88D95">
      <w:pPr>
        <w:keepNext w:val="0"/>
        <w:keepLines w:val="0"/>
        <w:pageBreakBefore w:val="0"/>
        <w:widowControl w:val="0"/>
        <w:kinsoku/>
        <w:wordWrap w:val="0"/>
        <w:overflowPunct/>
        <w:topLinePunct w:val="0"/>
        <w:autoSpaceDE/>
        <w:autoSpaceDN/>
        <w:bidi w:val="0"/>
        <w:adjustRightInd/>
        <w:spacing w:line="400" w:lineRule="exact"/>
        <w:contextualSpacing/>
        <w:textAlignment w:val="auto"/>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（签字或者电子签名）：</w:t>
      </w:r>
      <w:r>
        <w:rPr>
          <w:rFonts w:hint="eastAsia" w:ascii="宋体" w:hAnsi="宋体" w:cs="宋体"/>
          <w:color w:val="auto"/>
          <w:spacing w:val="20"/>
          <w:szCs w:val="21"/>
          <w:highlight w:val="none"/>
          <w:u w:val="single"/>
        </w:rPr>
        <w:t xml:space="preserve">        </w:t>
      </w:r>
    </w:p>
    <w:p w14:paraId="69FF88BC">
      <w:pPr>
        <w:keepNext w:val="0"/>
        <w:keepLines w:val="0"/>
        <w:pageBreakBefore w:val="0"/>
        <w:widowControl w:val="0"/>
        <w:kinsoku/>
        <w:wordWrap w:val="0"/>
        <w:overflowPunct/>
        <w:topLinePunct w:val="0"/>
        <w:autoSpaceDE/>
        <w:autoSpaceDN/>
        <w:bidi w:val="0"/>
        <w:adjustRightInd/>
        <w:spacing w:line="400" w:lineRule="exact"/>
        <w:contextualSpacing/>
        <w:jc w:val="left"/>
        <w:textAlignment w:val="auto"/>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387B0455">
      <w:pPr>
        <w:keepNext w:val="0"/>
        <w:keepLines w:val="0"/>
        <w:pageBreakBefore w:val="0"/>
        <w:widowControl w:val="0"/>
        <w:kinsoku/>
        <w:wordWrap w:val="0"/>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pacing w:val="20"/>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27447D8">
      <w:pPr>
        <w:spacing w:line="360" w:lineRule="auto"/>
        <w:contextualSpacing/>
        <w:jc w:val="left"/>
        <w:rPr>
          <w:rFonts w:hint="eastAsia" w:ascii="宋体" w:hAnsi="宋体" w:cs="宋体"/>
          <w:color w:val="auto"/>
          <w:sz w:val="24"/>
          <w:szCs w:val="20"/>
          <w:highlight w:val="none"/>
        </w:rPr>
      </w:pPr>
    </w:p>
    <w:p w14:paraId="48F6A546">
      <w:pPr>
        <w:snapToGrid w:val="0"/>
        <w:spacing w:before="50" w:after="165" w:afterLines="50"/>
        <w:jc w:val="left"/>
        <w:rPr>
          <w:rFonts w:hint="eastAsia" w:ascii="宋体" w:hAnsi="宋体" w:cs="宋体"/>
          <w:color w:val="auto"/>
          <w:sz w:val="24"/>
          <w:szCs w:val="20"/>
          <w:highlight w:val="none"/>
        </w:rPr>
      </w:pPr>
    </w:p>
    <w:p w14:paraId="0D669B19">
      <w:pPr>
        <w:snapToGrid w:val="0"/>
        <w:spacing w:before="165" w:beforeLines="50" w:after="50"/>
        <w:jc w:val="left"/>
        <w:rPr>
          <w:rFonts w:hint="eastAsia" w:ascii="宋体" w:hAnsi="宋体" w:cs="宋体"/>
          <w:color w:val="auto"/>
          <w:sz w:val="24"/>
          <w:szCs w:val="20"/>
          <w:highlight w:val="none"/>
        </w:rPr>
      </w:pPr>
    </w:p>
    <w:p w14:paraId="4072B977">
      <w:pPr>
        <w:snapToGrid w:val="0"/>
        <w:spacing w:before="50" w:after="165" w:afterLines="50"/>
        <w:jc w:val="left"/>
        <w:rPr>
          <w:rFonts w:hint="eastAsia" w:ascii="宋体" w:hAnsi="宋体" w:cs="宋体"/>
          <w:color w:val="auto"/>
          <w:sz w:val="24"/>
          <w:szCs w:val="20"/>
          <w:highlight w:val="none"/>
        </w:rPr>
      </w:pPr>
    </w:p>
    <w:p w14:paraId="648DED5F">
      <w:pPr>
        <w:rPr>
          <w:rFonts w:hint="eastAsia" w:ascii="宋体" w:hAnsi="宋体" w:cs="宋体"/>
          <w:b/>
          <w:color w:val="auto"/>
          <w:sz w:val="28"/>
          <w:szCs w:val="28"/>
          <w:highlight w:val="none"/>
        </w:rPr>
      </w:pPr>
      <w:r>
        <w:rPr>
          <w:rFonts w:hint="eastAsia" w:ascii="宋体" w:hAnsi="宋体" w:cs="宋体"/>
          <w:b/>
          <w:bCs/>
          <w:color w:val="auto"/>
          <w:sz w:val="24"/>
          <w:highlight w:val="none"/>
        </w:rPr>
        <w:br w:type="page"/>
      </w:r>
      <w:bookmarkStart w:id="204" w:name="_Toc19686840"/>
      <w:r>
        <w:rPr>
          <w:rFonts w:hint="eastAsia" w:ascii="宋体" w:hAnsi="宋体" w:cs="宋体"/>
          <w:b/>
          <w:color w:val="auto"/>
          <w:sz w:val="28"/>
          <w:szCs w:val="28"/>
          <w:highlight w:val="none"/>
        </w:rPr>
        <w:t>四、其他文书、文件格式</w:t>
      </w:r>
      <w:bookmarkEnd w:id="204"/>
    </w:p>
    <w:p w14:paraId="4A079499">
      <w:pPr>
        <w:spacing w:line="360" w:lineRule="auto"/>
        <w:jc w:val="left"/>
        <w:rPr>
          <w:rFonts w:hint="eastAsia" w:ascii="宋体" w:hAnsi="宋体" w:cs="宋体"/>
          <w:b/>
          <w:bCs/>
          <w:color w:val="auto"/>
          <w:sz w:val="32"/>
          <w:szCs w:val="32"/>
          <w:highlight w:val="none"/>
        </w:rPr>
      </w:pPr>
      <w:r>
        <w:rPr>
          <w:rFonts w:hint="eastAsia" w:ascii="宋体" w:hAnsi="宋体" w:cs="宋体"/>
          <w:b/>
          <w:color w:val="auto"/>
          <w:sz w:val="24"/>
          <w:highlight w:val="none"/>
        </w:rPr>
        <w:t>1.质疑函（格式）</w:t>
      </w:r>
    </w:p>
    <w:p w14:paraId="09C94056">
      <w:pPr>
        <w:spacing w:line="360" w:lineRule="auto"/>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质疑函（格式）</w:t>
      </w:r>
    </w:p>
    <w:p w14:paraId="4549AE21">
      <w:pPr>
        <w:pStyle w:val="20"/>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hAnsi="宋体" w:cs="宋体"/>
          <w:b/>
          <w:bCs/>
          <w:color w:val="auto"/>
          <w:highlight w:val="none"/>
        </w:rPr>
      </w:pPr>
      <w:r>
        <w:rPr>
          <w:rFonts w:hint="eastAsia" w:hAnsi="宋体" w:cs="宋体"/>
          <w:b/>
          <w:bCs/>
          <w:color w:val="auto"/>
          <w:highlight w:val="none"/>
        </w:rPr>
        <w:t>一、质疑供应商基本信息：</w:t>
      </w:r>
    </w:p>
    <w:p w14:paraId="42CA398D">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u w:val="single"/>
        </w:rPr>
      </w:pPr>
      <w:r>
        <w:rPr>
          <w:rFonts w:hint="eastAsia" w:hAnsi="宋体" w:cs="宋体"/>
          <w:bCs/>
          <w:color w:val="auto"/>
          <w:highlight w:val="none"/>
        </w:rPr>
        <w:t>质疑供应商：</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45ABA674">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0F3D72D6">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联系人：</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p>
    <w:p w14:paraId="248D0A58">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授权代表：</w:t>
      </w:r>
      <w:r>
        <w:rPr>
          <w:rFonts w:hint="eastAsia" w:hAnsi="宋体" w:cs="宋体"/>
          <w:bCs/>
          <w:color w:val="auto"/>
          <w:highlight w:val="none"/>
          <w:u w:val="single"/>
        </w:rPr>
        <w:t xml:space="preserve">                      </w:t>
      </w:r>
    </w:p>
    <w:p w14:paraId="7AFF3742">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u w:val="single"/>
        </w:rPr>
      </w:pPr>
      <w:r>
        <w:rPr>
          <w:rFonts w:hint="eastAsia" w:hAnsi="宋体" w:cs="宋体"/>
          <w:bCs/>
          <w:color w:val="auto"/>
          <w:highlight w:val="none"/>
        </w:rPr>
        <w:t>联系电话：</w:t>
      </w:r>
      <w:r>
        <w:rPr>
          <w:rFonts w:hint="eastAsia" w:hAnsi="宋体" w:cs="宋体"/>
          <w:bCs/>
          <w:color w:val="auto"/>
          <w:highlight w:val="none"/>
          <w:u w:val="single"/>
        </w:rPr>
        <w:t xml:space="preserve">                      </w:t>
      </w:r>
    </w:p>
    <w:p w14:paraId="690A3AA1">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5CC19078">
      <w:pPr>
        <w:pStyle w:val="20"/>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hAnsi="宋体" w:cs="宋体"/>
          <w:b/>
          <w:bCs/>
          <w:color w:val="auto"/>
          <w:highlight w:val="none"/>
        </w:rPr>
      </w:pPr>
      <w:r>
        <w:rPr>
          <w:rFonts w:hint="eastAsia" w:hAnsi="宋体" w:cs="宋体"/>
          <w:b/>
          <w:bCs/>
          <w:color w:val="auto"/>
          <w:highlight w:val="none"/>
        </w:rPr>
        <w:t>二、质疑项目基本情况：</w:t>
      </w:r>
    </w:p>
    <w:p w14:paraId="1AD5E11E">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bCs/>
          <w:color w:val="auto"/>
          <w:highlight w:val="none"/>
        </w:rPr>
        <w:t>质疑</w:t>
      </w:r>
      <w:r>
        <w:rPr>
          <w:rFonts w:hint="eastAsia" w:hAnsi="宋体" w:cs="宋体"/>
          <w:color w:val="auto"/>
          <w:highlight w:val="none"/>
        </w:rPr>
        <w:t>项目的名称：</w:t>
      </w:r>
      <w:r>
        <w:rPr>
          <w:rFonts w:hint="eastAsia" w:hAnsi="宋体" w:cs="宋体"/>
          <w:bCs/>
          <w:color w:val="auto"/>
          <w:highlight w:val="none"/>
          <w:u w:val="single"/>
        </w:rPr>
        <w:t xml:space="preserve">                                     </w:t>
      </w:r>
    </w:p>
    <w:p w14:paraId="01C8E34D">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bCs/>
          <w:color w:val="auto"/>
          <w:highlight w:val="none"/>
        </w:rPr>
        <w:t>质疑</w:t>
      </w:r>
      <w:r>
        <w:rPr>
          <w:rFonts w:hint="eastAsia" w:hAnsi="宋体" w:cs="宋体"/>
          <w:color w:val="auto"/>
          <w:highlight w:val="none"/>
        </w:rPr>
        <w:t>项目的编号：</w:t>
      </w:r>
      <w:r>
        <w:rPr>
          <w:rFonts w:hint="eastAsia" w:hAnsi="宋体" w:cs="宋体"/>
          <w:bCs/>
          <w:color w:val="auto"/>
          <w:highlight w:val="none"/>
          <w:u w:val="single"/>
        </w:rPr>
        <w:t xml:space="preserve">                                     </w:t>
      </w:r>
    </w:p>
    <w:p w14:paraId="1EEBD2C8">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采购人名称：</w:t>
      </w:r>
      <w:r>
        <w:rPr>
          <w:rFonts w:hint="eastAsia" w:hAnsi="宋体" w:cs="宋体"/>
          <w:bCs/>
          <w:color w:val="auto"/>
          <w:highlight w:val="none"/>
          <w:u w:val="single"/>
        </w:rPr>
        <w:t xml:space="preserve">                                         </w:t>
      </w:r>
    </w:p>
    <w:p w14:paraId="32D9E49B">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质疑事项：</w:t>
      </w:r>
    </w:p>
    <w:p w14:paraId="043A04EC">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color w:val="auto"/>
          <w:highlight w:val="none"/>
        </w:rPr>
      </w:pPr>
      <w:r>
        <w:rPr>
          <w:rFonts w:hint="eastAsia" w:hAnsi="宋体" w:cs="宋体"/>
          <w:color w:val="auto"/>
          <w:highlight w:val="none"/>
        </w:rPr>
        <w:t>□招标文件   招标文件获取日期：</w:t>
      </w:r>
      <w:r>
        <w:rPr>
          <w:rFonts w:hint="eastAsia" w:hAnsi="宋体" w:cs="宋体"/>
          <w:bCs/>
          <w:color w:val="auto"/>
          <w:highlight w:val="none"/>
          <w:u w:val="single"/>
        </w:rPr>
        <w:t xml:space="preserve">                                   </w:t>
      </w:r>
    </w:p>
    <w:p w14:paraId="58A39D26">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color w:val="auto"/>
          <w:highlight w:val="none"/>
        </w:rPr>
      </w:pPr>
      <w:r>
        <w:rPr>
          <w:rFonts w:hint="eastAsia" w:hAnsi="宋体" w:cs="宋体"/>
          <w:color w:val="auto"/>
          <w:highlight w:val="none"/>
        </w:rPr>
        <w:t xml:space="preserve">□招标过程   </w:t>
      </w:r>
    </w:p>
    <w:p w14:paraId="27D7CD91">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bCs/>
          <w:color w:val="auto"/>
          <w:highlight w:val="none"/>
          <w:u w:val="single"/>
        </w:rPr>
      </w:pPr>
      <w:r>
        <w:rPr>
          <w:rFonts w:hint="eastAsia" w:hAnsi="宋体" w:cs="宋体"/>
          <w:color w:val="auto"/>
          <w:highlight w:val="none"/>
        </w:rPr>
        <w:t xml:space="preserve">□招标结果   </w:t>
      </w:r>
    </w:p>
    <w:p w14:paraId="64108333">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hAnsi="宋体" w:cs="宋体"/>
          <w:b/>
          <w:color w:val="auto"/>
          <w:highlight w:val="none"/>
        </w:rPr>
      </w:pPr>
      <w:r>
        <w:rPr>
          <w:rFonts w:hint="eastAsia" w:hAnsi="宋体" w:cs="宋体"/>
          <w:b/>
          <w:color w:val="auto"/>
          <w:highlight w:val="none"/>
        </w:rPr>
        <w:t>三、质疑事项具体内容</w:t>
      </w:r>
    </w:p>
    <w:p w14:paraId="4C1B0ACA">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质疑事项1：</w:t>
      </w:r>
      <w:r>
        <w:rPr>
          <w:rFonts w:hint="eastAsia" w:hAnsi="宋体" w:cs="宋体"/>
          <w:bCs/>
          <w:color w:val="auto"/>
          <w:highlight w:val="none"/>
          <w:u w:val="single"/>
        </w:rPr>
        <w:t xml:space="preserve">                                                                    </w:t>
      </w:r>
    </w:p>
    <w:p w14:paraId="307F9217">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事实依据：</w:t>
      </w:r>
      <w:r>
        <w:rPr>
          <w:rFonts w:hint="eastAsia" w:hAnsi="宋体" w:cs="宋体"/>
          <w:bCs/>
          <w:color w:val="auto"/>
          <w:highlight w:val="none"/>
          <w:u w:val="single"/>
        </w:rPr>
        <w:t xml:space="preserve">                                                                      </w:t>
      </w:r>
    </w:p>
    <w:p w14:paraId="6A94580F">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法律依据：</w:t>
      </w:r>
      <w:r>
        <w:rPr>
          <w:rFonts w:hint="eastAsia" w:hAnsi="宋体" w:cs="宋体"/>
          <w:color w:val="auto"/>
          <w:highlight w:val="none"/>
          <w:u w:val="single"/>
        </w:rPr>
        <w:t xml:space="preserve">                                                        </w:t>
      </w:r>
      <w:r>
        <w:rPr>
          <w:rFonts w:hint="eastAsia" w:hAnsi="宋体" w:cs="宋体"/>
          <w:bCs/>
          <w:color w:val="auto"/>
          <w:highlight w:val="none"/>
          <w:u w:val="single"/>
        </w:rPr>
        <w:t xml:space="preserve">               </w:t>
      </w:r>
    </w:p>
    <w:p w14:paraId="52402A86">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质疑事项2</w:t>
      </w:r>
    </w:p>
    <w:p w14:paraId="112A238B">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w:t>
      </w:r>
    </w:p>
    <w:p w14:paraId="200E72C8">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四、与质疑事项相关的质疑请求：</w:t>
      </w:r>
    </w:p>
    <w:p w14:paraId="10BB48C7">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请求：</w:t>
      </w:r>
      <w:r>
        <w:rPr>
          <w:rFonts w:hint="eastAsia" w:hAnsi="宋体" w:cs="宋体"/>
          <w:bCs/>
          <w:color w:val="auto"/>
          <w:highlight w:val="none"/>
          <w:u w:val="single"/>
        </w:rPr>
        <w:t xml:space="preserve">                                                                </w:t>
      </w:r>
    </w:p>
    <w:p w14:paraId="3365F8E4">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color w:val="auto"/>
          <w:highlight w:val="none"/>
        </w:rPr>
      </w:pPr>
    </w:p>
    <w:p w14:paraId="4DD08435">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签字（签章）：                                       公章：</w:t>
      </w:r>
    </w:p>
    <w:p w14:paraId="10A48200">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日期：</w:t>
      </w:r>
    </w:p>
    <w:p w14:paraId="38BEF96C">
      <w:pPr>
        <w:pStyle w:val="20"/>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hAnsi="宋体" w:cs="宋体"/>
          <w:b/>
          <w:color w:val="auto"/>
          <w:highlight w:val="none"/>
        </w:rPr>
      </w:pPr>
      <w:r>
        <w:rPr>
          <w:rFonts w:hint="eastAsia" w:hAnsi="宋体" w:cs="宋体"/>
          <w:b/>
          <w:color w:val="auto"/>
          <w:highlight w:val="none"/>
        </w:rPr>
        <w:t>说明：</w:t>
      </w:r>
    </w:p>
    <w:p w14:paraId="0E89E1C1">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bCs/>
          <w:color w:val="auto"/>
          <w:highlight w:val="none"/>
        </w:rPr>
      </w:pPr>
      <w:r>
        <w:rPr>
          <w:rFonts w:hint="eastAsia" w:hAnsi="宋体" w:cs="宋体"/>
          <w:b/>
          <w:color w:val="auto"/>
          <w:highlight w:val="none"/>
        </w:rPr>
        <w:t>1.供应商提出质疑时，应提交质疑函和必要的证明材料</w:t>
      </w:r>
      <w:r>
        <w:rPr>
          <w:rFonts w:hint="eastAsia" w:hAnsi="宋体" w:cs="宋体"/>
          <w:b/>
          <w:bCs/>
          <w:color w:val="auto"/>
          <w:highlight w:val="none"/>
        </w:rPr>
        <w:t>。</w:t>
      </w:r>
    </w:p>
    <w:p w14:paraId="43EFC238">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9C62DCC">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3.质疑函的质疑事项应具体、明确，并有必要的事实依据和法律依据。</w:t>
      </w:r>
    </w:p>
    <w:p w14:paraId="2D289A94">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4.质疑函的质疑请求应与质疑事项相关。</w:t>
      </w:r>
    </w:p>
    <w:p w14:paraId="0DDB395D">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5.质疑供应商为法人或者其他组织的，质疑函应由法定代表人、主要负责人，或者其授权代表签字或者盖章，并加盖公章。</w:t>
      </w:r>
    </w:p>
    <w:p w14:paraId="470EF484">
      <w:pPr>
        <w:spacing w:line="460" w:lineRule="exact"/>
        <w:rPr>
          <w:rFonts w:hint="eastAsia" w:ascii="宋体" w:hAnsi="宋体" w:cs="宋体"/>
          <w:color w:val="auto"/>
          <w:sz w:val="44"/>
          <w:highlight w:val="none"/>
        </w:rPr>
      </w:pPr>
    </w:p>
    <w:p w14:paraId="22858AB2">
      <w:pPr>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2.投诉书（格式）</w:t>
      </w:r>
    </w:p>
    <w:p w14:paraId="3BE9674E">
      <w:pPr>
        <w:spacing w:line="360" w:lineRule="auto"/>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投诉书（格式）</w:t>
      </w:r>
    </w:p>
    <w:p w14:paraId="61BCE133">
      <w:pPr>
        <w:pStyle w:val="20"/>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hAnsi="宋体" w:cs="宋体"/>
          <w:b/>
          <w:bCs/>
          <w:color w:val="auto"/>
          <w:highlight w:val="none"/>
        </w:rPr>
      </w:pPr>
      <w:r>
        <w:rPr>
          <w:rFonts w:hint="eastAsia" w:hAnsi="宋体" w:cs="宋体"/>
          <w:b/>
          <w:bCs/>
          <w:color w:val="auto"/>
          <w:highlight w:val="none"/>
        </w:rPr>
        <w:t>一、投诉相关主体基本情况：</w:t>
      </w:r>
    </w:p>
    <w:p w14:paraId="6DDDCFBC">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投标人：</w:t>
      </w:r>
      <w:r>
        <w:rPr>
          <w:rFonts w:hint="eastAsia" w:hAnsi="宋体" w:cs="宋体"/>
          <w:bCs/>
          <w:color w:val="auto"/>
          <w:highlight w:val="none"/>
          <w:u w:val="single"/>
        </w:rPr>
        <w:t xml:space="preserve">                                                                        </w:t>
      </w:r>
    </w:p>
    <w:p w14:paraId="7A2430FD">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p>
    <w:p w14:paraId="464DBE03">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法定代表人/主要负责人：</w:t>
      </w:r>
      <w:r>
        <w:rPr>
          <w:rFonts w:hint="eastAsia" w:hAnsi="宋体" w:cs="宋体"/>
          <w:bCs/>
          <w:color w:val="auto"/>
          <w:highlight w:val="none"/>
          <w:u w:val="single"/>
        </w:rPr>
        <w:t xml:space="preserve">                                                         </w:t>
      </w:r>
    </w:p>
    <w:p w14:paraId="6DB99C6C">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联系电话：</w:t>
      </w:r>
      <w:r>
        <w:rPr>
          <w:rFonts w:hint="eastAsia" w:hAnsi="宋体" w:cs="宋体"/>
          <w:bCs/>
          <w:color w:val="auto"/>
          <w:highlight w:val="none"/>
          <w:u w:val="single"/>
        </w:rPr>
        <w:t xml:space="preserve">                                         </w:t>
      </w:r>
    </w:p>
    <w:p w14:paraId="61199FA1">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授权代表：</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p>
    <w:p w14:paraId="3B484436">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地址：</w:t>
      </w:r>
      <w:r>
        <w:rPr>
          <w:rFonts w:hint="eastAsia" w:hAnsi="宋体" w:cs="宋体"/>
          <w:bCs/>
          <w:color w:val="auto"/>
          <w:highlight w:val="none"/>
          <w:u w:val="single"/>
        </w:rPr>
        <w:t xml:space="preserve">                                                            </w:t>
      </w:r>
    </w:p>
    <w:p w14:paraId="00CC7AF8">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邮编：</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5F989198">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被投诉人1：</w:t>
      </w:r>
    </w:p>
    <w:p w14:paraId="1E427EF5">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地址：</w:t>
      </w:r>
      <w:r>
        <w:rPr>
          <w:rFonts w:hint="eastAsia" w:hAnsi="宋体" w:cs="宋体"/>
          <w:bCs/>
          <w:color w:val="auto"/>
          <w:highlight w:val="none"/>
          <w:u w:val="single"/>
        </w:rPr>
        <w:t xml:space="preserve">                                                            </w:t>
      </w:r>
    </w:p>
    <w:p w14:paraId="4109A0C9">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邮编：</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35A132F8">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联系人：</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p>
    <w:p w14:paraId="02E410A0">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被投诉人2：</w:t>
      </w:r>
    </w:p>
    <w:p w14:paraId="0B0CBEBD">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w:t>
      </w:r>
    </w:p>
    <w:p w14:paraId="26C66536">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相关供应商：</w:t>
      </w:r>
      <w:r>
        <w:rPr>
          <w:rFonts w:hint="eastAsia" w:hAnsi="宋体" w:cs="宋体"/>
          <w:bCs/>
          <w:color w:val="auto"/>
          <w:highlight w:val="none"/>
          <w:u w:val="single"/>
        </w:rPr>
        <w:t xml:space="preserve">                                                                       </w:t>
      </w:r>
    </w:p>
    <w:p w14:paraId="2A0F8D52">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p>
    <w:p w14:paraId="0FBBE4E7">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联系人：</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15088F28">
      <w:pPr>
        <w:pStyle w:val="20"/>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hAnsi="宋体" w:cs="宋体"/>
          <w:b/>
          <w:bCs/>
          <w:color w:val="auto"/>
          <w:highlight w:val="none"/>
        </w:rPr>
      </w:pPr>
      <w:r>
        <w:rPr>
          <w:rFonts w:hint="eastAsia" w:hAnsi="宋体" w:cs="宋体"/>
          <w:b/>
          <w:bCs/>
          <w:color w:val="auto"/>
          <w:highlight w:val="none"/>
        </w:rPr>
        <w:t>二、投诉项目基本情况：</w:t>
      </w:r>
    </w:p>
    <w:p w14:paraId="6B328C4D">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招标项目的名称：</w:t>
      </w:r>
      <w:r>
        <w:rPr>
          <w:rFonts w:hint="eastAsia" w:hAnsi="宋体" w:cs="宋体"/>
          <w:bCs/>
          <w:color w:val="auto"/>
          <w:highlight w:val="none"/>
          <w:u w:val="single"/>
        </w:rPr>
        <w:t xml:space="preserve">                                                                   </w:t>
      </w:r>
    </w:p>
    <w:p w14:paraId="14F42BEB">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招标项目的编号：</w:t>
      </w:r>
      <w:r>
        <w:rPr>
          <w:rFonts w:hint="eastAsia" w:hAnsi="宋体" w:cs="宋体"/>
          <w:bCs/>
          <w:color w:val="auto"/>
          <w:highlight w:val="none"/>
          <w:u w:val="single"/>
        </w:rPr>
        <w:t xml:space="preserve">                                          </w:t>
      </w:r>
    </w:p>
    <w:p w14:paraId="545CF249">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u w:val="single"/>
        </w:rPr>
      </w:pPr>
      <w:r>
        <w:rPr>
          <w:rFonts w:hint="eastAsia" w:hAnsi="宋体" w:cs="宋体"/>
          <w:color w:val="auto"/>
          <w:highlight w:val="none"/>
        </w:rPr>
        <w:t>采购人名称：</w:t>
      </w:r>
      <w:r>
        <w:rPr>
          <w:rFonts w:hint="eastAsia" w:hAnsi="宋体" w:cs="宋体"/>
          <w:bCs/>
          <w:color w:val="auto"/>
          <w:highlight w:val="none"/>
          <w:u w:val="single"/>
        </w:rPr>
        <w:t xml:space="preserve">                                                                        </w:t>
      </w:r>
    </w:p>
    <w:p w14:paraId="4FA9E5B5">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u w:val="single"/>
        </w:rPr>
      </w:pPr>
      <w:r>
        <w:rPr>
          <w:rFonts w:hint="eastAsia" w:hAnsi="宋体" w:cs="宋体"/>
          <w:color w:val="auto"/>
          <w:highlight w:val="none"/>
        </w:rPr>
        <w:t>代理机构名称：</w:t>
      </w:r>
      <w:r>
        <w:rPr>
          <w:rFonts w:hint="eastAsia" w:hAnsi="宋体" w:cs="宋体"/>
          <w:bCs/>
          <w:color w:val="auto"/>
          <w:highlight w:val="none"/>
          <w:u w:val="single"/>
        </w:rPr>
        <w:t xml:space="preserve">                                                                      </w:t>
      </w:r>
    </w:p>
    <w:p w14:paraId="516B5226">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u w:val="single"/>
        </w:rPr>
      </w:pPr>
      <w:r>
        <w:rPr>
          <w:rFonts w:hint="eastAsia" w:hAnsi="宋体" w:cs="宋体"/>
          <w:color w:val="auto"/>
          <w:highlight w:val="none"/>
        </w:rPr>
        <w:t>招标</w:t>
      </w:r>
      <w:r>
        <w:rPr>
          <w:rFonts w:hint="eastAsia" w:hAnsi="宋体" w:cs="宋体"/>
          <w:bCs/>
          <w:color w:val="auto"/>
          <w:highlight w:val="none"/>
        </w:rPr>
        <w:t>文件公告：</w:t>
      </w:r>
      <w:r>
        <w:rPr>
          <w:rFonts w:hint="eastAsia" w:hAnsi="宋体" w:cs="宋体"/>
          <w:bCs/>
          <w:color w:val="auto"/>
          <w:highlight w:val="none"/>
          <w:u w:val="single"/>
        </w:rPr>
        <w:t>是/否</w:t>
      </w:r>
      <w:r>
        <w:rPr>
          <w:rFonts w:hint="eastAsia" w:hAnsi="宋体" w:cs="宋体"/>
          <w:bCs/>
          <w:color w:val="auto"/>
          <w:highlight w:val="none"/>
        </w:rPr>
        <w:t>公告期限：</w:t>
      </w:r>
      <w:r>
        <w:rPr>
          <w:rFonts w:hint="eastAsia" w:hAnsi="宋体" w:cs="宋体"/>
          <w:bCs/>
          <w:color w:val="auto"/>
          <w:highlight w:val="none"/>
          <w:u w:val="single"/>
        </w:rPr>
        <w:t xml:space="preserve">                                                       </w:t>
      </w:r>
    </w:p>
    <w:p w14:paraId="6672C46A">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
          <w:color w:val="auto"/>
          <w:highlight w:val="none"/>
        </w:rPr>
      </w:pPr>
      <w:r>
        <w:rPr>
          <w:rFonts w:hint="eastAsia" w:hAnsi="宋体" w:cs="宋体"/>
          <w:color w:val="auto"/>
          <w:highlight w:val="none"/>
        </w:rPr>
        <w:t>招标</w:t>
      </w:r>
      <w:r>
        <w:rPr>
          <w:rFonts w:hint="eastAsia" w:hAnsi="宋体" w:cs="宋体"/>
          <w:bCs/>
          <w:color w:val="auto"/>
          <w:highlight w:val="none"/>
        </w:rPr>
        <w:t>结果公告：</w:t>
      </w:r>
      <w:r>
        <w:rPr>
          <w:rFonts w:hint="eastAsia" w:hAnsi="宋体" w:cs="宋体"/>
          <w:bCs/>
          <w:color w:val="auto"/>
          <w:highlight w:val="none"/>
          <w:u w:val="single"/>
        </w:rPr>
        <w:t>是/否</w:t>
      </w:r>
      <w:r>
        <w:rPr>
          <w:rFonts w:hint="eastAsia" w:hAnsi="宋体" w:cs="宋体"/>
          <w:bCs/>
          <w:color w:val="auto"/>
          <w:highlight w:val="none"/>
        </w:rPr>
        <w:t>公告期限：</w:t>
      </w:r>
      <w:r>
        <w:rPr>
          <w:rFonts w:hint="eastAsia" w:hAnsi="宋体" w:cs="宋体"/>
          <w:bCs/>
          <w:color w:val="auto"/>
          <w:highlight w:val="none"/>
          <w:u w:val="single"/>
        </w:rPr>
        <w:t xml:space="preserve">                                                    </w:t>
      </w:r>
    </w:p>
    <w:p w14:paraId="602E15DC">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hAnsi="宋体" w:cs="宋体"/>
          <w:b/>
          <w:color w:val="auto"/>
          <w:highlight w:val="none"/>
        </w:rPr>
      </w:pPr>
      <w:r>
        <w:rPr>
          <w:rFonts w:hint="eastAsia" w:hAnsi="宋体" w:cs="宋体"/>
          <w:b/>
          <w:color w:val="auto"/>
          <w:highlight w:val="none"/>
        </w:rPr>
        <w:t>三、质疑基本情况</w:t>
      </w:r>
    </w:p>
    <w:p w14:paraId="549FA420">
      <w:pPr>
        <w:pStyle w:val="20"/>
        <w:keepNext w:val="0"/>
        <w:keepLines w:val="0"/>
        <w:pageBreakBefore w:val="0"/>
        <w:widowControl w:val="0"/>
        <w:kinsoku/>
        <w:wordWrap/>
        <w:overflowPunct/>
        <w:topLinePunct w:val="0"/>
        <w:autoSpaceDE/>
        <w:autoSpaceDN/>
        <w:bidi w:val="0"/>
        <w:adjustRightInd/>
        <w:spacing w:line="400" w:lineRule="exact"/>
        <w:ind w:left="25" w:leftChars="12" w:firstLine="420" w:firstLineChars="200"/>
        <w:textAlignment w:val="auto"/>
        <w:rPr>
          <w:rFonts w:hint="eastAsia" w:hAnsi="宋体" w:cs="宋体"/>
          <w:color w:val="auto"/>
          <w:highlight w:val="none"/>
        </w:rPr>
      </w:pPr>
      <w:r>
        <w:rPr>
          <w:rFonts w:hint="eastAsia" w:hAnsi="宋体" w:cs="宋体"/>
          <w:color w:val="auto"/>
          <w:highlight w:val="none"/>
        </w:rPr>
        <w:t>投诉人于</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日，向</w:t>
      </w:r>
      <w:r>
        <w:rPr>
          <w:rFonts w:hint="eastAsia" w:hAnsi="宋体" w:cs="宋体"/>
          <w:color w:val="auto"/>
          <w:highlight w:val="none"/>
          <w:u w:val="single"/>
        </w:rPr>
        <w:t xml:space="preserve">                                </w:t>
      </w:r>
      <w:r>
        <w:rPr>
          <w:rFonts w:hint="eastAsia" w:hAnsi="宋体" w:cs="宋体"/>
          <w:color w:val="auto"/>
          <w:highlight w:val="none"/>
        </w:rPr>
        <w:t>提出质疑，质疑事项为：</w:t>
      </w:r>
    </w:p>
    <w:p w14:paraId="670C38DD">
      <w:pPr>
        <w:pStyle w:val="20"/>
        <w:keepNext w:val="0"/>
        <w:keepLines w:val="0"/>
        <w:pageBreakBefore w:val="0"/>
        <w:widowControl w:val="0"/>
        <w:kinsoku/>
        <w:wordWrap/>
        <w:overflowPunct/>
        <w:topLinePunct w:val="0"/>
        <w:autoSpaceDE/>
        <w:autoSpaceDN/>
        <w:bidi w:val="0"/>
        <w:adjustRightInd/>
        <w:spacing w:line="400" w:lineRule="exact"/>
        <w:ind w:firstLine="241"/>
        <w:textAlignment w:val="auto"/>
        <w:rPr>
          <w:rFonts w:hint="eastAsia" w:hAnsi="宋体" w:cs="宋体"/>
          <w:bCs/>
          <w:color w:val="auto"/>
          <w:highlight w:val="none"/>
          <w:u w:val="single"/>
        </w:rPr>
      </w:pPr>
      <w:r>
        <w:rPr>
          <w:rFonts w:hint="eastAsia" w:hAnsi="宋体" w:cs="宋体"/>
          <w:color w:val="auto"/>
          <w:highlight w:val="none"/>
        </w:rPr>
        <w:t xml:space="preserve">    </w:t>
      </w:r>
      <w:r>
        <w:rPr>
          <w:rFonts w:hint="eastAsia" w:hAnsi="宋体" w:cs="宋体"/>
          <w:bCs/>
          <w:color w:val="auto"/>
          <w:highlight w:val="none"/>
          <w:u w:val="single"/>
        </w:rPr>
        <w:t xml:space="preserve">                                                                                      </w:t>
      </w:r>
    </w:p>
    <w:p w14:paraId="3869A9DC">
      <w:pPr>
        <w:pStyle w:val="20"/>
        <w:keepNext w:val="0"/>
        <w:keepLines w:val="0"/>
        <w:pageBreakBefore w:val="0"/>
        <w:widowControl w:val="0"/>
        <w:kinsoku/>
        <w:wordWrap/>
        <w:overflowPunct/>
        <w:topLinePunct w:val="0"/>
        <w:autoSpaceDE/>
        <w:autoSpaceDN/>
        <w:bidi w:val="0"/>
        <w:adjustRightInd/>
        <w:spacing w:line="400" w:lineRule="exact"/>
        <w:ind w:firstLine="241"/>
        <w:textAlignment w:val="auto"/>
        <w:rPr>
          <w:rFonts w:hint="eastAsia" w:hAnsi="宋体" w:cs="宋体"/>
          <w:bCs/>
          <w:color w:val="auto"/>
          <w:highlight w:val="none"/>
          <w:u w:val="single"/>
        </w:rPr>
      </w:pPr>
      <w:r>
        <w:rPr>
          <w:rFonts w:hint="eastAsia" w:hAnsi="宋体" w:cs="宋体"/>
          <w:bCs/>
          <w:color w:val="auto"/>
          <w:highlight w:val="none"/>
        </w:rPr>
        <w:t xml:space="preserve">    </w:t>
      </w:r>
      <w:r>
        <w:rPr>
          <w:rFonts w:hint="eastAsia" w:hAnsi="宋体" w:cs="宋体"/>
          <w:bCs/>
          <w:color w:val="auto"/>
          <w:highlight w:val="none"/>
          <w:u w:val="single"/>
        </w:rPr>
        <w:t xml:space="preserve">                                                                                      </w:t>
      </w:r>
    </w:p>
    <w:p w14:paraId="0DF0C385">
      <w:pPr>
        <w:pStyle w:val="20"/>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hAnsi="宋体" w:cs="宋体"/>
          <w:color w:val="auto"/>
          <w:highlight w:val="none"/>
        </w:rPr>
      </w:pPr>
      <w:r>
        <w:rPr>
          <w:rFonts w:hint="eastAsia" w:hAnsi="宋体" w:cs="宋体"/>
          <w:bCs/>
          <w:color w:val="auto"/>
          <w:highlight w:val="none"/>
          <w:u w:val="single"/>
        </w:rPr>
        <w:t>采购人/代理机构</w:t>
      </w:r>
      <w:r>
        <w:rPr>
          <w:rFonts w:hint="eastAsia" w:hAnsi="宋体" w:cs="宋体"/>
          <w:bCs/>
          <w:color w:val="auto"/>
          <w:highlight w:val="none"/>
        </w:rPr>
        <w:t>于</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r>
        <w:rPr>
          <w:rFonts w:hint="eastAsia" w:hAnsi="宋体" w:cs="宋体"/>
          <w:bCs/>
          <w:color w:val="auto"/>
          <w:highlight w:val="none"/>
        </w:rPr>
        <w:t xml:space="preserve">就质疑事项作出了答复/没有在法定期限内作出答复。                                                                                             </w:t>
      </w:r>
    </w:p>
    <w:p w14:paraId="77884FF2">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hAnsi="宋体" w:cs="宋体"/>
          <w:b/>
          <w:color w:val="auto"/>
          <w:highlight w:val="none"/>
        </w:rPr>
      </w:pPr>
      <w:r>
        <w:rPr>
          <w:rFonts w:hint="eastAsia" w:hAnsi="宋体" w:cs="宋体"/>
          <w:b/>
          <w:color w:val="auto"/>
          <w:highlight w:val="none"/>
        </w:rPr>
        <w:t>四、投诉事项具体内容</w:t>
      </w:r>
    </w:p>
    <w:p w14:paraId="0350F0F1">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u w:val="single"/>
        </w:rPr>
      </w:pPr>
      <w:r>
        <w:rPr>
          <w:rFonts w:hint="eastAsia" w:hAnsi="宋体" w:cs="宋体"/>
          <w:color w:val="auto"/>
          <w:highlight w:val="none"/>
        </w:rPr>
        <w:t>投诉事项1：</w:t>
      </w:r>
      <w:r>
        <w:rPr>
          <w:rFonts w:hint="eastAsia" w:hAnsi="宋体" w:cs="宋体"/>
          <w:bCs/>
          <w:color w:val="auto"/>
          <w:highlight w:val="none"/>
          <w:u w:val="single"/>
        </w:rPr>
        <w:t xml:space="preserve">                                                                           </w:t>
      </w:r>
    </w:p>
    <w:p w14:paraId="7C46A62D">
      <w:pPr>
        <w:pStyle w:val="20"/>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hAnsi="宋体" w:cs="宋体"/>
          <w:bCs/>
          <w:color w:val="auto"/>
          <w:highlight w:val="none"/>
          <w:u w:val="single"/>
        </w:rPr>
      </w:pPr>
      <w:r>
        <w:rPr>
          <w:rFonts w:hint="eastAsia" w:hAnsi="宋体" w:cs="宋体"/>
          <w:bCs/>
          <w:color w:val="auto"/>
          <w:highlight w:val="none"/>
        </w:rPr>
        <w:t>事实依据：</w:t>
      </w:r>
      <w:r>
        <w:rPr>
          <w:rFonts w:hint="eastAsia" w:hAnsi="宋体" w:cs="宋体"/>
          <w:color w:val="auto"/>
          <w:highlight w:val="none"/>
        </w:rPr>
        <w:t xml:space="preserve"> </w:t>
      </w:r>
      <w:r>
        <w:rPr>
          <w:rFonts w:hint="eastAsia" w:hAnsi="宋体" w:cs="宋体"/>
          <w:bCs/>
          <w:color w:val="auto"/>
          <w:highlight w:val="none"/>
          <w:u w:val="single"/>
        </w:rPr>
        <w:t xml:space="preserve">                                                                                      </w:t>
      </w:r>
    </w:p>
    <w:p w14:paraId="6F1737AC">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bCs/>
          <w:color w:val="auto"/>
          <w:highlight w:val="none"/>
          <w:u w:val="single"/>
        </w:rPr>
        <w:t xml:space="preserve">                                                                                        </w:t>
      </w:r>
    </w:p>
    <w:p w14:paraId="36EDAEAF">
      <w:pPr>
        <w:pStyle w:val="20"/>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hAnsi="宋体" w:cs="宋体"/>
          <w:bCs/>
          <w:color w:val="auto"/>
          <w:highlight w:val="none"/>
          <w:u w:val="single"/>
        </w:rPr>
      </w:pPr>
      <w:r>
        <w:rPr>
          <w:rFonts w:hint="eastAsia" w:hAnsi="宋体" w:cs="宋体"/>
          <w:bCs/>
          <w:color w:val="auto"/>
          <w:highlight w:val="none"/>
        </w:rPr>
        <w:t>法律依据：</w:t>
      </w:r>
      <w:r>
        <w:rPr>
          <w:rFonts w:hint="eastAsia" w:hAnsi="宋体" w:cs="宋体"/>
          <w:color w:val="auto"/>
          <w:highlight w:val="none"/>
        </w:rPr>
        <w:t xml:space="preserve"> </w:t>
      </w:r>
      <w:r>
        <w:rPr>
          <w:rFonts w:hint="eastAsia" w:hAnsi="宋体" w:cs="宋体"/>
          <w:bCs/>
          <w:color w:val="auto"/>
          <w:highlight w:val="none"/>
          <w:u w:val="single"/>
        </w:rPr>
        <w:t xml:space="preserve">                                                                                      </w:t>
      </w:r>
    </w:p>
    <w:p w14:paraId="47741E3B">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bCs/>
          <w:color w:val="auto"/>
          <w:highlight w:val="none"/>
          <w:u w:val="single"/>
        </w:rPr>
      </w:pPr>
      <w:r>
        <w:rPr>
          <w:rFonts w:hint="eastAsia" w:hAnsi="宋体" w:cs="宋体"/>
          <w:bCs/>
          <w:color w:val="auto"/>
          <w:highlight w:val="none"/>
        </w:rPr>
        <w:t xml:space="preserve"> </w:t>
      </w:r>
      <w:r>
        <w:rPr>
          <w:rFonts w:hint="eastAsia" w:hAnsi="宋体" w:cs="宋体"/>
          <w:bCs/>
          <w:color w:val="auto"/>
          <w:highlight w:val="none"/>
          <w:u w:val="single"/>
        </w:rPr>
        <w:t xml:space="preserve">                                                                                        </w:t>
      </w:r>
    </w:p>
    <w:p w14:paraId="7F465499">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rPr>
      </w:pPr>
      <w:r>
        <w:rPr>
          <w:rFonts w:hint="eastAsia" w:hAnsi="宋体" w:cs="宋体"/>
          <w:color w:val="auto"/>
          <w:highlight w:val="none"/>
        </w:rPr>
        <w:t xml:space="preserve">投诉事项2  </w:t>
      </w:r>
      <w:r>
        <w:rPr>
          <w:rFonts w:hint="eastAsia" w:hAnsi="宋体" w:cs="宋体"/>
          <w:bCs/>
          <w:color w:val="auto"/>
          <w:highlight w:val="none"/>
        </w:rPr>
        <w:t xml:space="preserve">   </w:t>
      </w:r>
    </w:p>
    <w:p w14:paraId="7E22AA87">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rPr>
      </w:pPr>
      <w:r>
        <w:rPr>
          <w:rFonts w:hint="eastAsia" w:hAnsi="宋体" w:cs="宋体"/>
          <w:bCs/>
          <w:color w:val="auto"/>
          <w:highlight w:val="none"/>
        </w:rPr>
        <w:t>……</w:t>
      </w:r>
    </w:p>
    <w:p w14:paraId="5F439721">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hAnsi="宋体" w:cs="宋体"/>
          <w:b/>
          <w:color w:val="auto"/>
          <w:highlight w:val="none"/>
        </w:rPr>
      </w:pPr>
      <w:r>
        <w:rPr>
          <w:rFonts w:hint="eastAsia" w:hAnsi="宋体" w:cs="宋体"/>
          <w:b/>
          <w:color w:val="auto"/>
          <w:highlight w:val="none"/>
        </w:rPr>
        <w:t>五、与投诉事项相关的投诉请求：</w:t>
      </w:r>
    </w:p>
    <w:p w14:paraId="15747342">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请求：</w:t>
      </w:r>
      <w:r>
        <w:rPr>
          <w:rFonts w:hint="eastAsia" w:hAnsi="宋体" w:cs="宋体"/>
          <w:bCs/>
          <w:color w:val="auto"/>
          <w:highlight w:val="none"/>
          <w:u w:val="single"/>
        </w:rPr>
        <w:t xml:space="preserve">                                                                                 </w:t>
      </w:r>
    </w:p>
    <w:p w14:paraId="4CF6E687">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color w:val="auto"/>
          <w:highlight w:val="none"/>
        </w:rPr>
      </w:pPr>
    </w:p>
    <w:p w14:paraId="4373DB33">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签字（签章）：                                       公章：</w:t>
      </w:r>
    </w:p>
    <w:p w14:paraId="597B52B2">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color w:val="auto"/>
          <w:highlight w:val="none"/>
        </w:rPr>
      </w:pPr>
    </w:p>
    <w:p w14:paraId="3E031E8A">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日期：</w:t>
      </w:r>
    </w:p>
    <w:p w14:paraId="555D7BDF">
      <w:pPr>
        <w:pStyle w:val="20"/>
        <w:keepNext w:val="0"/>
        <w:keepLines w:val="0"/>
        <w:pageBreakBefore w:val="0"/>
        <w:widowControl w:val="0"/>
        <w:kinsoku/>
        <w:wordWrap/>
        <w:overflowPunct/>
        <w:topLinePunct w:val="0"/>
        <w:autoSpaceDE/>
        <w:autoSpaceDN/>
        <w:bidi w:val="0"/>
        <w:adjustRightInd/>
        <w:spacing w:line="400" w:lineRule="exact"/>
        <w:ind w:left="25" w:leftChars="12" w:firstLine="415" w:firstLineChars="197"/>
        <w:textAlignment w:val="auto"/>
        <w:rPr>
          <w:rFonts w:hint="eastAsia" w:hAnsi="宋体" w:cs="宋体"/>
          <w:b/>
          <w:color w:val="auto"/>
          <w:highlight w:val="none"/>
        </w:rPr>
      </w:pPr>
      <w:r>
        <w:rPr>
          <w:rFonts w:hint="eastAsia" w:hAnsi="宋体" w:cs="宋体"/>
          <w:b/>
          <w:color w:val="auto"/>
          <w:highlight w:val="none"/>
        </w:rPr>
        <w:t>说明：</w:t>
      </w:r>
    </w:p>
    <w:p w14:paraId="6D118FCF">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bCs/>
          <w:color w:val="auto"/>
          <w:highlight w:val="none"/>
        </w:rPr>
      </w:pPr>
      <w:r>
        <w:rPr>
          <w:rFonts w:hint="eastAsia" w:hAnsi="宋体" w:cs="宋体"/>
          <w:b/>
          <w:color w:val="auto"/>
          <w:highlight w:val="none"/>
        </w:rPr>
        <w:t>1.投诉人提起投诉时，应当提交投诉书和必要的证明材料，并按照被投诉人和与投诉事项有关的供应商数量提供投诉书副本</w:t>
      </w:r>
      <w:r>
        <w:rPr>
          <w:rFonts w:hint="eastAsia" w:hAnsi="宋体" w:cs="宋体"/>
          <w:b/>
          <w:bCs/>
          <w:color w:val="auto"/>
          <w:highlight w:val="none"/>
        </w:rPr>
        <w:t>。</w:t>
      </w:r>
    </w:p>
    <w:p w14:paraId="617F85E0">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C7D4BBE">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3.投诉书应简要列明质疑事项，质疑函、质疑答复等作为附件材料提供。</w:t>
      </w:r>
    </w:p>
    <w:p w14:paraId="1CF17984">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4.投诉书的投诉事项应具体、明确，并有必要的事实依据和法律依据。</w:t>
      </w:r>
    </w:p>
    <w:p w14:paraId="0271E050">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5.投诉书的投诉请求应与投诉事项相关。</w:t>
      </w:r>
    </w:p>
    <w:p w14:paraId="75392616">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6.投诉人为法人或者其他组织的，投诉书应由法定代表人、主要负责人，或者其授权代表签字或者盖章，并加盖公章。</w:t>
      </w:r>
      <w:bookmarkEnd w:id="1"/>
      <w:bookmarkEnd w:id="2"/>
      <w:bookmarkEnd w:id="3"/>
      <w:bookmarkEnd w:id="4"/>
    </w:p>
    <w:p w14:paraId="1370DF85">
      <w:pPr>
        <w:rPr>
          <w:rFonts w:hint="eastAsia"/>
          <w:color w:val="auto"/>
          <w:highlight w:val="none"/>
        </w:rPr>
      </w:pPr>
    </w:p>
    <w:sectPr>
      <w:footerReference r:id="rId16" w:type="first"/>
      <w:footerReference r:id="rId14" w:type="default"/>
      <w:footerReference r:id="rId15" w:type="even"/>
      <w:pgSz w:w="11906" w:h="16838"/>
      <w:pgMar w:top="1134" w:right="1247" w:bottom="1134" w:left="1417" w:header="720" w:footer="720" w:gutter="0"/>
      <w:pgNumType w:fmt="decimal"/>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06F37B3-48DA-4677-A0AA-917AACBAC1B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2CFA2178-5384-4E02-820E-565FE772F74F}"/>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EFF86ADF-930B-41FE-A239-FFB5D4935126}"/>
  </w:font>
  <w:font w:name="仿宋_GB2312">
    <w:panose1 w:val="02010609030101010101"/>
    <w:charset w:val="86"/>
    <w:family w:val="modern"/>
    <w:pitch w:val="default"/>
    <w:sig w:usb0="00000001" w:usb1="080E0000" w:usb2="00000000" w:usb3="00000000" w:csb0="00040000" w:csb1="00000000"/>
    <w:embedRegular r:id="rId4" w:fontKey="{4B93051F-68C4-4294-BC94-C113959A2AD7}"/>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5" w:fontKey="{EF6658AB-E821-44DF-AC8E-1BEB09A2C861}"/>
  </w:font>
  <w:font w:name="Tahoma">
    <w:panose1 w:val="020B0604030504040204"/>
    <w:charset w:val="00"/>
    <w:family w:val="swiss"/>
    <w:pitch w:val="default"/>
    <w:sig w:usb0="E1002EFF" w:usb1="C000605B" w:usb2="00000029" w:usb3="00000000" w:csb0="200101FF" w:csb1="2028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embedRegular r:id="rId6" w:fontKey="{1C7ABFA9-E061-4D0D-8B0A-DC89A9A0B7BA}"/>
  </w:font>
  <w:font w:name="楷体">
    <w:panose1 w:val="02010609060101010101"/>
    <w:charset w:val="86"/>
    <w:family w:val="modern"/>
    <w:pitch w:val="default"/>
    <w:sig w:usb0="800002BF" w:usb1="38CF7CFA" w:usb2="00000016" w:usb3="00000000" w:csb0="00040001" w:csb1="00000000"/>
    <w:embedRegular r:id="rId7" w:fontKey="{D5AEE6E2-DBFE-45F2-8551-0B476580D965}"/>
  </w:font>
  <w:font w:name="方正小标宋简体">
    <w:altName w:val="黑体"/>
    <w:panose1 w:val="03000509000000000000"/>
    <w:charset w:val="86"/>
    <w:family w:val="script"/>
    <w:pitch w:val="default"/>
    <w:sig w:usb0="00000000" w:usb1="00000000" w:usb2="00000000" w:usb3="00000000" w:csb0="00040000" w:csb1="00000000"/>
    <w:embedRegular r:id="rId8" w:fontKey="{E8C776D8-6BFE-4006-9051-97AB942CCADD}"/>
  </w:font>
  <w:font w:name="方正楷体_GB2312">
    <w:altName w:val="宋体"/>
    <w:panose1 w:val="00000000000000000000"/>
    <w:charset w:val="86"/>
    <w:family w:val="auto"/>
    <w:pitch w:val="default"/>
    <w:sig w:usb0="00000000" w:usb1="00000000" w:usb2="00000012" w:usb3="00000000" w:csb0="00040001" w:csb1="00000000"/>
    <w:embedRegular r:id="rId9" w:fontKey="{1B487913-D482-49D7-BF1F-2BC272581FF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482DB">
    <w:pPr>
      <w:pStyle w:val="26"/>
      <w:jc w:val="center"/>
    </w:pPr>
  </w:p>
  <w:p w14:paraId="55305D88">
    <w:pPr>
      <w:pStyle w:val="2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BE700">
    <w:pPr>
      <w:pStyle w:val="26"/>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E8B22A">
                          <w:pPr>
                            <w:pStyle w:val="26"/>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2E8B22A">
                    <w:pPr>
                      <w:pStyle w:val="26"/>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969D1">
    <w:pPr>
      <w:pStyle w:val="26"/>
      <w:framePr w:wrap="around" w:vAnchor="text" w:hAnchor="margin" w:xAlign="center" w:y="1"/>
      <w:rPr>
        <w:rStyle w:val="43"/>
      </w:rPr>
    </w:pPr>
    <w:r>
      <w:fldChar w:fldCharType="begin"/>
    </w:r>
    <w:r>
      <w:rPr>
        <w:rStyle w:val="43"/>
      </w:rPr>
      <w:instrText xml:space="preserve">PAGE  </w:instrText>
    </w:r>
    <w:r>
      <w:fldChar w:fldCharType="end"/>
    </w:r>
  </w:p>
  <w:p w14:paraId="5568955E">
    <w:pPr>
      <w:pStyle w:val="26"/>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D22E7">
    <w:pPr>
      <w:pStyle w:val="26"/>
      <w:framePr w:wrap="around" w:vAnchor="text" w:hAnchor="margin" w:xAlign="right" w:y="1"/>
      <w:rPr>
        <w:rStyle w:val="43"/>
      </w:rPr>
    </w:pPr>
    <w:r>
      <w:fldChar w:fldCharType="begin"/>
    </w:r>
    <w:r>
      <w:rPr>
        <w:rStyle w:val="43"/>
      </w:rPr>
      <w:instrText xml:space="preserve">PAGE  </w:instrText>
    </w:r>
    <w:r>
      <w:fldChar w:fldCharType="separate"/>
    </w:r>
    <w:r>
      <w:rPr>
        <w:rStyle w:val="43"/>
      </w:rPr>
      <w:t>122</w:t>
    </w:r>
    <w:r>
      <w:fldChar w:fldCharType="end"/>
    </w:r>
  </w:p>
  <w:p w14:paraId="5E90FC1A">
    <w:pPr>
      <w:pStyle w:val="26"/>
      <w:ind w:right="360"/>
      <w:jc w:val="both"/>
      <w:rPr>
        <w:rFonts w:hint="eastAsia"/>
      </w:rPr>
    </w:pPr>
    <w:r>
      <w:rPr>
        <w:rFonts w:hint="eastAsia"/>
      </w:rPr>
      <w:t>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C97F6">
    <w:pPr>
      <w:pStyle w:val="26"/>
      <w:framePr w:wrap="around" w:vAnchor="text" w:hAnchor="margin" w:xAlign="center" w:y="1"/>
      <w:rPr>
        <w:rStyle w:val="43"/>
      </w:rPr>
    </w:pPr>
    <w:r>
      <w:fldChar w:fldCharType="begin"/>
    </w:r>
    <w:r>
      <w:rPr>
        <w:rStyle w:val="43"/>
      </w:rPr>
      <w:instrText xml:space="preserve">PAGE  </w:instrText>
    </w:r>
    <w:r>
      <w:fldChar w:fldCharType="end"/>
    </w:r>
  </w:p>
  <w:p w14:paraId="2DBD748E">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5C889">
    <w:pPr>
      <w:pStyle w:val="26"/>
      <w:ind w:right="360"/>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724C7">
    <w:pPr>
      <w:pStyle w:val="26"/>
      <w:jc w:val="center"/>
    </w:pPr>
  </w:p>
  <w:p w14:paraId="73479785">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1F2F6">
    <w:pPr>
      <w:pStyle w:val="26"/>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B4B959">
                          <w:pPr>
                            <w:pStyle w:val="26"/>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9B4B959">
                    <w:pPr>
                      <w:pStyle w:val="26"/>
                    </w:pPr>
                    <w:r>
                      <w:fldChar w:fldCharType="begin"/>
                    </w:r>
                    <w:r>
                      <w:instrText xml:space="preserve"> PAGE  \* MERGEFORMAT </w:instrText>
                    </w:r>
                    <w:r>
                      <w:fldChar w:fldCharType="separate"/>
                    </w:r>
                    <w:r>
                      <w:t>46</w:t>
                    </w:r>
                    <w:r>
                      <w:fldChar w:fldCharType="end"/>
                    </w:r>
                  </w:p>
                </w:txbxContent>
              </v:textbox>
            </v:shape>
          </w:pict>
        </mc:Fallback>
      </mc:AlternateContent>
    </w:r>
  </w:p>
  <w:p w14:paraId="5DA2B31F">
    <w:pPr>
      <w:pStyle w:val="2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6232D">
    <w:pPr>
      <w:pStyle w:val="26"/>
      <w:ind w:right="360"/>
      <w:jc w:val="both"/>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74BD43">
                          <w:pPr>
                            <w:pStyle w:val="2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0lCCcgBAACZ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pt6A0ljlsc+OX7t8uPX5efX8ky&#10;y9MHqDHrMWBeGu79gEsz+wGdmfWgos1f5EMwjuKer+LKIRGRH61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NJQgnIAQAAmQMAAA4AAAAAAAAAAQAgAAAAHgEAAGRycy9lMm9Eb2Mu&#10;eG1sUEsFBgAAAAAGAAYAWQEAAFgFAAAAAA==&#10;">
              <v:fill on="f" focussize="0,0"/>
              <v:stroke on="f"/>
              <v:imagedata o:title=""/>
              <o:lock v:ext="edit" aspectratio="f"/>
              <v:textbox inset="0mm,0mm,0mm,0mm" style="mso-fit-shape-to-text:t;">
                <w:txbxContent>
                  <w:p w14:paraId="0A74BD43">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A4057">
    <w:pPr>
      <w:pStyle w:val="26"/>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9D32F5">
                          <w:pPr>
                            <w:pStyle w:val="2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A9D32F5">
                    <w:pPr>
                      <w:pStyle w:val="26"/>
                    </w:pPr>
                    <w:r>
                      <w:fldChar w:fldCharType="begin"/>
                    </w:r>
                    <w:r>
                      <w:instrText xml:space="preserve"> PAGE  \* MERGEFORMAT </w:instrText>
                    </w:r>
                    <w:r>
                      <w:fldChar w:fldCharType="separate"/>
                    </w:r>
                    <w:r>
                      <w:t>0</w:t>
                    </w:r>
                    <w:r>
                      <w:fldChar w:fldCharType="end"/>
                    </w:r>
                  </w:p>
                </w:txbxContent>
              </v:textbox>
            </v:shape>
          </w:pict>
        </mc:Fallback>
      </mc:AlternateContent>
    </w:r>
  </w:p>
  <w:p w14:paraId="5E072F4A">
    <w:pPr>
      <w:pStyle w:val="2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2AE24">
    <w:pPr>
      <w:pStyle w:val="26"/>
      <w:framePr w:wrap="around" w:vAnchor="text" w:hAnchor="margin" w:xAlign="center" w:y="1"/>
      <w:rPr>
        <w:rStyle w:val="43"/>
      </w:rPr>
    </w:pPr>
    <w:r>
      <w:fldChar w:fldCharType="begin"/>
    </w:r>
    <w:r>
      <w:rPr>
        <w:rStyle w:val="43"/>
      </w:rPr>
      <w:instrText xml:space="preserve">PAGE  </w:instrText>
    </w:r>
    <w:r>
      <w:fldChar w:fldCharType="end"/>
    </w:r>
  </w:p>
  <w:p w14:paraId="6E5EABC9">
    <w:pPr>
      <w:pStyle w:val="26"/>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091D1">
    <w:pPr>
      <w:pStyle w:val="26"/>
      <w:ind w:right="360"/>
      <w:jc w:val="both"/>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A41C0F">
                          <w:pPr>
                            <w:pStyle w:val="26"/>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0A41C0F">
                    <w:pPr>
                      <w:pStyle w:val="26"/>
                    </w:pPr>
                    <w:r>
                      <w:fldChar w:fldCharType="begin"/>
                    </w:r>
                    <w:r>
                      <w:instrText xml:space="preserve"> PAGE  \* MERGEFORMAT </w:instrText>
                    </w:r>
                    <w:r>
                      <w:fldChar w:fldCharType="separate"/>
                    </w:r>
                    <w:r>
                      <w:t>76</w:t>
                    </w:r>
                    <w:r>
                      <w:fldChar w:fldCharType="end"/>
                    </w:r>
                  </w:p>
                </w:txbxContent>
              </v:textbox>
            </v:shape>
          </w:pict>
        </mc:Fallback>
      </mc:AlternateContent>
    </w: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0881B">
    <w:pPr>
      <w:pStyle w:val="27"/>
      <w:pBdr>
        <w:bottom w:val="none" w:color="auto" w:sz="0" w:space="0"/>
      </w:pBdr>
      <w:tabs>
        <w:tab w:val="center" w:pos="0"/>
        <w:tab w:val="left" w:pos="8306"/>
        <w:tab w:val="clear" w:pos="415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78E42">
    <w:pPr>
      <w:pStyle w:val="27"/>
      <w:pBdr>
        <w:bottom w:val="none" w:color="auto" w:sz="0" w:space="0"/>
      </w:pBdr>
      <w:tabs>
        <w:tab w:val="center" w:pos="0"/>
        <w:tab w:val="left" w:pos="8306"/>
        <w:tab w:val="clear" w:pos="41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AA7D38"/>
    <w:multiLevelType w:val="singleLevel"/>
    <w:tmpl w:val="B6AA7D38"/>
    <w:lvl w:ilvl="0" w:tentative="0">
      <w:start w:val="2"/>
      <w:numFmt w:val="decimal"/>
      <w:lvlText w:val="%1."/>
      <w:lvlJc w:val="left"/>
      <w:pPr>
        <w:tabs>
          <w:tab w:val="left" w:pos="312"/>
        </w:tabs>
      </w:pPr>
    </w:lvl>
  </w:abstractNum>
  <w:abstractNum w:abstractNumId="1">
    <w:nsid w:val="4C601917"/>
    <w:multiLevelType w:val="singleLevel"/>
    <w:tmpl w:val="4C601917"/>
    <w:lvl w:ilvl="0" w:tentative="0">
      <w:start w:val="1"/>
      <w:numFmt w:val="decimal"/>
      <w:suff w:val="nothing"/>
      <w:lvlText w:val="（%1）"/>
      <w:lvlJc w:val="left"/>
    </w:lvl>
  </w:abstractNum>
  <w:abstractNum w:abstractNumId="2">
    <w:nsid w:val="5FABD14B"/>
    <w:multiLevelType w:val="singleLevel"/>
    <w:tmpl w:val="5FABD14B"/>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hyphenationZone w:val="360"/>
  <w:drawingGridHorizontalSpacing w:val="105"/>
  <w:drawingGridVerticalSpacing w:val="331"/>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wMGM5NzNkMGFmZjdmNjdmOTliN2YyNmZmOTBjMmUifQ=="/>
    <w:docVar w:name="KSO_WPS_MARK_KEY" w:val="34a85f2c-7737-46bb-95af-ad2512184d9f"/>
  </w:docVars>
  <w:rsids>
    <w:rsidRoot w:val="08171363"/>
    <w:rsid w:val="0000096C"/>
    <w:rsid w:val="00000CDB"/>
    <w:rsid w:val="00001CDA"/>
    <w:rsid w:val="00004344"/>
    <w:rsid w:val="00005909"/>
    <w:rsid w:val="000207D5"/>
    <w:rsid w:val="0002117A"/>
    <w:rsid w:val="00022127"/>
    <w:rsid w:val="00024E82"/>
    <w:rsid w:val="00027659"/>
    <w:rsid w:val="00030800"/>
    <w:rsid w:val="00031652"/>
    <w:rsid w:val="00034A7D"/>
    <w:rsid w:val="00035197"/>
    <w:rsid w:val="00035F9C"/>
    <w:rsid w:val="000401CD"/>
    <w:rsid w:val="000404B0"/>
    <w:rsid w:val="0004235B"/>
    <w:rsid w:val="00044EDB"/>
    <w:rsid w:val="00051641"/>
    <w:rsid w:val="00054304"/>
    <w:rsid w:val="000553BC"/>
    <w:rsid w:val="00056551"/>
    <w:rsid w:val="0006218D"/>
    <w:rsid w:val="00063F24"/>
    <w:rsid w:val="00065AF0"/>
    <w:rsid w:val="00066EA9"/>
    <w:rsid w:val="00066FE1"/>
    <w:rsid w:val="00074D5F"/>
    <w:rsid w:val="00076A60"/>
    <w:rsid w:val="00077BF5"/>
    <w:rsid w:val="00081789"/>
    <w:rsid w:val="00085A0D"/>
    <w:rsid w:val="00092A54"/>
    <w:rsid w:val="00092F65"/>
    <w:rsid w:val="0009317E"/>
    <w:rsid w:val="00093B18"/>
    <w:rsid w:val="000946EB"/>
    <w:rsid w:val="00094E84"/>
    <w:rsid w:val="000A6432"/>
    <w:rsid w:val="000A7A4B"/>
    <w:rsid w:val="000B5A03"/>
    <w:rsid w:val="000B7B3B"/>
    <w:rsid w:val="000C1DCC"/>
    <w:rsid w:val="000C302E"/>
    <w:rsid w:val="000C5D44"/>
    <w:rsid w:val="000D5F48"/>
    <w:rsid w:val="000D7284"/>
    <w:rsid w:val="000E6783"/>
    <w:rsid w:val="000F1BBE"/>
    <w:rsid w:val="001031E7"/>
    <w:rsid w:val="00104245"/>
    <w:rsid w:val="001108AC"/>
    <w:rsid w:val="00110A97"/>
    <w:rsid w:val="00110DD2"/>
    <w:rsid w:val="00111240"/>
    <w:rsid w:val="0011187C"/>
    <w:rsid w:val="00116FC9"/>
    <w:rsid w:val="00120C46"/>
    <w:rsid w:val="001251B9"/>
    <w:rsid w:val="00125837"/>
    <w:rsid w:val="001306A8"/>
    <w:rsid w:val="00140B14"/>
    <w:rsid w:val="00140CE8"/>
    <w:rsid w:val="00141619"/>
    <w:rsid w:val="00143DA6"/>
    <w:rsid w:val="00151CEE"/>
    <w:rsid w:val="0015209C"/>
    <w:rsid w:val="001551E7"/>
    <w:rsid w:val="001552B2"/>
    <w:rsid w:val="00155890"/>
    <w:rsid w:val="00170AA7"/>
    <w:rsid w:val="00173852"/>
    <w:rsid w:val="00174F9B"/>
    <w:rsid w:val="00177D95"/>
    <w:rsid w:val="00181460"/>
    <w:rsid w:val="00182C28"/>
    <w:rsid w:val="00190F4C"/>
    <w:rsid w:val="00193D49"/>
    <w:rsid w:val="0019577E"/>
    <w:rsid w:val="001B1366"/>
    <w:rsid w:val="001B2BDE"/>
    <w:rsid w:val="001B2FAE"/>
    <w:rsid w:val="001C097E"/>
    <w:rsid w:val="001C2516"/>
    <w:rsid w:val="001C2E44"/>
    <w:rsid w:val="001D047F"/>
    <w:rsid w:val="001D758B"/>
    <w:rsid w:val="001E0216"/>
    <w:rsid w:val="001E0590"/>
    <w:rsid w:val="001E3E3A"/>
    <w:rsid w:val="001E484E"/>
    <w:rsid w:val="001E4E53"/>
    <w:rsid w:val="001E6153"/>
    <w:rsid w:val="001E6C5D"/>
    <w:rsid w:val="001E7AB6"/>
    <w:rsid w:val="001F330A"/>
    <w:rsid w:val="001F4D3C"/>
    <w:rsid w:val="001F6F77"/>
    <w:rsid w:val="00201770"/>
    <w:rsid w:val="00202F39"/>
    <w:rsid w:val="00204164"/>
    <w:rsid w:val="00204F25"/>
    <w:rsid w:val="00205999"/>
    <w:rsid w:val="00207350"/>
    <w:rsid w:val="00207DB7"/>
    <w:rsid w:val="00213B47"/>
    <w:rsid w:val="00221909"/>
    <w:rsid w:val="002230A4"/>
    <w:rsid w:val="0022698C"/>
    <w:rsid w:val="00227913"/>
    <w:rsid w:val="00231EAB"/>
    <w:rsid w:val="00232E04"/>
    <w:rsid w:val="00236055"/>
    <w:rsid w:val="00236B7D"/>
    <w:rsid w:val="00241686"/>
    <w:rsid w:val="00242C6C"/>
    <w:rsid w:val="00244627"/>
    <w:rsid w:val="002563B4"/>
    <w:rsid w:val="0025753A"/>
    <w:rsid w:val="00262C01"/>
    <w:rsid w:val="00270BE1"/>
    <w:rsid w:val="002738BD"/>
    <w:rsid w:val="0027629D"/>
    <w:rsid w:val="00281099"/>
    <w:rsid w:val="002867CF"/>
    <w:rsid w:val="00293976"/>
    <w:rsid w:val="00297271"/>
    <w:rsid w:val="002B3400"/>
    <w:rsid w:val="002B4610"/>
    <w:rsid w:val="002C0483"/>
    <w:rsid w:val="002C1328"/>
    <w:rsid w:val="002C2756"/>
    <w:rsid w:val="002C27F2"/>
    <w:rsid w:val="002C38A0"/>
    <w:rsid w:val="002C7DD7"/>
    <w:rsid w:val="002D0079"/>
    <w:rsid w:val="002D05BB"/>
    <w:rsid w:val="002D2EF2"/>
    <w:rsid w:val="002D5E57"/>
    <w:rsid w:val="002E0A18"/>
    <w:rsid w:val="002E6BA4"/>
    <w:rsid w:val="002E7EA0"/>
    <w:rsid w:val="002F320A"/>
    <w:rsid w:val="002F55FD"/>
    <w:rsid w:val="002F667D"/>
    <w:rsid w:val="003014B1"/>
    <w:rsid w:val="003051FD"/>
    <w:rsid w:val="00305816"/>
    <w:rsid w:val="00315EB2"/>
    <w:rsid w:val="003162D6"/>
    <w:rsid w:val="00316994"/>
    <w:rsid w:val="0031699F"/>
    <w:rsid w:val="00320B19"/>
    <w:rsid w:val="00322C10"/>
    <w:rsid w:val="00327461"/>
    <w:rsid w:val="00330EE9"/>
    <w:rsid w:val="003331F5"/>
    <w:rsid w:val="00337A9F"/>
    <w:rsid w:val="00344631"/>
    <w:rsid w:val="00346976"/>
    <w:rsid w:val="00347950"/>
    <w:rsid w:val="00350024"/>
    <w:rsid w:val="00353905"/>
    <w:rsid w:val="00355191"/>
    <w:rsid w:val="00366E54"/>
    <w:rsid w:val="0037075A"/>
    <w:rsid w:val="00371C87"/>
    <w:rsid w:val="00380673"/>
    <w:rsid w:val="003809BA"/>
    <w:rsid w:val="00384EB6"/>
    <w:rsid w:val="003868E3"/>
    <w:rsid w:val="0039417D"/>
    <w:rsid w:val="003A3917"/>
    <w:rsid w:val="003A622A"/>
    <w:rsid w:val="003B031E"/>
    <w:rsid w:val="003B31F1"/>
    <w:rsid w:val="003B38DA"/>
    <w:rsid w:val="003B7C9A"/>
    <w:rsid w:val="003C027A"/>
    <w:rsid w:val="003C393F"/>
    <w:rsid w:val="003D3465"/>
    <w:rsid w:val="003D478D"/>
    <w:rsid w:val="003D7400"/>
    <w:rsid w:val="003E0AD4"/>
    <w:rsid w:val="003E1425"/>
    <w:rsid w:val="003E64C1"/>
    <w:rsid w:val="003F1067"/>
    <w:rsid w:val="003F1F9C"/>
    <w:rsid w:val="003F7B0D"/>
    <w:rsid w:val="004029ED"/>
    <w:rsid w:val="00403AA3"/>
    <w:rsid w:val="0040651A"/>
    <w:rsid w:val="00431C3B"/>
    <w:rsid w:val="00435268"/>
    <w:rsid w:val="0044023A"/>
    <w:rsid w:val="004437ED"/>
    <w:rsid w:val="00443922"/>
    <w:rsid w:val="0044600A"/>
    <w:rsid w:val="00447BDE"/>
    <w:rsid w:val="00450ADB"/>
    <w:rsid w:val="00452102"/>
    <w:rsid w:val="004531C4"/>
    <w:rsid w:val="00455C16"/>
    <w:rsid w:val="0046694A"/>
    <w:rsid w:val="0046760D"/>
    <w:rsid w:val="00467833"/>
    <w:rsid w:val="00474447"/>
    <w:rsid w:val="004771BA"/>
    <w:rsid w:val="004820E2"/>
    <w:rsid w:val="004853B6"/>
    <w:rsid w:val="004861BA"/>
    <w:rsid w:val="00486E44"/>
    <w:rsid w:val="0049027F"/>
    <w:rsid w:val="004925A4"/>
    <w:rsid w:val="004929AD"/>
    <w:rsid w:val="004A0443"/>
    <w:rsid w:val="004A0E38"/>
    <w:rsid w:val="004A5F2A"/>
    <w:rsid w:val="004A6736"/>
    <w:rsid w:val="004B49D2"/>
    <w:rsid w:val="004C5B3E"/>
    <w:rsid w:val="004C75A0"/>
    <w:rsid w:val="004D5AF4"/>
    <w:rsid w:val="004D6E99"/>
    <w:rsid w:val="004E126C"/>
    <w:rsid w:val="004F5BCD"/>
    <w:rsid w:val="004F68CF"/>
    <w:rsid w:val="005033B8"/>
    <w:rsid w:val="00503A40"/>
    <w:rsid w:val="00506840"/>
    <w:rsid w:val="00511A25"/>
    <w:rsid w:val="00516FAA"/>
    <w:rsid w:val="00517D40"/>
    <w:rsid w:val="00520861"/>
    <w:rsid w:val="00521880"/>
    <w:rsid w:val="00525C35"/>
    <w:rsid w:val="005279FB"/>
    <w:rsid w:val="00532BF5"/>
    <w:rsid w:val="0053541C"/>
    <w:rsid w:val="005458AD"/>
    <w:rsid w:val="0054778A"/>
    <w:rsid w:val="0055409E"/>
    <w:rsid w:val="00554A36"/>
    <w:rsid w:val="00562514"/>
    <w:rsid w:val="00564C6D"/>
    <w:rsid w:val="005707EB"/>
    <w:rsid w:val="00570DF9"/>
    <w:rsid w:val="005739CF"/>
    <w:rsid w:val="00576E04"/>
    <w:rsid w:val="0057733C"/>
    <w:rsid w:val="00581AC2"/>
    <w:rsid w:val="00583AC0"/>
    <w:rsid w:val="00584BFC"/>
    <w:rsid w:val="005873D0"/>
    <w:rsid w:val="005917A6"/>
    <w:rsid w:val="005932B6"/>
    <w:rsid w:val="00596F89"/>
    <w:rsid w:val="005B53A3"/>
    <w:rsid w:val="005C06FA"/>
    <w:rsid w:val="005C5049"/>
    <w:rsid w:val="005D54D6"/>
    <w:rsid w:val="005D6CCE"/>
    <w:rsid w:val="005E671C"/>
    <w:rsid w:val="005F6F86"/>
    <w:rsid w:val="00600743"/>
    <w:rsid w:val="006048A4"/>
    <w:rsid w:val="00605362"/>
    <w:rsid w:val="006064F7"/>
    <w:rsid w:val="006068F0"/>
    <w:rsid w:val="00606C3B"/>
    <w:rsid w:val="00622C28"/>
    <w:rsid w:val="00626CA8"/>
    <w:rsid w:val="006271A0"/>
    <w:rsid w:val="006301C4"/>
    <w:rsid w:val="00630567"/>
    <w:rsid w:val="00631BAB"/>
    <w:rsid w:val="006324D3"/>
    <w:rsid w:val="00636B69"/>
    <w:rsid w:val="006406A8"/>
    <w:rsid w:val="00640B4E"/>
    <w:rsid w:val="00641D5B"/>
    <w:rsid w:val="00644AAD"/>
    <w:rsid w:val="00647270"/>
    <w:rsid w:val="0065223B"/>
    <w:rsid w:val="00653CDE"/>
    <w:rsid w:val="00656442"/>
    <w:rsid w:val="00661DA0"/>
    <w:rsid w:val="006632E6"/>
    <w:rsid w:val="0066542F"/>
    <w:rsid w:val="00670E85"/>
    <w:rsid w:val="0067703D"/>
    <w:rsid w:val="00677CAF"/>
    <w:rsid w:val="006831E3"/>
    <w:rsid w:val="006867BB"/>
    <w:rsid w:val="00691B1A"/>
    <w:rsid w:val="00695425"/>
    <w:rsid w:val="006A101B"/>
    <w:rsid w:val="006A6DC8"/>
    <w:rsid w:val="006C015A"/>
    <w:rsid w:val="006C2360"/>
    <w:rsid w:val="006C55A9"/>
    <w:rsid w:val="006C5999"/>
    <w:rsid w:val="006D0A1B"/>
    <w:rsid w:val="006D6A62"/>
    <w:rsid w:val="006E4D05"/>
    <w:rsid w:val="006F0015"/>
    <w:rsid w:val="00707FF2"/>
    <w:rsid w:val="00712AF4"/>
    <w:rsid w:val="00715456"/>
    <w:rsid w:val="00717D53"/>
    <w:rsid w:val="0072351B"/>
    <w:rsid w:val="00730FBB"/>
    <w:rsid w:val="0073261C"/>
    <w:rsid w:val="00736625"/>
    <w:rsid w:val="00744B4B"/>
    <w:rsid w:val="00745BFF"/>
    <w:rsid w:val="0074683F"/>
    <w:rsid w:val="007549ED"/>
    <w:rsid w:val="0075643C"/>
    <w:rsid w:val="00756DD1"/>
    <w:rsid w:val="00757B36"/>
    <w:rsid w:val="00761289"/>
    <w:rsid w:val="00761EA6"/>
    <w:rsid w:val="00767154"/>
    <w:rsid w:val="007728DC"/>
    <w:rsid w:val="00773B6C"/>
    <w:rsid w:val="00773FEE"/>
    <w:rsid w:val="00781DF2"/>
    <w:rsid w:val="00790B95"/>
    <w:rsid w:val="007937A3"/>
    <w:rsid w:val="007B4684"/>
    <w:rsid w:val="007C09EA"/>
    <w:rsid w:val="007C2309"/>
    <w:rsid w:val="007C3B9F"/>
    <w:rsid w:val="007C4D61"/>
    <w:rsid w:val="007D5273"/>
    <w:rsid w:val="007D6581"/>
    <w:rsid w:val="007D6EBC"/>
    <w:rsid w:val="007F0A33"/>
    <w:rsid w:val="007F1D2B"/>
    <w:rsid w:val="007F27CB"/>
    <w:rsid w:val="007F4D7D"/>
    <w:rsid w:val="007F717F"/>
    <w:rsid w:val="00817450"/>
    <w:rsid w:val="008176CE"/>
    <w:rsid w:val="008204EB"/>
    <w:rsid w:val="008232D5"/>
    <w:rsid w:val="00823F88"/>
    <w:rsid w:val="0082700E"/>
    <w:rsid w:val="008300D6"/>
    <w:rsid w:val="00843D45"/>
    <w:rsid w:val="00852105"/>
    <w:rsid w:val="0085544C"/>
    <w:rsid w:val="008604A4"/>
    <w:rsid w:val="008606F1"/>
    <w:rsid w:val="00860D9E"/>
    <w:rsid w:val="00862516"/>
    <w:rsid w:val="0086784A"/>
    <w:rsid w:val="008811BB"/>
    <w:rsid w:val="00884C48"/>
    <w:rsid w:val="008953F8"/>
    <w:rsid w:val="0089747C"/>
    <w:rsid w:val="008974F2"/>
    <w:rsid w:val="008A2903"/>
    <w:rsid w:val="008A6ED3"/>
    <w:rsid w:val="008A7438"/>
    <w:rsid w:val="008B5614"/>
    <w:rsid w:val="008C3744"/>
    <w:rsid w:val="008C4798"/>
    <w:rsid w:val="008D3FFB"/>
    <w:rsid w:val="008D43F8"/>
    <w:rsid w:val="008D5DE5"/>
    <w:rsid w:val="008D7AB4"/>
    <w:rsid w:val="008E268A"/>
    <w:rsid w:val="008E3451"/>
    <w:rsid w:val="008E53FF"/>
    <w:rsid w:val="00904A9B"/>
    <w:rsid w:val="00905884"/>
    <w:rsid w:val="00920D6C"/>
    <w:rsid w:val="009276D5"/>
    <w:rsid w:val="0093775E"/>
    <w:rsid w:val="00942D58"/>
    <w:rsid w:val="00942FDE"/>
    <w:rsid w:val="00952863"/>
    <w:rsid w:val="009528FA"/>
    <w:rsid w:val="0096166D"/>
    <w:rsid w:val="00986C7E"/>
    <w:rsid w:val="009911B9"/>
    <w:rsid w:val="009924D4"/>
    <w:rsid w:val="009961B0"/>
    <w:rsid w:val="009963BC"/>
    <w:rsid w:val="009A6C00"/>
    <w:rsid w:val="009B644A"/>
    <w:rsid w:val="009B67C7"/>
    <w:rsid w:val="009C3D9F"/>
    <w:rsid w:val="009C60E6"/>
    <w:rsid w:val="009D594D"/>
    <w:rsid w:val="009D5E30"/>
    <w:rsid w:val="009D64B0"/>
    <w:rsid w:val="009D78FE"/>
    <w:rsid w:val="009E0DF2"/>
    <w:rsid w:val="009E2765"/>
    <w:rsid w:val="009E2C4C"/>
    <w:rsid w:val="009E509B"/>
    <w:rsid w:val="009E5F55"/>
    <w:rsid w:val="009F48CE"/>
    <w:rsid w:val="009F5431"/>
    <w:rsid w:val="009F5C57"/>
    <w:rsid w:val="00A079C6"/>
    <w:rsid w:val="00A11791"/>
    <w:rsid w:val="00A15437"/>
    <w:rsid w:val="00A207B9"/>
    <w:rsid w:val="00A317A2"/>
    <w:rsid w:val="00A31C07"/>
    <w:rsid w:val="00A31E32"/>
    <w:rsid w:val="00A35D90"/>
    <w:rsid w:val="00A36574"/>
    <w:rsid w:val="00A37DDB"/>
    <w:rsid w:val="00A37ECC"/>
    <w:rsid w:val="00A41DC7"/>
    <w:rsid w:val="00A4364F"/>
    <w:rsid w:val="00A5424F"/>
    <w:rsid w:val="00A54EBE"/>
    <w:rsid w:val="00A56CB5"/>
    <w:rsid w:val="00A64717"/>
    <w:rsid w:val="00A748C9"/>
    <w:rsid w:val="00A77398"/>
    <w:rsid w:val="00A80C51"/>
    <w:rsid w:val="00A81EDF"/>
    <w:rsid w:val="00A83A62"/>
    <w:rsid w:val="00A929CC"/>
    <w:rsid w:val="00A9536F"/>
    <w:rsid w:val="00A95495"/>
    <w:rsid w:val="00A955F2"/>
    <w:rsid w:val="00A975B7"/>
    <w:rsid w:val="00AA0FBE"/>
    <w:rsid w:val="00AA4479"/>
    <w:rsid w:val="00AA48D1"/>
    <w:rsid w:val="00AB7E31"/>
    <w:rsid w:val="00AC1E51"/>
    <w:rsid w:val="00AD2F5B"/>
    <w:rsid w:val="00AD464B"/>
    <w:rsid w:val="00AD6A4F"/>
    <w:rsid w:val="00AD7E81"/>
    <w:rsid w:val="00AE0FF5"/>
    <w:rsid w:val="00AE127D"/>
    <w:rsid w:val="00AF12E5"/>
    <w:rsid w:val="00AF1624"/>
    <w:rsid w:val="00AF7D70"/>
    <w:rsid w:val="00B017FE"/>
    <w:rsid w:val="00B05D04"/>
    <w:rsid w:val="00B17E63"/>
    <w:rsid w:val="00B17F7F"/>
    <w:rsid w:val="00B20869"/>
    <w:rsid w:val="00B211ED"/>
    <w:rsid w:val="00B319D0"/>
    <w:rsid w:val="00B31F82"/>
    <w:rsid w:val="00B33AE6"/>
    <w:rsid w:val="00B33B3B"/>
    <w:rsid w:val="00B52B37"/>
    <w:rsid w:val="00B548FD"/>
    <w:rsid w:val="00B556FB"/>
    <w:rsid w:val="00B56361"/>
    <w:rsid w:val="00B61746"/>
    <w:rsid w:val="00B62005"/>
    <w:rsid w:val="00B67234"/>
    <w:rsid w:val="00B67934"/>
    <w:rsid w:val="00B76FFB"/>
    <w:rsid w:val="00B7795B"/>
    <w:rsid w:val="00B77961"/>
    <w:rsid w:val="00B803FE"/>
    <w:rsid w:val="00B84C74"/>
    <w:rsid w:val="00B94CF1"/>
    <w:rsid w:val="00BA2379"/>
    <w:rsid w:val="00BA6F13"/>
    <w:rsid w:val="00BB3A8E"/>
    <w:rsid w:val="00BB5CD0"/>
    <w:rsid w:val="00BB7111"/>
    <w:rsid w:val="00BC0690"/>
    <w:rsid w:val="00BC2A7B"/>
    <w:rsid w:val="00BC4D83"/>
    <w:rsid w:val="00BC6D1F"/>
    <w:rsid w:val="00BD1CD3"/>
    <w:rsid w:val="00BE0F5B"/>
    <w:rsid w:val="00BE242C"/>
    <w:rsid w:val="00BF061C"/>
    <w:rsid w:val="00BF2DE4"/>
    <w:rsid w:val="00BF4E4B"/>
    <w:rsid w:val="00BF7045"/>
    <w:rsid w:val="00C03881"/>
    <w:rsid w:val="00C03EC3"/>
    <w:rsid w:val="00C051BA"/>
    <w:rsid w:val="00C052AB"/>
    <w:rsid w:val="00C114D9"/>
    <w:rsid w:val="00C115C2"/>
    <w:rsid w:val="00C12A33"/>
    <w:rsid w:val="00C20A8B"/>
    <w:rsid w:val="00C234FA"/>
    <w:rsid w:val="00C31DD3"/>
    <w:rsid w:val="00C32BEA"/>
    <w:rsid w:val="00C3405B"/>
    <w:rsid w:val="00C510B7"/>
    <w:rsid w:val="00C5115E"/>
    <w:rsid w:val="00C54574"/>
    <w:rsid w:val="00C67F26"/>
    <w:rsid w:val="00C72985"/>
    <w:rsid w:val="00C73607"/>
    <w:rsid w:val="00C7554B"/>
    <w:rsid w:val="00C7749B"/>
    <w:rsid w:val="00C806B6"/>
    <w:rsid w:val="00C82DE7"/>
    <w:rsid w:val="00C90F87"/>
    <w:rsid w:val="00C91EA9"/>
    <w:rsid w:val="00CB10A1"/>
    <w:rsid w:val="00CB1671"/>
    <w:rsid w:val="00CB3128"/>
    <w:rsid w:val="00CB582D"/>
    <w:rsid w:val="00CB63FC"/>
    <w:rsid w:val="00CB78F3"/>
    <w:rsid w:val="00CC1E96"/>
    <w:rsid w:val="00CC7527"/>
    <w:rsid w:val="00CD60E2"/>
    <w:rsid w:val="00CD79F0"/>
    <w:rsid w:val="00CE0705"/>
    <w:rsid w:val="00CF37DE"/>
    <w:rsid w:val="00CF45D0"/>
    <w:rsid w:val="00CF4883"/>
    <w:rsid w:val="00CF6FCC"/>
    <w:rsid w:val="00D06972"/>
    <w:rsid w:val="00D21461"/>
    <w:rsid w:val="00D22BE5"/>
    <w:rsid w:val="00D30B85"/>
    <w:rsid w:val="00D37A63"/>
    <w:rsid w:val="00D44310"/>
    <w:rsid w:val="00D44681"/>
    <w:rsid w:val="00D44B33"/>
    <w:rsid w:val="00D536B1"/>
    <w:rsid w:val="00D556A1"/>
    <w:rsid w:val="00D563C2"/>
    <w:rsid w:val="00D57164"/>
    <w:rsid w:val="00D57281"/>
    <w:rsid w:val="00D65967"/>
    <w:rsid w:val="00D732AF"/>
    <w:rsid w:val="00D777F1"/>
    <w:rsid w:val="00D8185B"/>
    <w:rsid w:val="00D8194A"/>
    <w:rsid w:val="00D82F3E"/>
    <w:rsid w:val="00D969A3"/>
    <w:rsid w:val="00DA584A"/>
    <w:rsid w:val="00DB6895"/>
    <w:rsid w:val="00DC4C07"/>
    <w:rsid w:val="00DC7AB8"/>
    <w:rsid w:val="00DD525D"/>
    <w:rsid w:val="00DD5508"/>
    <w:rsid w:val="00DE0E0D"/>
    <w:rsid w:val="00DE1C4D"/>
    <w:rsid w:val="00DE5E63"/>
    <w:rsid w:val="00DE675A"/>
    <w:rsid w:val="00E135DB"/>
    <w:rsid w:val="00E1452E"/>
    <w:rsid w:val="00E235C9"/>
    <w:rsid w:val="00E375E1"/>
    <w:rsid w:val="00E40A3B"/>
    <w:rsid w:val="00E42CD9"/>
    <w:rsid w:val="00E431DF"/>
    <w:rsid w:val="00E54657"/>
    <w:rsid w:val="00E6697F"/>
    <w:rsid w:val="00E74681"/>
    <w:rsid w:val="00E77CF4"/>
    <w:rsid w:val="00E8042B"/>
    <w:rsid w:val="00E820A0"/>
    <w:rsid w:val="00E9217F"/>
    <w:rsid w:val="00E9496E"/>
    <w:rsid w:val="00E95E2C"/>
    <w:rsid w:val="00E96765"/>
    <w:rsid w:val="00E97D09"/>
    <w:rsid w:val="00EA009B"/>
    <w:rsid w:val="00EA04B7"/>
    <w:rsid w:val="00EA0937"/>
    <w:rsid w:val="00EA7723"/>
    <w:rsid w:val="00EB17F3"/>
    <w:rsid w:val="00EB28CA"/>
    <w:rsid w:val="00EB57D6"/>
    <w:rsid w:val="00EC5445"/>
    <w:rsid w:val="00EE1688"/>
    <w:rsid w:val="00EE23CC"/>
    <w:rsid w:val="00EF36D5"/>
    <w:rsid w:val="00EF3F63"/>
    <w:rsid w:val="00EF4C13"/>
    <w:rsid w:val="00EF6EEB"/>
    <w:rsid w:val="00F02CB5"/>
    <w:rsid w:val="00F072C2"/>
    <w:rsid w:val="00F07DE8"/>
    <w:rsid w:val="00F07F4C"/>
    <w:rsid w:val="00F1066F"/>
    <w:rsid w:val="00F21207"/>
    <w:rsid w:val="00F5110A"/>
    <w:rsid w:val="00F52FF2"/>
    <w:rsid w:val="00F53FD4"/>
    <w:rsid w:val="00F56BEA"/>
    <w:rsid w:val="00F72D89"/>
    <w:rsid w:val="00F74F31"/>
    <w:rsid w:val="00F95FE2"/>
    <w:rsid w:val="00FA0D4F"/>
    <w:rsid w:val="00FA3C12"/>
    <w:rsid w:val="00FB02D1"/>
    <w:rsid w:val="00FB3A1E"/>
    <w:rsid w:val="00FB3C91"/>
    <w:rsid w:val="00FB4DCC"/>
    <w:rsid w:val="00FB62F5"/>
    <w:rsid w:val="00FB6647"/>
    <w:rsid w:val="00FD3F1A"/>
    <w:rsid w:val="00FD442A"/>
    <w:rsid w:val="00FD6406"/>
    <w:rsid w:val="00FD72DA"/>
    <w:rsid w:val="00FE5FE9"/>
    <w:rsid w:val="00FE7D94"/>
    <w:rsid w:val="00FF0F02"/>
    <w:rsid w:val="00FF7F1F"/>
    <w:rsid w:val="01773477"/>
    <w:rsid w:val="01AE15BA"/>
    <w:rsid w:val="01FB0577"/>
    <w:rsid w:val="0273010D"/>
    <w:rsid w:val="027C3D6B"/>
    <w:rsid w:val="030571A0"/>
    <w:rsid w:val="033A0C2B"/>
    <w:rsid w:val="039D18E6"/>
    <w:rsid w:val="03A10CAA"/>
    <w:rsid w:val="03D1158F"/>
    <w:rsid w:val="03DB0660"/>
    <w:rsid w:val="0410030A"/>
    <w:rsid w:val="04163446"/>
    <w:rsid w:val="0454399B"/>
    <w:rsid w:val="04657F2A"/>
    <w:rsid w:val="049360A4"/>
    <w:rsid w:val="04BD38C2"/>
    <w:rsid w:val="04EB6681"/>
    <w:rsid w:val="04FC07BA"/>
    <w:rsid w:val="053242B0"/>
    <w:rsid w:val="057E12A3"/>
    <w:rsid w:val="05C21244"/>
    <w:rsid w:val="05D62E8D"/>
    <w:rsid w:val="060E0879"/>
    <w:rsid w:val="064029FC"/>
    <w:rsid w:val="064A387B"/>
    <w:rsid w:val="06823015"/>
    <w:rsid w:val="069946CA"/>
    <w:rsid w:val="06A44D39"/>
    <w:rsid w:val="06D870D9"/>
    <w:rsid w:val="06DE46EF"/>
    <w:rsid w:val="06F07F7E"/>
    <w:rsid w:val="0748600C"/>
    <w:rsid w:val="075F5104"/>
    <w:rsid w:val="078B0F5C"/>
    <w:rsid w:val="078B7CA7"/>
    <w:rsid w:val="07B83C8D"/>
    <w:rsid w:val="07C025C7"/>
    <w:rsid w:val="07F25F78"/>
    <w:rsid w:val="07F46FDB"/>
    <w:rsid w:val="08171363"/>
    <w:rsid w:val="081E0B1B"/>
    <w:rsid w:val="085B58CB"/>
    <w:rsid w:val="08AB2AB1"/>
    <w:rsid w:val="08E51639"/>
    <w:rsid w:val="094D16B8"/>
    <w:rsid w:val="095827AC"/>
    <w:rsid w:val="096E162E"/>
    <w:rsid w:val="09772BD9"/>
    <w:rsid w:val="09C37BCC"/>
    <w:rsid w:val="09CB082F"/>
    <w:rsid w:val="09CD219B"/>
    <w:rsid w:val="09E42488"/>
    <w:rsid w:val="09ED576F"/>
    <w:rsid w:val="09F21974"/>
    <w:rsid w:val="0A193C90"/>
    <w:rsid w:val="0A261F09"/>
    <w:rsid w:val="0A2A0535"/>
    <w:rsid w:val="0A4A3E4A"/>
    <w:rsid w:val="0AA7129C"/>
    <w:rsid w:val="0AAF0151"/>
    <w:rsid w:val="0B1A7CC0"/>
    <w:rsid w:val="0B3F14D4"/>
    <w:rsid w:val="0B4E34C6"/>
    <w:rsid w:val="0B5F1B77"/>
    <w:rsid w:val="0B811AED"/>
    <w:rsid w:val="0B8E7D66"/>
    <w:rsid w:val="0BC67500"/>
    <w:rsid w:val="0BD7795F"/>
    <w:rsid w:val="0BE77385"/>
    <w:rsid w:val="0BEF2EFA"/>
    <w:rsid w:val="0C0149DC"/>
    <w:rsid w:val="0C1464BD"/>
    <w:rsid w:val="0C2A7A8F"/>
    <w:rsid w:val="0C721436"/>
    <w:rsid w:val="0CAF051D"/>
    <w:rsid w:val="0CC872A8"/>
    <w:rsid w:val="0D116C13"/>
    <w:rsid w:val="0EAC0C2F"/>
    <w:rsid w:val="0EFB1BB6"/>
    <w:rsid w:val="0F07055B"/>
    <w:rsid w:val="0F130CAE"/>
    <w:rsid w:val="0F135152"/>
    <w:rsid w:val="0F2033CB"/>
    <w:rsid w:val="0F3F1AA3"/>
    <w:rsid w:val="0F6239E3"/>
    <w:rsid w:val="0F9B0CA3"/>
    <w:rsid w:val="0FAE09D7"/>
    <w:rsid w:val="0FB51D65"/>
    <w:rsid w:val="0FFF254C"/>
    <w:rsid w:val="105020BB"/>
    <w:rsid w:val="10525806"/>
    <w:rsid w:val="10633BB0"/>
    <w:rsid w:val="10670755"/>
    <w:rsid w:val="107F26DA"/>
    <w:rsid w:val="10D169FD"/>
    <w:rsid w:val="10D751BE"/>
    <w:rsid w:val="112A47B8"/>
    <w:rsid w:val="127F665A"/>
    <w:rsid w:val="128A74D9"/>
    <w:rsid w:val="128D521B"/>
    <w:rsid w:val="12993BC0"/>
    <w:rsid w:val="1299771C"/>
    <w:rsid w:val="12A83E03"/>
    <w:rsid w:val="12C10A21"/>
    <w:rsid w:val="12DB5F87"/>
    <w:rsid w:val="13781A27"/>
    <w:rsid w:val="13877EBC"/>
    <w:rsid w:val="13BF1404"/>
    <w:rsid w:val="13D84274"/>
    <w:rsid w:val="13F15336"/>
    <w:rsid w:val="13FA41EA"/>
    <w:rsid w:val="143C2A55"/>
    <w:rsid w:val="143E4A1F"/>
    <w:rsid w:val="143F60A1"/>
    <w:rsid w:val="14583CD7"/>
    <w:rsid w:val="148126CD"/>
    <w:rsid w:val="14952EAD"/>
    <w:rsid w:val="14BA7E1E"/>
    <w:rsid w:val="14DE2927"/>
    <w:rsid w:val="14E37374"/>
    <w:rsid w:val="150177FB"/>
    <w:rsid w:val="150B4677"/>
    <w:rsid w:val="156D73A9"/>
    <w:rsid w:val="15755A68"/>
    <w:rsid w:val="157F52EF"/>
    <w:rsid w:val="15995C85"/>
    <w:rsid w:val="15AA7E92"/>
    <w:rsid w:val="15DA2525"/>
    <w:rsid w:val="16465E0D"/>
    <w:rsid w:val="16500A3A"/>
    <w:rsid w:val="1669207D"/>
    <w:rsid w:val="168503A9"/>
    <w:rsid w:val="16C90EF1"/>
    <w:rsid w:val="170A508C"/>
    <w:rsid w:val="17281EC0"/>
    <w:rsid w:val="173043C7"/>
    <w:rsid w:val="17E74ECA"/>
    <w:rsid w:val="1812308C"/>
    <w:rsid w:val="18131D1F"/>
    <w:rsid w:val="181E6DC2"/>
    <w:rsid w:val="183D4FEE"/>
    <w:rsid w:val="186164A1"/>
    <w:rsid w:val="186E33F9"/>
    <w:rsid w:val="18A22CD9"/>
    <w:rsid w:val="18E65685"/>
    <w:rsid w:val="18FC6C57"/>
    <w:rsid w:val="18FF648E"/>
    <w:rsid w:val="19157D18"/>
    <w:rsid w:val="19167E2A"/>
    <w:rsid w:val="193C34F7"/>
    <w:rsid w:val="1953639C"/>
    <w:rsid w:val="19874772"/>
    <w:rsid w:val="19C96D9C"/>
    <w:rsid w:val="19E613F2"/>
    <w:rsid w:val="1A0A53A3"/>
    <w:rsid w:val="1A167B3A"/>
    <w:rsid w:val="1A342318"/>
    <w:rsid w:val="1A4A03EB"/>
    <w:rsid w:val="1A8C5DB8"/>
    <w:rsid w:val="1ACD2659"/>
    <w:rsid w:val="1B3E5305"/>
    <w:rsid w:val="1B3F60E7"/>
    <w:rsid w:val="1B8F790E"/>
    <w:rsid w:val="1BC31CAE"/>
    <w:rsid w:val="1C0E117B"/>
    <w:rsid w:val="1C202209"/>
    <w:rsid w:val="1CBC0BD7"/>
    <w:rsid w:val="1CCC6940"/>
    <w:rsid w:val="1CDF48C5"/>
    <w:rsid w:val="1D083E1C"/>
    <w:rsid w:val="1D37200B"/>
    <w:rsid w:val="1D3C5874"/>
    <w:rsid w:val="1D525097"/>
    <w:rsid w:val="1D5502F7"/>
    <w:rsid w:val="1D552DD9"/>
    <w:rsid w:val="1D682B0D"/>
    <w:rsid w:val="1DAD49C3"/>
    <w:rsid w:val="1DB25B36"/>
    <w:rsid w:val="1DC97B07"/>
    <w:rsid w:val="1DCF57F5"/>
    <w:rsid w:val="1E391DB3"/>
    <w:rsid w:val="1E74103D"/>
    <w:rsid w:val="1F464788"/>
    <w:rsid w:val="1FD746B4"/>
    <w:rsid w:val="1FE16BA6"/>
    <w:rsid w:val="1FED10A7"/>
    <w:rsid w:val="20112FE8"/>
    <w:rsid w:val="201A79C2"/>
    <w:rsid w:val="2031368A"/>
    <w:rsid w:val="2083330A"/>
    <w:rsid w:val="20855784"/>
    <w:rsid w:val="20A200E4"/>
    <w:rsid w:val="20B16579"/>
    <w:rsid w:val="20B6593D"/>
    <w:rsid w:val="20B91875"/>
    <w:rsid w:val="20DD736E"/>
    <w:rsid w:val="21336F8E"/>
    <w:rsid w:val="216750D4"/>
    <w:rsid w:val="21FA4AE9"/>
    <w:rsid w:val="22334A6F"/>
    <w:rsid w:val="2250591D"/>
    <w:rsid w:val="22557C1D"/>
    <w:rsid w:val="226B7889"/>
    <w:rsid w:val="22745AB0"/>
    <w:rsid w:val="228D26CE"/>
    <w:rsid w:val="229323DA"/>
    <w:rsid w:val="22E33BF0"/>
    <w:rsid w:val="231150AD"/>
    <w:rsid w:val="233B037C"/>
    <w:rsid w:val="234A05BF"/>
    <w:rsid w:val="23897365"/>
    <w:rsid w:val="2392443F"/>
    <w:rsid w:val="23AC477C"/>
    <w:rsid w:val="23B858BF"/>
    <w:rsid w:val="23C120FD"/>
    <w:rsid w:val="23D762F6"/>
    <w:rsid w:val="23DF51AB"/>
    <w:rsid w:val="23F01166"/>
    <w:rsid w:val="241A2687"/>
    <w:rsid w:val="243D3F18"/>
    <w:rsid w:val="245B3C6C"/>
    <w:rsid w:val="24B91EA0"/>
    <w:rsid w:val="24E46F1D"/>
    <w:rsid w:val="25100723"/>
    <w:rsid w:val="2556149D"/>
    <w:rsid w:val="25777D91"/>
    <w:rsid w:val="25AD0C5F"/>
    <w:rsid w:val="25E92311"/>
    <w:rsid w:val="25ED1E01"/>
    <w:rsid w:val="26357304"/>
    <w:rsid w:val="263D1CFC"/>
    <w:rsid w:val="265951C3"/>
    <w:rsid w:val="26931E56"/>
    <w:rsid w:val="26BE19EF"/>
    <w:rsid w:val="26E1123A"/>
    <w:rsid w:val="27005B64"/>
    <w:rsid w:val="273A72C8"/>
    <w:rsid w:val="2762237B"/>
    <w:rsid w:val="276A7481"/>
    <w:rsid w:val="27BD1CA7"/>
    <w:rsid w:val="28213FE4"/>
    <w:rsid w:val="28506677"/>
    <w:rsid w:val="2858552C"/>
    <w:rsid w:val="28A736BD"/>
    <w:rsid w:val="290336EA"/>
    <w:rsid w:val="290A0F1C"/>
    <w:rsid w:val="293D4E4D"/>
    <w:rsid w:val="29400E7C"/>
    <w:rsid w:val="294F0C22"/>
    <w:rsid w:val="29890093"/>
    <w:rsid w:val="29BB2216"/>
    <w:rsid w:val="29D07A70"/>
    <w:rsid w:val="29DC7AB2"/>
    <w:rsid w:val="2A007C29"/>
    <w:rsid w:val="2A314286"/>
    <w:rsid w:val="2A5176CA"/>
    <w:rsid w:val="2A6E7289"/>
    <w:rsid w:val="2AC82E3D"/>
    <w:rsid w:val="2AD92D72"/>
    <w:rsid w:val="2B97636B"/>
    <w:rsid w:val="2C02412C"/>
    <w:rsid w:val="2C1A76C8"/>
    <w:rsid w:val="2C892158"/>
    <w:rsid w:val="2CB5119F"/>
    <w:rsid w:val="2CDF621C"/>
    <w:rsid w:val="2CDF7FCA"/>
    <w:rsid w:val="2CF471CC"/>
    <w:rsid w:val="2CFB12A7"/>
    <w:rsid w:val="2D102879"/>
    <w:rsid w:val="2D2500D2"/>
    <w:rsid w:val="2D3467B1"/>
    <w:rsid w:val="2D5269EE"/>
    <w:rsid w:val="2DA82AB1"/>
    <w:rsid w:val="2DC07DFB"/>
    <w:rsid w:val="2DF6381D"/>
    <w:rsid w:val="2E1A39AF"/>
    <w:rsid w:val="2E530C6F"/>
    <w:rsid w:val="2E5A0250"/>
    <w:rsid w:val="2E5E24D1"/>
    <w:rsid w:val="2EB77450"/>
    <w:rsid w:val="2EEB534C"/>
    <w:rsid w:val="2F162065"/>
    <w:rsid w:val="2F2A2D4D"/>
    <w:rsid w:val="2F39477D"/>
    <w:rsid w:val="2F5527C5"/>
    <w:rsid w:val="2F7B20F9"/>
    <w:rsid w:val="2F7B222C"/>
    <w:rsid w:val="2F835584"/>
    <w:rsid w:val="2FCD67FF"/>
    <w:rsid w:val="301D32E3"/>
    <w:rsid w:val="30313232"/>
    <w:rsid w:val="30360848"/>
    <w:rsid w:val="309D08C8"/>
    <w:rsid w:val="309D2676"/>
    <w:rsid w:val="30EE2ED1"/>
    <w:rsid w:val="30F37F2F"/>
    <w:rsid w:val="31184ED8"/>
    <w:rsid w:val="314865E7"/>
    <w:rsid w:val="31490108"/>
    <w:rsid w:val="31B00187"/>
    <w:rsid w:val="31D25E0E"/>
    <w:rsid w:val="32422B29"/>
    <w:rsid w:val="326B053C"/>
    <w:rsid w:val="3291620A"/>
    <w:rsid w:val="32B37F2E"/>
    <w:rsid w:val="32CB5278"/>
    <w:rsid w:val="32DD144F"/>
    <w:rsid w:val="32E14A9C"/>
    <w:rsid w:val="32E5309D"/>
    <w:rsid w:val="33030EB6"/>
    <w:rsid w:val="333948D8"/>
    <w:rsid w:val="33945FB2"/>
    <w:rsid w:val="33AF6948"/>
    <w:rsid w:val="340071A3"/>
    <w:rsid w:val="346A0AC1"/>
    <w:rsid w:val="34D128EE"/>
    <w:rsid w:val="35260E8C"/>
    <w:rsid w:val="3555351F"/>
    <w:rsid w:val="35A428FB"/>
    <w:rsid w:val="35A74912"/>
    <w:rsid w:val="35AD335B"/>
    <w:rsid w:val="35C661CB"/>
    <w:rsid w:val="35CB5EC9"/>
    <w:rsid w:val="36372C24"/>
    <w:rsid w:val="36421CF5"/>
    <w:rsid w:val="373D24BC"/>
    <w:rsid w:val="37476E97"/>
    <w:rsid w:val="378105FB"/>
    <w:rsid w:val="37D12A37"/>
    <w:rsid w:val="38214EAF"/>
    <w:rsid w:val="38431D54"/>
    <w:rsid w:val="385B709E"/>
    <w:rsid w:val="38795776"/>
    <w:rsid w:val="387C703E"/>
    <w:rsid w:val="38E65C15"/>
    <w:rsid w:val="39033292"/>
    <w:rsid w:val="390A2872"/>
    <w:rsid w:val="39203E44"/>
    <w:rsid w:val="392E030F"/>
    <w:rsid w:val="39677CC5"/>
    <w:rsid w:val="39A35D51"/>
    <w:rsid w:val="39DE1D35"/>
    <w:rsid w:val="39F350B4"/>
    <w:rsid w:val="39FA4695"/>
    <w:rsid w:val="3A4B3142"/>
    <w:rsid w:val="3A502507"/>
    <w:rsid w:val="3A60099C"/>
    <w:rsid w:val="3B111C96"/>
    <w:rsid w:val="3B1359D3"/>
    <w:rsid w:val="3B247C1B"/>
    <w:rsid w:val="3B253993"/>
    <w:rsid w:val="3B304812"/>
    <w:rsid w:val="3BA23236"/>
    <w:rsid w:val="3BB80F8B"/>
    <w:rsid w:val="3BCE327C"/>
    <w:rsid w:val="3C3420E0"/>
    <w:rsid w:val="3C345451"/>
    <w:rsid w:val="3C8A1D00"/>
    <w:rsid w:val="3C8B7826"/>
    <w:rsid w:val="3CD37EDB"/>
    <w:rsid w:val="3CD4741F"/>
    <w:rsid w:val="3D4C7F20"/>
    <w:rsid w:val="3DCC6348"/>
    <w:rsid w:val="3E7E3AE6"/>
    <w:rsid w:val="3E9D7E49"/>
    <w:rsid w:val="3ED26B65"/>
    <w:rsid w:val="3F2525D9"/>
    <w:rsid w:val="3F4940F4"/>
    <w:rsid w:val="3F823162"/>
    <w:rsid w:val="401A15ED"/>
    <w:rsid w:val="402107A3"/>
    <w:rsid w:val="40DB5F4C"/>
    <w:rsid w:val="40EB4D37"/>
    <w:rsid w:val="40FC5196"/>
    <w:rsid w:val="419D24D5"/>
    <w:rsid w:val="41CC4B69"/>
    <w:rsid w:val="41E77BF5"/>
    <w:rsid w:val="41FA7928"/>
    <w:rsid w:val="42156510"/>
    <w:rsid w:val="42186000"/>
    <w:rsid w:val="42187DAE"/>
    <w:rsid w:val="428471F1"/>
    <w:rsid w:val="429D02B3"/>
    <w:rsid w:val="42A930FC"/>
    <w:rsid w:val="42BA70B7"/>
    <w:rsid w:val="42E63A08"/>
    <w:rsid w:val="430317C0"/>
    <w:rsid w:val="43212C92"/>
    <w:rsid w:val="43324E9F"/>
    <w:rsid w:val="4340580E"/>
    <w:rsid w:val="43650DD1"/>
    <w:rsid w:val="438A31BB"/>
    <w:rsid w:val="43DD12AF"/>
    <w:rsid w:val="43E6398E"/>
    <w:rsid w:val="44B26298"/>
    <w:rsid w:val="44C63AF1"/>
    <w:rsid w:val="44C935E1"/>
    <w:rsid w:val="44CA4BFA"/>
    <w:rsid w:val="45561319"/>
    <w:rsid w:val="4588349D"/>
    <w:rsid w:val="459D6C40"/>
    <w:rsid w:val="45AD6A5F"/>
    <w:rsid w:val="45CF4C28"/>
    <w:rsid w:val="45D1274E"/>
    <w:rsid w:val="45E16C19"/>
    <w:rsid w:val="460E0E56"/>
    <w:rsid w:val="466241D1"/>
    <w:rsid w:val="46A00372"/>
    <w:rsid w:val="46B1432D"/>
    <w:rsid w:val="46CE77DF"/>
    <w:rsid w:val="46F522DA"/>
    <w:rsid w:val="46FD7572"/>
    <w:rsid w:val="475A67D9"/>
    <w:rsid w:val="479B74B7"/>
    <w:rsid w:val="47DE73A4"/>
    <w:rsid w:val="48220A60"/>
    <w:rsid w:val="48645AFB"/>
    <w:rsid w:val="48671147"/>
    <w:rsid w:val="48684EBF"/>
    <w:rsid w:val="487877F8"/>
    <w:rsid w:val="48E704DA"/>
    <w:rsid w:val="48EE3617"/>
    <w:rsid w:val="49221512"/>
    <w:rsid w:val="49290AF3"/>
    <w:rsid w:val="494B2817"/>
    <w:rsid w:val="494B6CBB"/>
    <w:rsid w:val="49AA1C33"/>
    <w:rsid w:val="49EF3AEA"/>
    <w:rsid w:val="49F42EAF"/>
    <w:rsid w:val="4A3500EA"/>
    <w:rsid w:val="4A590F64"/>
    <w:rsid w:val="4AB9549B"/>
    <w:rsid w:val="4ABF170F"/>
    <w:rsid w:val="4AD14F9E"/>
    <w:rsid w:val="4ADD1B95"/>
    <w:rsid w:val="4B4340EE"/>
    <w:rsid w:val="4B7C315C"/>
    <w:rsid w:val="4B8D6ED7"/>
    <w:rsid w:val="4B986D6B"/>
    <w:rsid w:val="4BAD1567"/>
    <w:rsid w:val="4BE56F53"/>
    <w:rsid w:val="4BEB208F"/>
    <w:rsid w:val="4BF43ADF"/>
    <w:rsid w:val="4C545E87"/>
    <w:rsid w:val="4C856040"/>
    <w:rsid w:val="4CAE37E9"/>
    <w:rsid w:val="4CE03BBE"/>
    <w:rsid w:val="4CF5766A"/>
    <w:rsid w:val="4D083EE4"/>
    <w:rsid w:val="4D64659D"/>
    <w:rsid w:val="4D792F09"/>
    <w:rsid w:val="4DEB186C"/>
    <w:rsid w:val="4E850579"/>
    <w:rsid w:val="4E9B7A20"/>
    <w:rsid w:val="4EA330F5"/>
    <w:rsid w:val="4EC02909"/>
    <w:rsid w:val="4F334479"/>
    <w:rsid w:val="4F343D4D"/>
    <w:rsid w:val="4F3A75B6"/>
    <w:rsid w:val="4F512B51"/>
    <w:rsid w:val="4F8E7901"/>
    <w:rsid w:val="4FA15887"/>
    <w:rsid w:val="4FBC3C5F"/>
    <w:rsid w:val="4FF260E2"/>
    <w:rsid w:val="503A624F"/>
    <w:rsid w:val="504970E8"/>
    <w:rsid w:val="50642410"/>
    <w:rsid w:val="506568B4"/>
    <w:rsid w:val="506D7517"/>
    <w:rsid w:val="50A70C7B"/>
    <w:rsid w:val="50AB003F"/>
    <w:rsid w:val="50D650BC"/>
    <w:rsid w:val="50DC4E4F"/>
    <w:rsid w:val="50DD28EE"/>
    <w:rsid w:val="50E023DF"/>
    <w:rsid w:val="5124051D"/>
    <w:rsid w:val="519805C3"/>
    <w:rsid w:val="51A17B1C"/>
    <w:rsid w:val="51D05F5C"/>
    <w:rsid w:val="52185B8C"/>
    <w:rsid w:val="524349D3"/>
    <w:rsid w:val="52DC2732"/>
    <w:rsid w:val="5358625C"/>
    <w:rsid w:val="536A3507"/>
    <w:rsid w:val="53835884"/>
    <w:rsid w:val="539A6875"/>
    <w:rsid w:val="53E75832"/>
    <w:rsid w:val="53ED0AB4"/>
    <w:rsid w:val="54120B01"/>
    <w:rsid w:val="547370C6"/>
    <w:rsid w:val="54BB5F4C"/>
    <w:rsid w:val="54ED50CA"/>
    <w:rsid w:val="54F7F469"/>
    <w:rsid w:val="551B1C37"/>
    <w:rsid w:val="55254864"/>
    <w:rsid w:val="55833339"/>
    <w:rsid w:val="558C6691"/>
    <w:rsid w:val="55945546"/>
    <w:rsid w:val="562F308A"/>
    <w:rsid w:val="5632548A"/>
    <w:rsid w:val="56585DA5"/>
    <w:rsid w:val="56901E7C"/>
    <w:rsid w:val="56E12A0D"/>
    <w:rsid w:val="56F02C50"/>
    <w:rsid w:val="57122BC6"/>
    <w:rsid w:val="577E64AD"/>
    <w:rsid w:val="57EF27B0"/>
    <w:rsid w:val="580B5F93"/>
    <w:rsid w:val="58443253"/>
    <w:rsid w:val="5844771D"/>
    <w:rsid w:val="58822C18"/>
    <w:rsid w:val="589E5842"/>
    <w:rsid w:val="58BA3515"/>
    <w:rsid w:val="58CD149A"/>
    <w:rsid w:val="58FA6008"/>
    <w:rsid w:val="591E1CF6"/>
    <w:rsid w:val="592A24C9"/>
    <w:rsid w:val="59345076"/>
    <w:rsid w:val="59476CE1"/>
    <w:rsid w:val="5981360E"/>
    <w:rsid w:val="599A26EE"/>
    <w:rsid w:val="599E387E"/>
    <w:rsid w:val="59A321FB"/>
    <w:rsid w:val="59C12681"/>
    <w:rsid w:val="59CC52AE"/>
    <w:rsid w:val="59DE2095"/>
    <w:rsid w:val="5A184997"/>
    <w:rsid w:val="5A292701"/>
    <w:rsid w:val="5A332B09"/>
    <w:rsid w:val="5A37500F"/>
    <w:rsid w:val="5A4237C2"/>
    <w:rsid w:val="5A582FE6"/>
    <w:rsid w:val="5A696FA1"/>
    <w:rsid w:val="5AA82B94"/>
    <w:rsid w:val="5AB83A84"/>
    <w:rsid w:val="5AE26D53"/>
    <w:rsid w:val="5AED7BD2"/>
    <w:rsid w:val="5AF727FF"/>
    <w:rsid w:val="5B0942E0"/>
    <w:rsid w:val="5B1F1D55"/>
    <w:rsid w:val="5B372BFB"/>
    <w:rsid w:val="5B4517BC"/>
    <w:rsid w:val="5BBA55DA"/>
    <w:rsid w:val="5C0A6562"/>
    <w:rsid w:val="5C237623"/>
    <w:rsid w:val="5C311D40"/>
    <w:rsid w:val="5D347D3A"/>
    <w:rsid w:val="5D373670"/>
    <w:rsid w:val="5D625A9F"/>
    <w:rsid w:val="5DDB6CD3"/>
    <w:rsid w:val="5E1E4546"/>
    <w:rsid w:val="5E453881"/>
    <w:rsid w:val="5E911FD2"/>
    <w:rsid w:val="5EA7453C"/>
    <w:rsid w:val="5EC75EFE"/>
    <w:rsid w:val="5ED94431"/>
    <w:rsid w:val="5EE66E12"/>
    <w:rsid w:val="5F2738DC"/>
    <w:rsid w:val="5F7268F8"/>
    <w:rsid w:val="5F891239"/>
    <w:rsid w:val="5F903222"/>
    <w:rsid w:val="5F9F5213"/>
    <w:rsid w:val="5FB707AE"/>
    <w:rsid w:val="5FBB5A03"/>
    <w:rsid w:val="5FE76ABA"/>
    <w:rsid w:val="5FF5B184"/>
    <w:rsid w:val="5FFE1F39"/>
    <w:rsid w:val="608A1A1F"/>
    <w:rsid w:val="608C7E04"/>
    <w:rsid w:val="60D333C6"/>
    <w:rsid w:val="610E2B1A"/>
    <w:rsid w:val="611449CF"/>
    <w:rsid w:val="61487C00"/>
    <w:rsid w:val="61A42FB4"/>
    <w:rsid w:val="61B01959"/>
    <w:rsid w:val="61C55405"/>
    <w:rsid w:val="621243C2"/>
    <w:rsid w:val="626915E4"/>
    <w:rsid w:val="62771C70"/>
    <w:rsid w:val="628337D1"/>
    <w:rsid w:val="62A02B74"/>
    <w:rsid w:val="63155F18"/>
    <w:rsid w:val="63293771"/>
    <w:rsid w:val="634A36E8"/>
    <w:rsid w:val="638D4CA5"/>
    <w:rsid w:val="63DF45AD"/>
    <w:rsid w:val="63E15DFA"/>
    <w:rsid w:val="640B731B"/>
    <w:rsid w:val="64195594"/>
    <w:rsid w:val="642503DD"/>
    <w:rsid w:val="64264155"/>
    <w:rsid w:val="642B3519"/>
    <w:rsid w:val="644B7717"/>
    <w:rsid w:val="64B61035"/>
    <w:rsid w:val="65164566"/>
    <w:rsid w:val="654C1999"/>
    <w:rsid w:val="654C7BEB"/>
    <w:rsid w:val="656E7B61"/>
    <w:rsid w:val="6593581A"/>
    <w:rsid w:val="66044022"/>
    <w:rsid w:val="6626043C"/>
    <w:rsid w:val="662E109F"/>
    <w:rsid w:val="662E6731"/>
    <w:rsid w:val="66886CF4"/>
    <w:rsid w:val="6692162D"/>
    <w:rsid w:val="66FB3677"/>
    <w:rsid w:val="674943E2"/>
    <w:rsid w:val="675B5AF4"/>
    <w:rsid w:val="67784CC7"/>
    <w:rsid w:val="677961F6"/>
    <w:rsid w:val="67A529E5"/>
    <w:rsid w:val="67AE693B"/>
    <w:rsid w:val="68136366"/>
    <w:rsid w:val="682E5386"/>
    <w:rsid w:val="68774F7F"/>
    <w:rsid w:val="68C33D20"/>
    <w:rsid w:val="69006D22"/>
    <w:rsid w:val="691427CE"/>
    <w:rsid w:val="69164798"/>
    <w:rsid w:val="69270753"/>
    <w:rsid w:val="694E2184"/>
    <w:rsid w:val="69814D1C"/>
    <w:rsid w:val="699456BD"/>
    <w:rsid w:val="69BB0E9B"/>
    <w:rsid w:val="6A4964A7"/>
    <w:rsid w:val="6AB778B5"/>
    <w:rsid w:val="6AB97AD1"/>
    <w:rsid w:val="6AED19D9"/>
    <w:rsid w:val="6B170353"/>
    <w:rsid w:val="6BA77929"/>
    <w:rsid w:val="6C046B2A"/>
    <w:rsid w:val="6C1E11ED"/>
    <w:rsid w:val="6C6D2921"/>
    <w:rsid w:val="6C6E7C95"/>
    <w:rsid w:val="6C847C6A"/>
    <w:rsid w:val="6C9C3206"/>
    <w:rsid w:val="6CCB5899"/>
    <w:rsid w:val="6D237483"/>
    <w:rsid w:val="6D2A6A64"/>
    <w:rsid w:val="6E3556C0"/>
    <w:rsid w:val="6E361438"/>
    <w:rsid w:val="6E6B7334"/>
    <w:rsid w:val="6E7042BE"/>
    <w:rsid w:val="6E9879FD"/>
    <w:rsid w:val="6E9A3775"/>
    <w:rsid w:val="6ECF7BC3"/>
    <w:rsid w:val="6EE97AC5"/>
    <w:rsid w:val="6EEE586F"/>
    <w:rsid w:val="6FA86B63"/>
    <w:rsid w:val="6FBB7E47"/>
    <w:rsid w:val="6FF9271D"/>
    <w:rsid w:val="7007308C"/>
    <w:rsid w:val="70115CB9"/>
    <w:rsid w:val="703F291D"/>
    <w:rsid w:val="708564FF"/>
    <w:rsid w:val="709F1517"/>
    <w:rsid w:val="70EC5DDE"/>
    <w:rsid w:val="71241A1C"/>
    <w:rsid w:val="713D663A"/>
    <w:rsid w:val="717F3BC0"/>
    <w:rsid w:val="71BC7EA6"/>
    <w:rsid w:val="71CB6F3E"/>
    <w:rsid w:val="71FD64F5"/>
    <w:rsid w:val="72253C9E"/>
    <w:rsid w:val="72457E9C"/>
    <w:rsid w:val="725620A9"/>
    <w:rsid w:val="728269FA"/>
    <w:rsid w:val="72FF004B"/>
    <w:rsid w:val="731A30D6"/>
    <w:rsid w:val="73A04113"/>
    <w:rsid w:val="73A11102"/>
    <w:rsid w:val="73F43927"/>
    <w:rsid w:val="73F751C6"/>
    <w:rsid w:val="74E67714"/>
    <w:rsid w:val="752D2541"/>
    <w:rsid w:val="75457F23"/>
    <w:rsid w:val="755A1EB0"/>
    <w:rsid w:val="758E3908"/>
    <w:rsid w:val="75B55338"/>
    <w:rsid w:val="75F93477"/>
    <w:rsid w:val="760477CC"/>
    <w:rsid w:val="761D6AB0"/>
    <w:rsid w:val="7686635C"/>
    <w:rsid w:val="76BB697E"/>
    <w:rsid w:val="76C9299A"/>
    <w:rsid w:val="777A2396"/>
    <w:rsid w:val="77A92C7B"/>
    <w:rsid w:val="78216CB5"/>
    <w:rsid w:val="793842B6"/>
    <w:rsid w:val="793D18CD"/>
    <w:rsid w:val="796F6888"/>
    <w:rsid w:val="79766B8D"/>
    <w:rsid w:val="79A11E5C"/>
    <w:rsid w:val="79CC49FF"/>
    <w:rsid w:val="79D815F5"/>
    <w:rsid w:val="79DA35C0"/>
    <w:rsid w:val="7A3D062C"/>
    <w:rsid w:val="7A664E53"/>
    <w:rsid w:val="7AC027B5"/>
    <w:rsid w:val="7ACF47A6"/>
    <w:rsid w:val="7B073F40"/>
    <w:rsid w:val="7B882623"/>
    <w:rsid w:val="7B8A691F"/>
    <w:rsid w:val="7B9D6653"/>
    <w:rsid w:val="7BBF0CBF"/>
    <w:rsid w:val="7C5036C5"/>
    <w:rsid w:val="7C541407"/>
    <w:rsid w:val="7CA64A0C"/>
    <w:rsid w:val="7CB93960"/>
    <w:rsid w:val="7D0C1CE2"/>
    <w:rsid w:val="7D174734"/>
    <w:rsid w:val="7D360B0D"/>
    <w:rsid w:val="7D3B6123"/>
    <w:rsid w:val="7DB52379"/>
    <w:rsid w:val="7DF12C86"/>
    <w:rsid w:val="7DF7A1B5"/>
    <w:rsid w:val="7E7A0ECD"/>
    <w:rsid w:val="7E7E09BD"/>
    <w:rsid w:val="7E8A580B"/>
    <w:rsid w:val="7E997F15"/>
    <w:rsid w:val="7EB160C6"/>
    <w:rsid w:val="7EBD33CD"/>
    <w:rsid w:val="7ECA20A5"/>
    <w:rsid w:val="7ED06D3F"/>
    <w:rsid w:val="7F19500C"/>
    <w:rsid w:val="7F797C95"/>
    <w:rsid w:val="7FD50AB1"/>
    <w:rsid w:val="7FF35CED"/>
    <w:rsid w:val="7FFB7DEC"/>
    <w:rsid w:val="99F31EBA"/>
    <w:rsid w:val="B5FF3FD2"/>
    <w:rsid w:val="D556ED8A"/>
    <w:rsid w:val="E6DEEDEF"/>
    <w:rsid w:val="F65D4E9A"/>
    <w:rsid w:val="F8FEE162"/>
    <w:rsid w:val="FEBF8EC9"/>
    <w:rsid w:val="FFDC38A8"/>
    <w:rsid w:val="FFF335C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66"/>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51"/>
    <w:qFormat/>
    <w:uiPriority w:val="0"/>
    <w:pPr>
      <w:keepNext/>
      <w:keepLines/>
      <w:spacing w:line="600" w:lineRule="exact"/>
      <w:ind w:firstLine="643" w:firstLineChars="200"/>
      <w:outlineLvl w:val="2"/>
    </w:pPr>
    <w:rPr>
      <w:b/>
      <w:bCs/>
      <w:sz w:val="32"/>
      <w:szCs w:val="32"/>
    </w:rPr>
  </w:style>
  <w:style w:type="paragraph" w:styleId="5">
    <w:name w:val="heading 4"/>
    <w:basedOn w:val="1"/>
    <w:next w:val="1"/>
    <w:link w:val="52"/>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6">
    <w:name w:val="heading 5"/>
    <w:basedOn w:val="1"/>
    <w:next w:val="1"/>
    <w:link w:val="53"/>
    <w:qFormat/>
    <w:uiPriority w:val="0"/>
    <w:pPr>
      <w:keepNext/>
      <w:keepLines/>
      <w:spacing w:before="280" w:after="290" w:line="376" w:lineRule="auto"/>
      <w:outlineLvl w:val="4"/>
    </w:pPr>
    <w:rPr>
      <w:b/>
      <w:bCs/>
      <w:sz w:val="28"/>
      <w:szCs w:val="28"/>
    </w:rPr>
  </w:style>
  <w:style w:type="character" w:default="1" w:styleId="41">
    <w:name w:val="Default Paragraph Font"/>
    <w:semiHidden/>
    <w:qFormat/>
    <w:uiPriority w:val="0"/>
  </w:style>
  <w:style w:type="table" w:default="1" w:styleId="39">
    <w:name w:val="Normal Table"/>
    <w:semiHidden/>
    <w:qFormat/>
    <w:uiPriority w:val="0"/>
    <w:tblPr>
      <w:tblCellMar>
        <w:top w:w="0" w:type="dxa"/>
        <w:left w:w="108" w:type="dxa"/>
        <w:bottom w:w="0" w:type="dxa"/>
        <w:right w:w="108" w:type="dxa"/>
      </w:tblCellMar>
    </w:tblPr>
  </w:style>
  <w:style w:type="paragraph" w:styleId="7">
    <w:name w:val="toc 7"/>
    <w:basedOn w:val="1"/>
    <w:next w:val="1"/>
    <w:qFormat/>
    <w:uiPriority w:val="0"/>
    <w:pPr>
      <w:jc w:val="left"/>
    </w:pPr>
    <w:rPr>
      <w:rFonts w:ascii="Calibri" w:hAnsi="Calibri"/>
      <w:sz w:val="22"/>
      <w:szCs w:val="22"/>
    </w:rPr>
  </w:style>
  <w:style w:type="paragraph" w:styleId="8">
    <w:name w:val="index 8"/>
    <w:basedOn w:val="1"/>
    <w:next w:val="1"/>
    <w:semiHidden/>
    <w:qFormat/>
    <w:uiPriority w:val="99"/>
    <w:pPr>
      <w:adjustRightInd w:val="0"/>
      <w:spacing w:line="360" w:lineRule="atLeast"/>
      <w:ind w:left="2940"/>
      <w:textAlignment w:val="baseline"/>
    </w:pPr>
  </w:style>
  <w:style w:type="paragraph" w:styleId="9">
    <w:name w:val="Normal Indent"/>
    <w:basedOn w:val="1"/>
    <w:qFormat/>
    <w:uiPriority w:val="0"/>
    <w:pPr>
      <w:ind w:firstLine="420"/>
    </w:pPr>
    <w:rPr>
      <w:szCs w:val="20"/>
    </w:rPr>
  </w:style>
  <w:style w:type="paragraph" w:styleId="10">
    <w:name w:val="caption"/>
    <w:basedOn w:val="1"/>
    <w:next w:val="1"/>
    <w:qFormat/>
    <w:uiPriority w:val="0"/>
    <w:pPr>
      <w:spacing w:before="152" w:after="160"/>
    </w:pPr>
    <w:rPr>
      <w:rFonts w:ascii="Arial" w:hAnsi="Arial" w:eastAsia="黑体" w:cs="Arial"/>
      <w:sz w:val="20"/>
      <w:szCs w:val="20"/>
    </w:rPr>
  </w:style>
  <w:style w:type="paragraph" w:styleId="11">
    <w:name w:val="Document Map"/>
    <w:basedOn w:val="1"/>
    <w:link w:val="54"/>
    <w:qFormat/>
    <w:uiPriority w:val="0"/>
    <w:rPr>
      <w:rFonts w:ascii="宋体"/>
      <w:sz w:val="18"/>
      <w:szCs w:val="18"/>
    </w:rPr>
  </w:style>
  <w:style w:type="paragraph" w:styleId="12">
    <w:name w:val="annotation text"/>
    <w:basedOn w:val="1"/>
    <w:link w:val="55"/>
    <w:qFormat/>
    <w:uiPriority w:val="0"/>
    <w:pPr>
      <w:jc w:val="left"/>
    </w:pPr>
  </w:style>
  <w:style w:type="paragraph" w:styleId="13">
    <w:name w:val="index 6"/>
    <w:basedOn w:val="1"/>
    <w:next w:val="1"/>
    <w:qFormat/>
    <w:uiPriority w:val="0"/>
    <w:pPr>
      <w:ind w:left="2100"/>
    </w:pPr>
    <w:rPr>
      <w:rFonts w:ascii="Times New Roman" w:hAnsi="Times New Roman"/>
    </w:rPr>
  </w:style>
  <w:style w:type="paragraph" w:styleId="14">
    <w:name w:val="Body Text 3"/>
    <w:basedOn w:val="1"/>
    <w:link w:val="56"/>
    <w:qFormat/>
    <w:uiPriority w:val="0"/>
    <w:pPr>
      <w:spacing w:after="120"/>
    </w:pPr>
    <w:rPr>
      <w:sz w:val="16"/>
      <w:szCs w:val="16"/>
    </w:rPr>
  </w:style>
  <w:style w:type="paragraph" w:styleId="15">
    <w:name w:val="Body Text"/>
    <w:basedOn w:val="1"/>
    <w:link w:val="57"/>
    <w:qFormat/>
    <w:uiPriority w:val="0"/>
    <w:pPr>
      <w:spacing w:after="120"/>
    </w:pPr>
  </w:style>
  <w:style w:type="paragraph" w:styleId="16">
    <w:name w:val="Body Text Indent"/>
    <w:basedOn w:val="1"/>
    <w:link w:val="58"/>
    <w:qFormat/>
    <w:uiPriority w:val="0"/>
    <w:pPr>
      <w:spacing w:line="200" w:lineRule="exact"/>
      <w:ind w:firstLine="301"/>
    </w:pPr>
    <w:rPr>
      <w:rFonts w:ascii="宋体" w:hAnsi="Courier New"/>
      <w:spacing w:val="-4"/>
      <w:sz w:val="18"/>
      <w:szCs w:val="20"/>
    </w:rPr>
  </w:style>
  <w:style w:type="paragraph" w:styleId="17">
    <w:name w:val="Block Text"/>
    <w:basedOn w:val="1"/>
    <w:unhideWhenUsed/>
    <w:qFormat/>
    <w:uiPriority w:val="99"/>
    <w:pPr>
      <w:spacing w:after="120"/>
      <w:ind w:left="1440" w:leftChars="700" w:right="1440" w:rightChars="700"/>
    </w:pPr>
    <w:rPr>
      <w:rFonts w:ascii="Times New Roman" w:hAnsi="Times New Roman" w:eastAsia="宋体" w:cs="Times New Roman"/>
    </w:rPr>
  </w:style>
  <w:style w:type="paragraph" w:styleId="18">
    <w:name w:val="toc 5"/>
    <w:basedOn w:val="1"/>
    <w:next w:val="1"/>
    <w:qFormat/>
    <w:uiPriority w:val="0"/>
    <w:pPr>
      <w:jc w:val="left"/>
    </w:pPr>
    <w:rPr>
      <w:rFonts w:ascii="Calibri" w:hAnsi="Calibri"/>
      <w:sz w:val="22"/>
      <w:szCs w:val="22"/>
    </w:rPr>
  </w:style>
  <w:style w:type="paragraph" w:styleId="19">
    <w:name w:val="toc 3"/>
    <w:basedOn w:val="1"/>
    <w:next w:val="1"/>
    <w:qFormat/>
    <w:uiPriority w:val="0"/>
    <w:pPr>
      <w:jc w:val="left"/>
    </w:pPr>
    <w:rPr>
      <w:rFonts w:ascii="Calibri" w:hAnsi="Calibri"/>
      <w:smallCaps/>
      <w:sz w:val="22"/>
      <w:szCs w:val="22"/>
    </w:rPr>
  </w:style>
  <w:style w:type="paragraph" w:styleId="20">
    <w:name w:val="Plain Text"/>
    <w:basedOn w:val="1"/>
    <w:next w:val="21"/>
    <w:link w:val="59"/>
    <w:qFormat/>
    <w:uiPriority w:val="0"/>
    <w:rPr>
      <w:rFonts w:ascii="宋体" w:hAnsi="Courier New"/>
      <w:szCs w:val="20"/>
    </w:rPr>
  </w:style>
  <w:style w:type="paragraph" w:styleId="21">
    <w:name w:val="toc 1"/>
    <w:basedOn w:val="1"/>
    <w:next w:val="1"/>
    <w:qFormat/>
    <w:uiPriority w:val="0"/>
    <w:pPr>
      <w:spacing w:before="360" w:after="360"/>
      <w:jc w:val="left"/>
    </w:pPr>
    <w:rPr>
      <w:rFonts w:ascii="Calibri" w:hAnsi="Calibri"/>
      <w:b/>
      <w:bCs/>
      <w:caps/>
      <w:sz w:val="22"/>
      <w:szCs w:val="22"/>
      <w:u w:val="single"/>
    </w:rPr>
  </w:style>
  <w:style w:type="paragraph" w:styleId="22">
    <w:name w:val="toc 8"/>
    <w:basedOn w:val="1"/>
    <w:next w:val="1"/>
    <w:qFormat/>
    <w:uiPriority w:val="0"/>
    <w:pPr>
      <w:jc w:val="left"/>
    </w:pPr>
    <w:rPr>
      <w:rFonts w:ascii="Calibri" w:hAnsi="Calibri"/>
      <w:sz w:val="22"/>
      <w:szCs w:val="22"/>
    </w:rPr>
  </w:style>
  <w:style w:type="paragraph" w:styleId="23">
    <w:name w:val="Date"/>
    <w:basedOn w:val="1"/>
    <w:next w:val="1"/>
    <w:link w:val="60"/>
    <w:qFormat/>
    <w:uiPriority w:val="0"/>
    <w:pPr>
      <w:ind w:left="100" w:leftChars="2500"/>
    </w:pPr>
  </w:style>
  <w:style w:type="paragraph" w:styleId="24">
    <w:name w:val="Body Text Indent 2"/>
    <w:basedOn w:val="1"/>
    <w:link w:val="61"/>
    <w:qFormat/>
    <w:uiPriority w:val="0"/>
    <w:pPr>
      <w:spacing w:after="120" w:afterLines="0" w:line="480" w:lineRule="auto"/>
      <w:ind w:left="420" w:leftChars="200"/>
    </w:pPr>
  </w:style>
  <w:style w:type="paragraph" w:styleId="25">
    <w:name w:val="Balloon Text"/>
    <w:basedOn w:val="1"/>
    <w:link w:val="62"/>
    <w:qFormat/>
    <w:uiPriority w:val="0"/>
    <w:rPr>
      <w:sz w:val="18"/>
      <w:szCs w:val="18"/>
    </w:rPr>
  </w:style>
  <w:style w:type="paragraph" w:styleId="26">
    <w:name w:val="footer"/>
    <w:basedOn w:val="1"/>
    <w:next w:val="1"/>
    <w:link w:val="63"/>
    <w:unhideWhenUsed/>
    <w:qFormat/>
    <w:uiPriority w:val="99"/>
    <w:pPr>
      <w:tabs>
        <w:tab w:val="center" w:pos="4153"/>
        <w:tab w:val="right" w:pos="8306"/>
      </w:tabs>
      <w:snapToGrid w:val="0"/>
      <w:jc w:val="left"/>
    </w:pPr>
    <w:rPr>
      <w:sz w:val="18"/>
      <w:szCs w:val="18"/>
    </w:rPr>
  </w:style>
  <w:style w:type="paragraph" w:styleId="27">
    <w:name w:val="header"/>
    <w:basedOn w:val="1"/>
    <w:link w:val="64"/>
    <w:qFormat/>
    <w:uiPriority w:val="0"/>
    <w:pPr>
      <w:pBdr>
        <w:bottom w:val="single" w:color="auto" w:sz="6" w:space="1"/>
      </w:pBdr>
      <w:tabs>
        <w:tab w:val="center" w:pos="4153"/>
        <w:tab w:val="right" w:pos="8306"/>
      </w:tabs>
      <w:snapToGrid w:val="0"/>
      <w:jc w:val="center"/>
    </w:pPr>
    <w:rPr>
      <w:sz w:val="18"/>
      <w:szCs w:val="18"/>
    </w:rPr>
  </w:style>
  <w:style w:type="paragraph" w:styleId="28">
    <w:name w:val="toc 4"/>
    <w:basedOn w:val="1"/>
    <w:next w:val="1"/>
    <w:qFormat/>
    <w:uiPriority w:val="0"/>
    <w:pPr>
      <w:jc w:val="left"/>
    </w:pPr>
    <w:rPr>
      <w:rFonts w:ascii="Calibri" w:hAnsi="Calibri"/>
      <w:sz w:val="22"/>
      <w:szCs w:val="22"/>
    </w:rPr>
  </w:style>
  <w:style w:type="paragraph" w:styleId="29">
    <w:name w:val="List"/>
    <w:basedOn w:val="1"/>
    <w:qFormat/>
    <w:uiPriority w:val="0"/>
    <w:pPr>
      <w:ind w:left="200" w:hanging="200" w:hangingChars="200"/>
    </w:pPr>
    <w:rPr>
      <w:sz w:val="28"/>
    </w:rPr>
  </w:style>
  <w:style w:type="paragraph" w:styleId="30">
    <w:name w:val="toc 6"/>
    <w:basedOn w:val="1"/>
    <w:next w:val="1"/>
    <w:qFormat/>
    <w:uiPriority w:val="0"/>
    <w:pPr>
      <w:jc w:val="left"/>
    </w:pPr>
    <w:rPr>
      <w:rFonts w:ascii="Calibri" w:hAnsi="Calibri"/>
      <w:sz w:val="22"/>
      <w:szCs w:val="22"/>
    </w:rPr>
  </w:style>
  <w:style w:type="paragraph" w:styleId="31">
    <w:name w:val="toc 2"/>
    <w:basedOn w:val="1"/>
    <w:next w:val="1"/>
    <w:qFormat/>
    <w:uiPriority w:val="0"/>
    <w:pPr>
      <w:jc w:val="left"/>
    </w:pPr>
    <w:rPr>
      <w:rFonts w:ascii="Calibri" w:hAnsi="Calibri"/>
      <w:b/>
      <w:bCs/>
      <w:smallCaps/>
      <w:sz w:val="22"/>
      <w:szCs w:val="22"/>
    </w:rPr>
  </w:style>
  <w:style w:type="paragraph" w:styleId="32">
    <w:name w:val="toc 9"/>
    <w:basedOn w:val="1"/>
    <w:next w:val="1"/>
    <w:qFormat/>
    <w:uiPriority w:val="0"/>
    <w:pPr>
      <w:jc w:val="left"/>
    </w:pPr>
    <w:rPr>
      <w:rFonts w:ascii="Calibri" w:hAnsi="Calibri"/>
      <w:sz w:val="22"/>
      <w:szCs w:val="22"/>
    </w:rPr>
  </w:style>
  <w:style w:type="paragraph" w:styleId="3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4">
    <w:name w:val="index 1"/>
    <w:basedOn w:val="1"/>
    <w:next w:val="1"/>
    <w:semiHidden/>
    <w:qFormat/>
    <w:uiPriority w:val="0"/>
    <w:pPr>
      <w:spacing w:line="400" w:lineRule="exact"/>
      <w:ind w:firstLine="420" w:firstLineChars="200"/>
    </w:pPr>
    <w:rPr>
      <w:rFonts w:ascii="宋体" w:hAnsi="Courier New"/>
      <w:b/>
      <w:szCs w:val="20"/>
    </w:rPr>
  </w:style>
  <w:style w:type="paragraph" w:styleId="35">
    <w:name w:val="Title"/>
    <w:basedOn w:val="1"/>
    <w:next w:val="1"/>
    <w:qFormat/>
    <w:uiPriority w:val="0"/>
    <w:pPr>
      <w:widowControl w:val="0"/>
      <w:spacing w:before="240" w:after="60"/>
      <w:jc w:val="center"/>
      <w:outlineLvl w:val="0"/>
    </w:pPr>
    <w:rPr>
      <w:rFonts w:ascii="Arial" w:hAnsi="Arial" w:eastAsia="宋体" w:cs="Arial"/>
      <w:b/>
      <w:bCs/>
      <w:kern w:val="2"/>
      <w:sz w:val="32"/>
      <w:szCs w:val="32"/>
      <w:lang w:val="en-US" w:eastAsia="zh-CN" w:bidi="ar-SA"/>
    </w:rPr>
  </w:style>
  <w:style w:type="paragraph" w:styleId="36">
    <w:name w:val="annotation subject"/>
    <w:basedOn w:val="12"/>
    <w:next w:val="12"/>
    <w:link w:val="65"/>
    <w:qFormat/>
    <w:uiPriority w:val="0"/>
    <w:rPr>
      <w:b/>
      <w:bCs/>
    </w:rPr>
  </w:style>
  <w:style w:type="paragraph" w:styleId="37">
    <w:name w:val="Body Text First Indent"/>
    <w:basedOn w:val="15"/>
    <w:qFormat/>
    <w:uiPriority w:val="0"/>
    <w:pPr>
      <w:wordWrap w:val="0"/>
      <w:topLinePunct/>
      <w:spacing w:after="0" w:line="600" w:lineRule="exact"/>
      <w:ind w:firstLine="880" w:firstLineChars="200"/>
    </w:pPr>
  </w:style>
  <w:style w:type="paragraph" w:styleId="38">
    <w:name w:val="Body Text First Indent 2"/>
    <w:basedOn w:val="16"/>
    <w:qFormat/>
    <w:uiPriority w:val="0"/>
    <w:pPr>
      <w:spacing w:line="600" w:lineRule="exact"/>
      <w:ind w:firstLine="200" w:firstLineChars="200"/>
      <w:jc w:val="both"/>
    </w:pPr>
    <w:rPr>
      <w:rFonts w:ascii="Times New Roman" w:hAnsi="Times New Roman" w:eastAsia="仿宋_GB2312" w:cs="Times New Roman"/>
      <w:kern w:val="2"/>
      <w:sz w:val="32"/>
      <w:szCs w:val="21"/>
      <w:lang w:val="en-US" w:eastAsia="zh-CN" w:bidi="ar-SA"/>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basedOn w:val="41"/>
    <w:qFormat/>
    <w:uiPriority w:val="0"/>
    <w:rPr>
      <w:b/>
    </w:rPr>
  </w:style>
  <w:style w:type="character" w:styleId="43">
    <w:name w:val="page number"/>
    <w:qFormat/>
    <w:uiPriority w:val="0"/>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qFormat/>
    <w:uiPriority w:val="0"/>
    <w:rPr>
      <w:sz w:val="21"/>
      <w:szCs w:val="21"/>
    </w:rPr>
  </w:style>
  <w:style w:type="paragraph" w:customStyle="1" w:styleId="47">
    <w:name w:val="BodyText1I2"/>
    <w:basedOn w:val="48"/>
    <w:qFormat/>
    <w:uiPriority w:val="0"/>
    <w:pPr>
      <w:ind w:firstLine="420"/>
    </w:pPr>
  </w:style>
  <w:style w:type="paragraph" w:customStyle="1" w:styleId="48">
    <w:name w:val="BodyTextIndent"/>
    <w:basedOn w:val="1"/>
    <w:qFormat/>
    <w:uiPriority w:val="0"/>
    <w:pPr>
      <w:spacing w:after="120"/>
      <w:ind w:left="420" w:leftChars="200"/>
      <w:textAlignment w:val="baseline"/>
    </w:pPr>
  </w:style>
  <w:style w:type="character" w:customStyle="1" w:styleId="49">
    <w:name w:val="标题 1 字符1"/>
    <w:link w:val="2"/>
    <w:qFormat/>
    <w:uiPriority w:val="0"/>
    <w:rPr>
      <w:b/>
      <w:bCs/>
      <w:kern w:val="44"/>
      <w:sz w:val="44"/>
      <w:szCs w:val="44"/>
    </w:rPr>
  </w:style>
  <w:style w:type="character" w:customStyle="1" w:styleId="50">
    <w:name w:val="标题 2 字符1"/>
    <w:link w:val="3"/>
    <w:qFormat/>
    <w:uiPriority w:val="0"/>
    <w:rPr>
      <w:rFonts w:ascii="Arial" w:hAnsi="Arial" w:eastAsia="黑体"/>
      <w:b/>
      <w:bCs/>
      <w:kern w:val="2"/>
      <w:sz w:val="32"/>
      <w:szCs w:val="32"/>
    </w:rPr>
  </w:style>
  <w:style w:type="character" w:customStyle="1" w:styleId="51">
    <w:name w:val="标题 3 字符1"/>
    <w:link w:val="4"/>
    <w:qFormat/>
    <w:uiPriority w:val="0"/>
    <w:rPr>
      <w:b/>
      <w:bCs/>
      <w:kern w:val="2"/>
      <w:sz w:val="32"/>
      <w:szCs w:val="32"/>
    </w:rPr>
  </w:style>
  <w:style w:type="character" w:customStyle="1" w:styleId="52">
    <w:name w:val="标题 4 字符1"/>
    <w:link w:val="5"/>
    <w:qFormat/>
    <w:uiPriority w:val="0"/>
    <w:rPr>
      <w:rFonts w:ascii="Arial" w:eastAsia="黑体"/>
      <w:sz w:val="28"/>
    </w:rPr>
  </w:style>
  <w:style w:type="character" w:customStyle="1" w:styleId="53">
    <w:name w:val="标题 5 字符1"/>
    <w:link w:val="6"/>
    <w:qFormat/>
    <w:uiPriority w:val="9"/>
    <w:rPr>
      <w:b/>
      <w:bCs/>
      <w:kern w:val="2"/>
      <w:sz w:val="28"/>
      <w:szCs w:val="28"/>
    </w:rPr>
  </w:style>
  <w:style w:type="character" w:customStyle="1" w:styleId="54">
    <w:name w:val="文档结构图 字符1"/>
    <w:link w:val="11"/>
    <w:qFormat/>
    <w:uiPriority w:val="0"/>
    <w:rPr>
      <w:rFonts w:ascii="宋体"/>
      <w:kern w:val="2"/>
      <w:sz w:val="18"/>
      <w:szCs w:val="18"/>
    </w:rPr>
  </w:style>
  <w:style w:type="character" w:customStyle="1" w:styleId="55">
    <w:name w:val="批注文字 字符2"/>
    <w:link w:val="12"/>
    <w:qFormat/>
    <w:uiPriority w:val="0"/>
    <w:rPr>
      <w:kern w:val="2"/>
      <w:sz w:val="21"/>
      <w:szCs w:val="24"/>
    </w:rPr>
  </w:style>
  <w:style w:type="character" w:customStyle="1" w:styleId="56">
    <w:name w:val="正文文本 3 字符1"/>
    <w:link w:val="14"/>
    <w:qFormat/>
    <w:uiPriority w:val="99"/>
    <w:rPr>
      <w:kern w:val="2"/>
      <w:sz w:val="16"/>
      <w:szCs w:val="16"/>
    </w:rPr>
  </w:style>
  <w:style w:type="character" w:customStyle="1" w:styleId="57">
    <w:name w:val="正文文本 字符1"/>
    <w:link w:val="15"/>
    <w:qFormat/>
    <w:uiPriority w:val="99"/>
    <w:rPr>
      <w:kern w:val="2"/>
      <w:sz w:val="21"/>
      <w:szCs w:val="24"/>
    </w:rPr>
  </w:style>
  <w:style w:type="character" w:customStyle="1" w:styleId="58">
    <w:name w:val="正文文本缩进 字符1"/>
    <w:link w:val="16"/>
    <w:qFormat/>
    <w:uiPriority w:val="0"/>
    <w:rPr>
      <w:rFonts w:ascii="宋体" w:hAnsi="Courier New" w:eastAsia="宋体"/>
      <w:spacing w:val="-4"/>
      <w:kern w:val="2"/>
      <w:sz w:val="18"/>
      <w:lang w:val="en-US" w:eastAsia="zh-CN" w:bidi="ar-SA"/>
    </w:rPr>
  </w:style>
  <w:style w:type="character" w:customStyle="1" w:styleId="59">
    <w:name w:val="纯文本 字符3"/>
    <w:link w:val="20"/>
    <w:qFormat/>
    <w:uiPriority w:val="0"/>
    <w:rPr>
      <w:rFonts w:ascii="宋体" w:hAnsi="Courier New" w:eastAsia="宋体"/>
      <w:kern w:val="2"/>
      <w:sz w:val="21"/>
      <w:lang w:val="en-US" w:eastAsia="zh-CN" w:bidi="ar-SA"/>
    </w:rPr>
  </w:style>
  <w:style w:type="character" w:customStyle="1" w:styleId="60">
    <w:name w:val="日期 字符1"/>
    <w:link w:val="23"/>
    <w:qFormat/>
    <w:uiPriority w:val="0"/>
    <w:rPr>
      <w:kern w:val="2"/>
      <w:sz w:val="21"/>
      <w:szCs w:val="24"/>
    </w:rPr>
  </w:style>
  <w:style w:type="character" w:customStyle="1" w:styleId="61">
    <w:name w:val="正文文本缩进 2 字符1"/>
    <w:link w:val="24"/>
    <w:qFormat/>
    <w:uiPriority w:val="0"/>
    <w:rPr>
      <w:kern w:val="2"/>
      <w:sz w:val="21"/>
      <w:szCs w:val="24"/>
    </w:rPr>
  </w:style>
  <w:style w:type="character" w:customStyle="1" w:styleId="62">
    <w:name w:val="批注框文本 字符1"/>
    <w:link w:val="25"/>
    <w:qFormat/>
    <w:uiPriority w:val="0"/>
    <w:rPr>
      <w:kern w:val="2"/>
      <w:sz w:val="18"/>
      <w:szCs w:val="18"/>
    </w:rPr>
  </w:style>
  <w:style w:type="character" w:customStyle="1" w:styleId="63">
    <w:name w:val="页脚 字符2"/>
    <w:link w:val="26"/>
    <w:qFormat/>
    <w:uiPriority w:val="99"/>
    <w:rPr>
      <w:kern w:val="2"/>
      <w:sz w:val="18"/>
      <w:szCs w:val="18"/>
    </w:rPr>
  </w:style>
  <w:style w:type="character" w:customStyle="1" w:styleId="64">
    <w:name w:val="页眉 字符2"/>
    <w:link w:val="27"/>
    <w:qFormat/>
    <w:uiPriority w:val="99"/>
    <w:rPr>
      <w:kern w:val="2"/>
      <w:sz w:val="18"/>
      <w:szCs w:val="18"/>
    </w:rPr>
  </w:style>
  <w:style w:type="character" w:customStyle="1" w:styleId="65">
    <w:name w:val="批注主题 字符1"/>
    <w:link w:val="36"/>
    <w:qFormat/>
    <w:uiPriority w:val="99"/>
    <w:rPr>
      <w:b/>
      <w:bCs/>
      <w:kern w:val="2"/>
      <w:sz w:val="21"/>
      <w:szCs w:val="24"/>
    </w:rPr>
  </w:style>
  <w:style w:type="character" w:customStyle="1" w:styleId="66">
    <w:name w:val="标题 2 字符2"/>
    <w:link w:val="3"/>
    <w:qFormat/>
    <w:uiPriority w:val="0"/>
    <w:rPr>
      <w:rFonts w:ascii="Arial" w:hAnsi="Arial" w:eastAsia="黑体" w:cs="Times New Roman"/>
      <w:b/>
      <w:bCs/>
      <w:sz w:val="32"/>
      <w:szCs w:val="32"/>
    </w:rPr>
  </w:style>
  <w:style w:type="character" w:customStyle="1" w:styleId="67">
    <w:name w:val="页眉 字符"/>
    <w:qFormat/>
    <w:uiPriority w:val="99"/>
    <w:rPr>
      <w:rFonts w:ascii="Times New Roman" w:hAnsi="Times New Roman"/>
      <w:kern w:val="2"/>
      <w:sz w:val="18"/>
      <w:szCs w:val="18"/>
    </w:rPr>
  </w:style>
  <w:style w:type="character" w:customStyle="1" w:styleId="68">
    <w:name w:val="Char Char1"/>
    <w:qFormat/>
    <w:uiPriority w:val="0"/>
    <w:rPr>
      <w:rFonts w:ascii="宋体" w:hAnsi="Courier New" w:eastAsia="宋体"/>
      <w:kern w:val="2"/>
      <w:sz w:val="21"/>
      <w:lang w:val="en-US" w:eastAsia="zh-CN" w:bidi="ar-SA"/>
    </w:rPr>
  </w:style>
  <w:style w:type="character" w:customStyle="1" w:styleId="69">
    <w:name w:val="纯文本 字符2"/>
    <w:qFormat/>
    <w:uiPriority w:val="0"/>
    <w:rPr>
      <w:rFonts w:ascii="宋体" w:hAnsi="Courier New" w:eastAsia="宋体" w:cs="Courier New"/>
      <w:szCs w:val="21"/>
    </w:rPr>
  </w:style>
  <w:style w:type="character" w:customStyle="1" w:styleId="70">
    <w:name w:val="正文文本_"/>
    <w:link w:val="71"/>
    <w:qFormat/>
    <w:uiPriority w:val="0"/>
    <w:rPr>
      <w:rFonts w:ascii="MingLiU" w:hAnsi="MingLiU" w:eastAsia="MingLiU" w:cs="MingLiU"/>
      <w:spacing w:val="9"/>
      <w:sz w:val="19"/>
      <w:szCs w:val="19"/>
      <w:shd w:val="clear" w:color="auto" w:fill="FFFFFF"/>
    </w:rPr>
  </w:style>
  <w:style w:type="paragraph" w:customStyle="1" w:styleId="71">
    <w:name w:val="正文文本1"/>
    <w:basedOn w:val="1"/>
    <w:link w:val="70"/>
    <w:qFormat/>
    <w:uiPriority w:val="0"/>
    <w:pPr>
      <w:shd w:val="clear" w:color="auto" w:fill="FFFFFF"/>
      <w:spacing w:line="302" w:lineRule="exact"/>
      <w:ind w:firstLine="460"/>
      <w:jc w:val="left"/>
    </w:pPr>
    <w:rPr>
      <w:rFonts w:ascii="MingLiU" w:hAnsi="MingLiU" w:eastAsia="MingLiU"/>
      <w:spacing w:val="9"/>
      <w:kern w:val="0"/>
      <w:sz w:val="19"/>
      <w:szCs w:val="19"/>
    </w:rPr>
  </w:style>
  <w:style w:type="character" w:customStyle="1" w:styleId="72">
    <w:name w:val="纯文本 Char1"/>
    <w:link w:val="73"/>
    <w:qFormat/>
    <w:uiPriority w:val="0"/>
    <w:rPr>
      <w:rFonts w:ascii="宋体" w:hAnsi="Courier New" w:eastAsia="宋体"/>
      <w:kern w:val="2"/>
      <w:sz w:val="21"/>
      <w:lang w:val="en-US" w:eastAsia="zh-CN" w:bidi="ar-SA"/>
    </w:rPr>
  </w:style>
  <w:style w:type="paragraph" w:customStyle="1" w:styleId="73">
    <w:name w:val="纯文本1"/>
    <w:basedOn w:val="1"/>
    <w:link w:val="72"/>
    <w:qFormat/>
    <w:uiPriority w:val="0"/>
    <w:rPr>
      <w:rFonts w:ascii="宋体" w:hAnsi="Courier New"/>
      <w:szCs w:val="20"/>
    </w:rPr>
  </w:style>
  <w:style w:type="character" w:customStyle="1" w:styleId="74">
    <w:name w:val="正文文本 + 10 pt"/>
    <w:qFormat/>
    <w:uiPriority w:val="0"/>
    <w:rPr>
      <w:rFonts w:ascii="MingLiU" w:hAnsi="MingLiU" w:eastAsia="MingLiU" w:cs="MingLiU"/>
      <w:color w:val="000000"/>
      <w:spacing w:val="8"/>
      <w:w w:val="100"/>
      <w:position w:val="0"/>
      <w:sz w:val="20"/>
      <w:szCs w:val="20"/>
      <w:shd w:val="clear" w:color="auto" w:fill="FFFFFF"/>
      <w:lang w:val="zh-TW"/>
    </w:rPr>
  </w:style>
  <w:style w:type="character" w:customStyle="1" w:styleId="75">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6">
    <w:name w:val="页脚 字符"/>
    <w:qFormat/>
    <w:uiPriority w:val="99"/>
    <w:rPr>
      <w:sz w:val="18"/>
      <w:szCs w:val="18"/>
    </w:rPr>
  </w:style>
  <w:style w:type="character" w:customStyle="1" w:styleId="77">
    <w:name w:val="批注文字 字符1"/>
    <w:qFormat/>
    <w:uiPriority w:val="0"/>
    <w:rPr>
      <w:rFonts w:ascii="Times New Roman" w:hAnsi="Times New Roman"/>
      <w:kern w:val="2"/>
      <w:sz w:val="21"/>
      <w:szCs w:val="24"/>
    </w:rPr>
  </w:style>
  <w:style w:type="character" w:customStyle="1" w:styleId="78">
    <w:name w:val="正文2 Char Char"/>
    <w:link w:val="79"/>
    <w:qFormat/>
    <w:uiPriority w:val="0"/>
    <w:rPr>
      <w:kern w:val="2"/>
      <w:sz w:val="24"/>
    </w:rPr>
  </w:style>
  <w:style w:type="paragraph" w:customStyle="1" w:styleId="79">
    <w:name w:val="正文2"/>
    <w:basedOn w:val="1"/>
    <w:link w:val="78"/>
    <w:qFormat/>
    <w:uiPriority w:val="0"/>
    <w:pPr>
      <w:adjustRightInd w:val="0"/>
      <w:spacing w:before="156" w:line="360" w:lineRule="auto"/>
      <w:ind w:firstLine="510" w:firstLineChars="200"/>
    </w:pPr>
    <w:rPr>
      <w:sz w:val="24"/>
      <w:szCs w:val="20"/>
    </w:rPr>
  </w:style>
  <w:style w:type="character" w:customStyle="1" w:styleId="80">
    <w:name w:val="纯文本 Char_0"/>
    <w:link w:val="81"/>
    <w:qFormat/>
    <w:uiPriority w:val="0"/>
    <w:rPr>
      <w:rFonts w:ascii="宋体" w:hAnsi="Courier New"/>
      <w:kern w:val="2"/>
      <w:sz w:val="21"/>
      <w:szCs w:val="21"/>
    </w:rPr>
  </w:style>
  <w:style w:type="paragraph" w:customStyle="1" w:styleId="81">
    <w:name w:val="纯文本_0_0"/>
    <w:basedOn w:val="1"/>
    <w:link w:val="80"/>
    <w:qFormat/>
    <w:uiPriority w:val="0"/>
    <w:rPr>
      <w:rFonts w:ascii="宋体" w:hAnsi="Courier New"/>
      <w:szCs w:val="21"/>
    </w:rPr>
  </w:style>
  <w:style w:type="character" w:customStyle="1" w:styleId="82">
    <w:name w:val="批注文字 Char1"/>
    <w:qFormat/>
    <w:uiPriority w:val="0"/>
    <w:rPr>
      <w:rFonts w:ascii="Times New Roman" w:hAnsi="Times New Roman"/>
      <w:kern w:val="2"/>
      <w:sz w:val="21"/>
      <w:szCs w:val="24"/>
    </w:rPr>
  </w:style>
  <w:style w:type="paragraph" w:styleId="83">
    <w:name w:val="List Paragraph"/>
    <w:basedOn w:val="1"/>
    <w:qFormat/>
    <w:uiPriority w:val="34"/>
    <w:pPr>
      <w:ind w:firstLine="420" w:firstLineChars="200"/>
    </w:pPr>
  </w:style>
  <w:style w:type="paragraph" w:customStyle="1" w:styleId="84">
    <w:name w:val="Char Char Char1 Char Char Char Char Char Char Char"/>
    <w:basedOn w:val="1"/>
    <w:qFormat/>
    <w:uiPriority w:val="0"/>
  </w:style>
  <w:style w:type="paragraph" w:customStyle="1" w:styleId="85">
    <w:name w:val="Char Char Char"/>
    <w:basedOn w:val="1"/>
    <w:qFormat/>
    <w:uiPriority w:val="0"/>
    <w:rPr>
      <w:szCs w:val="20"/>
    </w:rPr>
  </w:style>
  <w:style w:type="paragraph" w:customStyle="1" w:styleId="86">
    <w:name w:val=" Char Char Char Char Char Char Char Char Char Char Char Char"/>
    <w:basedOn w:val="1"/>
    <w:qFormat/>
    <w:uiPriority w:val="0"/>
    <w:pPr>
      <w:widowControl/>
      <w:spacing w:after="160" w:afterLines="0" w:line="240" w:lineRule="exact"/>
      <w:jc w:val="left"/>
    </w:pPr>
  </w:style>
  <w:style w:type="paragraph" w:customStyle="1" w:styleId="87">
    <w:name w:val="列出段落1"/>
    <w:basedOn w:val="1"/>
    <w:qFormat/>
    <w:uiPriority w:val="34"/>
    <w:pPr>
      <w:spacing w:before="100" w:beforeAutospacing="1" w:after="100" w:afterAutospacing="1" w:line="360" w:lineRule="auto"/>
      <w:ind w:firstLine="420" w:firstLineChars="200"/>
    </w:pPr>
  </w:style>
  <w:style w:type="paragraph" w:customStyle="1" w:styleId="88">
    <w:name w:val="_Style 85"/>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lang w:val="en-US" w:eastAsia="zh-CN"/>
    </w:rPr>
  </w:style>
  <w:style w:type="paragraph" w:customStyle="1" w:styleId="89">
    <w:name w:val="样式 标题 2 + 非加粗 首行缩进:  2 字符"/>
    <w:basedOn w:val="3"/>
    <w:qFormat/>
    <w:uiPriority w:val="0"/>
    <w:pPr>
      <w:spacing w:before="0" w:beforeLines="0" w:after="0" w:afterLines="0" w:line="600" w:lineRule="exact"/>
      <w:ind w:firstLine="640" w:firstLineChars="200"/>
      <w:jc w:val="left"/>
    </w:pPr>
    <w:rPr>
      <w:rFonts w:cs="宋体"/>
      <w:b w:val="0"/>
      <w:bCs w:val="0"/>
      <w:szCs w:val="20"/>
    </w:rPr>
  </w:style>
  <w:style w:type="paragraph" w:customStyle="1" w:styleId="90">
    <w:name w:val="Table Paragraph"/>
    <w:basedOn w:val="1"/>
    <w:qFormat/>
    <w:uiPriority w:val="1"/>
    <w:pPr>
      <w:jc w:val="left"/>
    </w:pPr>
    <w:rPr>
      <w:rFonts w:ascii="Calibri" w:hAnsi="Calibri"/>
      <w:kern w:val="0"/>
      <w:sz w:val="22"/>
      <w:szCs w:val="22"/>
      <w:lang w:eastAsia="en-US"/>
    </w:rPr>
  </w:style>
  <w:style w:type="paragraph" w:customStyle="1" w:styleId="91">
    <w:name w:val=" Char"/>
    <w:basedOn w:val="1"/>
    <w:qFormat/>
    <w:uiPriority w:val="0"/>
    <w:rPr>
      <w:szCs w:val="21"/>
    </w:rPr>
  </w:style>
  <w:style w:type="paragraph" w:customStyle="1" w:styleId="92">
    <w:name w:val="Char Char Char Char Char Char Char"/>
    <w:basedOn w:val="1"/>
    <w:qFormat/>
    <w:uiPriority w:val="0"/>
  </w:style>
  <w:style w:type="paragraph" w:customStyle="1" w:styleId="93">
    <w:name w:val=" Char Char Char Char Char Char Char"/>
    <w:basedOn w:val="1"/>
    <w:qFormat/>
    <w:uiPriority w:val="0"/>
  </w:style>
  <w:style w:type="paragraph" w:customStyle="1" w:styleId="94">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95">
    <w:name w:val="Char Char Char Char Char Char Char Char Char Char Char Char"/>
    <w:basedOn w:val="1"/>
    <w:qFormat/>
    <w:uiPriority w:val="0"/>
    <w:pPr>
      <w:widowControl/>
      <w:spacing w:after="160" w:afterLines="0" w:line="240" w:lineRule="exact"/>
      <w:jc w:val="left"/>
    </w:pPr>
  </w:style>
  <w:style w:type="paragraph" w:customStyle="1" w:styleId="96">
    <w:name w:val="表格文字"/>
    <w:basedOn w:val="16"/>
    <w:next w:val="15"/>
    <w:qFormat/>
    <w:uiPriority w:val="0"/>
    <w:pPr>
      <w:adjustRightInd w:val="0"/>
      <w:spacing w:line="420" w:lineRule="atLeast"/>
      <w:jc w:val="left"/>
      <w:textAlignment w:val="baseline"/>
    </w:pPr>
    <w:rPr>
      <w:kern w:val="0"/>
    </w:rPr>
  </w:style>
  <w:style w:type="paragraph" w:customStyle="1" w:styleId="97">
    <w:name w:val="_Style 94"/>
    <w:qFormat/>
    <w:uiPriority w:val="0"/>
    <w:rPr>
      <w:rFonts w:ascii="Times New Roman" w:hAnsi="Times New Roman" w:eastAsia="宋体" w:cs="Times New Roman"/>
      <w:kern w:val="2"/>
      <w:sz w:val="21"/>
      <w:szCs w:val="24"/>
      <w:lang w:val="en-US" w:eastAsia="zh-CN" w:bidi="ar-SA"/>
    </w:rPr>
  </w:style>
  <w:style w:type="paragraph" w:customStyle="1" w:styleId="98">
    <w:name w:val="正文段"/>
    <w:basedOn w:val="1"/>
    <w:qFormat/>
    <w:uiPriority w:val="0"/>
    <w:pPr>
      <w:widowControl/>
      <w:snapToGrid w:val="0"/>
      <w:spacing w:after="156" w:afterLines="50"/>
      <w:ind w:firstLine="200" w:firstLineChars="200"/>
    </w:pPr>
    <w:rPr>
      <w:kern w:val="0"/>
      <w:sz w:val="24"/>
      <w:szCs w:val="20"/>
    </w:rPr>
  </w:style>
  <w:style w:type="paragraph" w:customStyle="1" w:styleId="99">
    <w:name w:val="Char Char Char Char"/>
    <w:basedOn w:val="1"/>
    <w:qFormat/>
    <w:uiPriority w:val="0"/>
    <w:pPr>
      <w:widowControl/>
      <w:spacing w:after="160" w:afterLines="0" w:line="240" w:lineRule="exact"/>
      <w:jc w:val="left"/>
    </w:pPr>
  </w:style>
  <w:style w:type="paragraph" w:customStyle="1" w:styleId="100">
    <w:name w:val="Char"/>
    <w:basedOn w:val="1"/>
    <w:qFormat/>
    <w:uiPriority w:val="0"/>
  </w:style>
  <w:style w:type="paragraph" w:customStyle="1" w:styleId="101">
    <w:name w:val=" Char Char Char Char"/>
    <w:basedOn w:val="1"/>
    <w:qFormat/>
    <w:uiPriority w:val="0"/>
    <w:pPr>
      <w:widowControl/>
      <w:spacing w:after="160" w:afterLines="0" w:line="240" w:lineRule="exact"/>
      <w:jc w:val="left"/>
    </w:pPr>
  </w:style>
  <w:style w:type="paragraph" w:customStyle="1" w:styleId="102">
    <w:name w:val="样式 标题 1 + 居中 段前: 0 磅 段后: 0 磅 行距: 固定值 30 磅"/>
    <w:basedOn w:val="2"/>
    <w:qFormat/>
    <w:uiPriority w:val="0"/>
    <w:pPr>
      <w:spacing w:before="0" w:beforeLines="0" w:after="0" w:afterLines="0" w:line="600" w:lineRule="exact"/>
      <w:jc w:val="center"/>
    </w:pPr>
    <w:rPr>
      <w:rFonts w:cs="宋体"/>
      <w:szCs w:val="20"/>
    </w:rPr>
  </w:style>
  <w:style w:type="paragraph" w:customStyle="1" w:styleId="103">
    <w:name w:val="正文缩进1"/>
    <w:basedOn w:val="1"/>
    <w:next w:val="16"/>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104">
    <w:name w:val="p0"/>
    <w:basedOn w:val="1"/>
    <w:qFormat/>
    <w:uiPriority w:val="0"/>
    <w:pPr>
      <w:widowControl/>
    </w:pPr>
    <w:rPr>
      <w:kern w:val="0"/>
      <w:szCs w:val="21"/>
    </w:rPr>
  </w:style>
  <w:style w:type="paragraph" w:customStyle="1" w:styleId="105">
    <w:name w:val="默认段落字体 Para Char Char Char Char Char Char Char Char Char1 Char Char Char Char"/>
    <w:basedOn w:val="1"/>
    <w:qFormat/>
    <w:uiPriority w:val="0"/>
    <w:rPr>
      <w:rFonts w:ascii="Tahoma" w:hAnsi="Tahoma"/>
      <w:sz w:val="24"/>
      <w:szCs w:val="20"/>
    </w:rPr>
  </w:style>
  <w:style w:type="character" w:customStyle="1" w:styleId="106">
    <w:name w:val="正文文本 字符"/>
    <w:qFormat/>
    <w:uiPriority w:val="99"/>
    <w:rPr>
      <w:kern w:val="2"/>
      <w:sz w:val="21"/>
      <w:szCs w:val="24"/>
    </w:rPr>
  </w:style>
  <w:style w:type="character" w:customStyle="1" w:styleId="107">
    <w:name w:val="纯文本 字符"/>
    <w:qFormat/>
    <w:uiPriority w:val="0"/>
    <w:rPr>
      <w:rFonts w:ascii="宋体" w:hAnsi="Courier New"/>
      <w:kern w:val="2"/>
      <w:sz w:val="21"/>
    </w:rPr>
  </w:style>
  <w:style w:type="character" w:customStyle="1" w:styleId="108">
    <w:name w:val="标题 1 字符"/>
    <w:qFormat/>
    <w:uiPriority w:val="0"/>
    <w:rPr>
      <w:b/>
      <w:bCs/>
      <w:kern w:val="44"/>
      <w:sz w:val="44"/>
      <w:szCs w:val="44"/>
    </w:rPr>
  </w:style>
  <w:style w:type="character" w:customStyle="1" w:styleId="109">
    <w:name w:val="标题 2 字符"/>
    <w:qFormat/>
    <w:uiPriority w:val="0"/>
    <w:rPr>
      <w:rFonts w:ascii="Arial" w:hAnsi="Arial" w:eastAsia="黑体"/>
      <w:b/>
      <w:bCs/>
      <w:kern w:val="2"/>
      <w:sz w:val="32"/>
      <w:szCs w:val="32"/>
    </w:rPr>
  </w:style>
  <w:style w:type="character" w:customStyle="1" w:styleId="110">
    <w:name w:val="标题 3 字符"/>
    <w:qFormat/>
    <w:uiPriority w:val="0"/>
    <w:rPr>
      <w:b/>
      <w:bCs/>
      <w:kern w:val="2"/>
      <w:sz w:val="32"/>
      <w:szCs w:val="32"/>
    </w:rPr>
  </w:style>
  <w:style w:type="character" w:customStyle="1" w:styleId="111">
    <w:name w:val="标题 4 字符"/>
    <w:qFormat/>
    <w:uiPriority w:val="0"/>
    <w:rPr>
      <w:rFonts w:ascii="Arial" w:eastAsia="黑体"/>
      <w:sz w:val="28"/>
    </w:rPr>
  </w:style>
  <w:style w:type="character" w:customStyle="1" w:styleId="112">
    <w:name w:val="标题 5 字符"/>
    <w:qFormat/>
    <w:uiPriority w:val="9"/>
    <w:rPr>
      <w:b/>
      <w:bCs/>
      <w:kern w:val="2"/>
      <w:sz w:val="28"/>
      <w:szCs w:val="28"/>
    </w:rPr>
  </w:style>
  <w:style w:type="character" w:customStyle="1" w:styleId="113">
    <w:name w:val="文档结构图 字符"/>
    <w:qFormat/>
    <w:uiPriority w:val="0"/>
    <w:rPr>
      <w:rFonts w:ascii="宋体"/>
      <w:kern w:val="2"/>
      <w:sz w:val="18"/>
      <w:szCs w:val="18"/>
    </w:rPr>
  </w:style>
  <w:style w:type="character" w:customStyle="1" w:styleId="114">
    <w:name w:val="批注文字 字符"/>
    <w:qFormat/>
    <w:uiPriority w:val="0"/>
    <w:rPr>
      <w:kern w:val="2"/>
      <w:sz w:val="21"/>
      <w:szCs w:val="24"/>
    </w:rPr>
  </w:style>
  <w:style w:type="character" w:customStyle="1" w:styleId="115">
    <w:name w:val="正文文本 3 字符"/>
    <w:qFormat/>
    <w:uiPriority w:val="99"/>
    <w:rPr>
      <w:kern w:val="2"/>
      <w:sz w:val="16"/>
      <w:szCs w:val="16"/>
    </w:rPr>
  </w:style>
  <w:style w:type="character" w:customStyle="1" w:styleId="116">
    <w:name w:val="正文文本缩进 字符"/>
    <w:qFormat/>
    <w:uiPriority w:val="0"/>
    <w:rPr>
      <w:rFonts w:ascii="宋体" w:hAnsi="Courier New"/>
      <w:spacing w:val="-4"/>
      <w:kern w:val="2"/>
      <w:sz w:val="18"/>
    </w:rPr>
  </w:style>
  <w:style w:type="character" w:customStyle="1" w:styleId="117">
    <w:name w:val="日期 字符"/>
    <w:qFormat/>
    <w:uiPriority w:val="0"/>
    <w:rPr>
      <w:kern w:val="2"/>
      <w:sz w:val="21"/>
      <w:szCs w:val="24"/>
    </w:rPr>
  </w:style>
  <w:style w:type="character" w:customStyle="1" w:styleId="118">
    <w:name w:val="正文文本缩进 2 字符"/>
    <w:qFormat/>
    <w:uiPriority w:val="0"/>
    <w:rPr>
      <w:kern w:val="2"/>
      <w:sz w:val="21"/>
      <w:szCs w:val="24"/>
    </w:rPr>
  </w:style>
  <w:style w:type="character" w:customStyle="1" w:styleId="119">
    <w:name w:val="批注框文本 字符"/>
    <w:qFormat/>
    <w:uiPriority w:val="0"/>
    <w:rPr>
      <w:kern w:val="2"/>
      <w:sz w:val="18"/>
      <w:szCs w:val="18"/>
    </w:rPr>
  </w:style>
  <w:style w:type="character" w:customStyle="1" w:styleId="120">
    <w:name w:val="页脚 字符1"/>
    <w:qFormat/>
    <w:uiPriority w:val="99"/>
    <w:rPr>
      <w:kern w:val="2"/>
      <w:sz w:val="18"/>
      <w:szCs w:val="18"/>
    </w:rPr>
  </w:style>
  <w:style w:type="character" w:customStyle="1" w:styleId="121">
    <w:name w:val="页眉 字符1"/>
    <w:qFormat/>
    <w:uiPriority w:val="99"/>
    <w:rPr>
      <w:kern w:val="2"/>
      <w:sz w:val="18"/>
      <w:szCs w:val="18"/>
    </w:rPr>
  </w:style>
  <w:style w:type="character" w:customStyle="1" w:styleId="122">
    <w:name w:val="批注主题 字符"/>
    <w:qFormat/>
    <w:uiPriority w:val="99"/>
    <w:rPr>
      <w:b/>
      <w:bCs/>
      <w:kern w:val="2"/>
      <w:sz w:val="21"/>
      <w:szCs w:val="24"/>
    </w:rPr>
  </w:style>
  <w:style w:type="paragraph" w:customStyle="1" w:styleId="123">
    <w:name w:val="_Style 11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4">
    <w:name w:val="纯文本 字符1"/>
    <w:semiHidden/>
    <w:qFormat/>
    <w:locked/>
    <w:uiPriority w:val="0"/>
    <w:rPr>
      <w:rFonts w:ascii="宋体" w:hAnsi="Courier New"/>
      <w:kern w:val="2"/>
      <w:sz w:val="21"/>
    </w:rPr>
  </w:style>
  <w:style w:type="paragraph" w:customStyle="1" w:styleId="125">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color w:val="000000"/>
      <w:kern w:val="0"/>
      <w:szCs w:val="21"/>
    </w:rPr>
  </w:style>
  <w:style w:type="paragraph" w:customStyle="1" w:styleId="127">
    <w:name w:val="Default"/>
    <w:basedOn w:val="73"/>
    <w:next w:val="13"/>
    <w:qFormat/>
    <w:uiPriority w:val="0"/>
    <w:pPr>
      <w:widowControl w:val="0"/>
      <w:autoSpaceDE w:val="0"/>
      <w:autoSpaceDN w:val="0"/>
      <w:adjustRightInd w:val="0"/>
    </w:pPr>
    <w:rPr>
      <w:rFonts w:hint="eastAsia" w:ascii="方正仿宋_GBK" w:hAnsi="方正仿宋_GBK" w:eastAsia="方正仿宋_GBK"/>
      <w:color w:val="000000"/>
      <w:sz w:val="24"/>
      <w:lang w:val="en-US" w:eastAsia="zh-CN" w:bidi="ar-SA"/>
    </w:rPr>
  </w:style>
  <w:style w:type="paragraph" w:customStyle="1" w:styleId="128">
    <w:name w:val="Legal_L2"/>
    <w:basedOn w:val="1"/>
    <w:qFormat/>
    <w:uiPriority w:val="0"/>
    <w:pPr>
      <w:widowControl/>
      <w:spacing w:after="240" w:line="259" w:lineRule="auto"/>
      <w:jc w:val="left"/>
      <w:outlineLvl w:val="1"/>
    </w:pPr>
    <w:rPr>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ngzhengyi\Library\Containers\com.kingsoft.wpsoffice.mac\Data\C:\Users\langzhengyi\Library\Containers\com.kingsoft.wpsoffice.mac\Data\C:\home\inspur\C:\home\inspur\192.168.200.66\4&#37096;&#20849;&#20139;1\2025&#24180;&#25307;&#26631;&#39033;&#30446;\11&#26376;\&#20840;&#21306;&#38750;&#27861;&#22534;&#23384;&#12289;&#36716;&#31227;&#28041;&#37325;&#22266;&#20307;&#24223;&#29289;&#21361;&#38505;&#29305;&#24615;&#37492;&#21035;&#21450;&#27745;&#26579;&#37322;&#25918;&#33021;&#21147;&#35780;&#20272;&#39033;&#30446;\&#65288;1117&#25307;&#26631;&#25991;&#20214;&#65289;12.&#20840;&#21306;&#38750;&#27861;&#22534;&#23384;&#12289;&#36716;&#31227;&#28041;&#37325;&#22266;&#20307;&#24223;&#29289;&#21361;&#38505;&#29305;&#24615;&#37492;&#21035;&#21450;&#27745;&#26579;&#37322;&#25918;&#33021;&#21147;&#35780;&#20272;&#39033;&#30446;.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2ae93186-15bb-4aac-833a-1f828607a370</errorID>
      <errorWord>(</errorWord>
      <group>L1_Format</group>
      <groupName>格式问题</groupName>
      <ability>L2_HalfPunc</ability>
      <abilityName>全半角检查</abilityName>
      <candidateList>
        <item>（</item>
      </candidateList>
      <explain>文本全半角错误。</explain>
      <paraID>2883A06D</paraID>
      <start>33</start>
      <end>34</end>
      <status>modified</status>
      <modifiedWord>（</modifiedWord>
      <trackRevisions>false</trackRevisions>
    </reviewItem>
    <reviewItem>
      <errorID>20053e96-e390-455a-bd9b-3fcc5018dce5</errorID>
      <errorWord>)</errorWord>
      <group>L1_Format</group>
      <groupName>格式问题</groupName>
      <ability>L2_HalfPunc</ability>
      <abilityName>全半角检查</abilityName>
      <candidateList>
        <item>）</item>
      </candidateList>
      <explain>文本全半角错误。</explain>
      <paraID>2883A06D</paraID>
      <start>62</start>
      <end>63</end>
      <status>modified</status>
      <modifiedWord>）</modifiedWord>
      <trackRevisions>false</trackRevisions>
    </reviewItem>
    <reviewItem>
      <errorID>ab5a5663-f26b-49a8-9218-7650efe5b6f9</errorID>
      <errorWord>上午00:00</errorWord>
      <group>L1_Knowledge</group>
      <groupName>知识性问题</groupName>
      <ability>L2_Time</ability>
      <abilityName>日期时间</abilityName>
      <candidateList/>
      <explain>时间与前缀不匹配，可能的时间前缀有“下午、晚上、凌晨、午夜”。</explain>
      <paraID> 38C896D</paraID>
      <start>27</start>
      <end>34</end>
      <status>ignored</status>
      <modifiedWord/>
      <trackRevisions>false</trackRevisions>
    </reviewItem>
    <reviewItem>
      <errorID>c4f83ec3-51fb-4d05-99c0-e9710fbe3f0a</errorID>
      <errorWord>-</errorWord>
      <group>L1_Format</group>
      <groupName>格式问题</groupName>
      <ability>L2_HalfPunc</ability>
      <abilityName>全半角检查</abilityName>
      <candidateList>
        <item>－</item>
      </candidateList>
      <explain>文本全半角错误。</explain>
      <paraID>768AE6C0</paraID>
      <start>222</start>
      <end>223</end>
      <status>modified</status>
      <modifiedWord>－</modifiedWord>
      <trackRevisions>false</trackRevisions>
    </reviewItem>
    <reviewItem>
      <errorID>04b683a0-f198-452b-8417-73f6026208ed</errorID>
      <errorWord>-</errorWord>
      <group>L1_Format</group>
      <groupName>格式问题</groupName>
      <ability>L2_HalfPunc</ability>
      <abilityName>全半角检查</abilityName>
      <candidateList>
        <item>－</item>
      </candidateList>
      <explain>文本全半角错误。</explain>
      <paraID>768AE6C0</paraID>
      <start>227</start>
      <end>228</end>
      <status>modified</status>
      <modifiedWord>－</modifiedWord>
      <trackRevisions>false</trackRevisions>
    </reviewItem>
    <reviewItem>
      <errorID>1c106b8c-279f-4330-ae12-22d4a0a1ef3a</errorID>
      <errorWord>-</errorWord>
      <group>L1_Format</group>
      <groupName>格式问题</groupName>
      <ability>L2_HalfPunc</ability>
      <abilityName>全半角检查</abilityName>
      <candidateList>
        <item>－</item>
      </candidateList>
      <explain>文本全半角错误。</explain>
      <paraID>768AE6C0</paraID>
      <start>232</start>
      <end>233</end>
      <status>modified</status>
      <modifiedWord>－</modifiedWord>
      <trackRevisions>false</trackRevisions>
    </reviewItem>
    <reviewItem>
      <errorID>2901cbbe-061d-4cfa-a24e-19b3782c9ac0</errorID>
      <errorWord>-</errorWord>
      <group>L1_Format</group>
      <groupName>格式问题</groupName>
      <ability>L2_HalfPunc</ability>
      <abilityName>全半角检查</abilityName>
      <candidateList>
        <item>－</item>
      </candidateList>
      <explain>文本全半角错误。</explain>
      <paraID>768AE6C0</paraID>
      <start>238</start>
      <end>239</end>
      <status>modified</status>
      <modifiedWord>－</modifiedWord>
      <trackRevisions>false</trackRevisions>
    </reviewItem>
    <reviewItem>
      <errorID>9b82e965-a9fb-42ef-b915-54dc2bd6efaa</errorID>
      <errorWord>-</errorWord>
      <group>L1_Format</group>
      <groupName>格式问题</groupName>
      <ability>L2_HalfPunc</ability>
      <abilityName>全半角检查</abilityName>
      <candidateList>
        <item>－</item>
      </candidateList>
      <explain>文本全半角错误。</explain>
      <paraID>768AE6C0</paraID>
      <start>255</start>
      <end>256</end>
      <status>modified</status>
      <modifiedWord>－</modifiedWord>
      <trackRevisions>false</trackRevisions>
    </reviewItem>
    <reviewItem>
      <errorID>786136e7-8b75-4b38-80c8-f17258ec5afd</errorID>
      <errorWord>-</errorWord>
      <group>L1_Format</group>
      <groupName>格式问题</groupName>
      <ability>L2_HalfPunc</ability>
      <abilityName>全半角检查</abilityName>
      <candidateList>
        <item>－</item>
      </candidateList>
      <explain>文本全半角错误。</explain>
      <paraID>35E6C1C3</paraID>
      <start>108</start>
      <end>109</end>
      <status>modified</status>
      <modifiedWord>－</modifiedWord>
      <trackRevisions>false</trackRevisions>
    </reviewItem>
    <reviewItem>
      <errorID>3d682a7c-724c-4837-b830-c6e86b29cac0</errorID>
      <errorWord>-</errorWord>
      <group>L1_Format</group>
      <groupName>格式问题</groupName>
      <ability>L2_HalfPunc</ability>
      <abilityName>全半角检查</abilityName>
      <candidateList>
        <item>－</item>
      </candidateList>
      <explain>文本全半角错误。</explain>
      <paraID>35E6C1C3</paraID>
      <start>137</start>
      <end>138</end>
      <status>modified</status>
      <modifiedWord>－</modifiedWord>
      <trackRevisions>false</trackRevisions>
    </reviewItem>
    <reviewItem>
      <errorID>ab14b01a-8126-446e-ab89-3d2636771a54</errorID>
      <errorWord>操作合</errorWord>
      <group>L1_Word</group>
      <groupName>字词问题</groupName>
      <ability>L2_Typo</ability>
      <abilityName>字词错误</abilityName>
      <candidateList>
        <item>操作台</item>
      </candidateList>
      <explain/>
      <paraID>492F0BAB</paraID>
      <start>9</start>
      <end>12</end>
      <status>ignored</status>
      <modifiedWord/>
      <trackRevisions>false</trackRevisions>
    </reviewItem>
    <reviewItem>
      <errorID>fc9e50de-10ee-4bfa-92bc-0385405d9b10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7DADA207</paraID>
      <start>0</start>
      <end>2</end>
      <status>modified</status>
      <modifiedWord>1.</modifiedWord>
      <trackRevisions>false</trackRevisions>
    </reviewItem>
    <reviewItem>
      <errorID>8339d2dd-8cf6-40f8-82af-8c5778a0578b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23EA8B66</paraID>
      <start>0</start>
      <end>2</end>
      <status>modified</status>
      <modifiedWord>2.</modifiedWord>
      <trackRevisions>false</trackRevisions>
    </reviewItem>
    <reviewItem>
      <errorID>b0663fa4-18c1-4ca2-8a19-269e4c6a8ef8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23EA8B66</paraID>
      <start>43</start>
      <end>44</end>
      <status>ignored</status>
      <modifiedWord/>
      <trackRevisions>false</trackRevisions>
    </reviewItem>
    <reviewItem>
      <errorID>471dfef6-3cd5-48de-8dbf-8756b6cab5bd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78674C75</paraID>
      <start>0</start>
      <end>2</end>
      <status>modified</status>
      <modifiedWord>3.</modifiedWord>
      <trackRevisions>false</trackRevisions>
    </reviewItem>
    <reviewItem>
      <errorID>cd424f1d-4837-4219-8639-e38ec046caa8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548B97F5</paraID>
      <start>0</start>
      <end>2</end>
      <status>modified</status>
      <modifiedWord>4.</modifiedWord>
      <trackRevisions>false</trackRevisions>
    </reviewItem>
    <reviewItem>
      <errorID>e960b16b-c3ea-42e4-9f88-8a00b206640c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6D7E2C6B</paraID>
      <start>0</start>
      <end>2</end>
      <status>modified</status>
      <modifiedWord>5.</modifiedWord>
      <trackRevisions>false</trackRevisions>
    </reviewItem>
    <reviewItem>
      <errorID>9b3e04b6-8e90-4743-8ef7-bff643ca2dbf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3A0AE696</paraID>
      <start>0</start>
      <end>2</end>
      <status>modified</status>
      <modifiedWord>6.</modifiedWord>
      <trackRevisions>false</trackRevisions>
    </reviewItem>
    <reviewItem>
      <errorID>39440faa-501f-4d27-ada5-4c049b00b399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41CC1364</paraID>
      <start>0</start>
      <end>2</end>
      <status>modified</status>
      <modifiedWord>1.</modifiedWord>
      <trackRevisions>false</trackRevisions>
    </reviewItem>
    <reviewItem>
      <errorID>b8c8a335-d79b-4f00-8567-19162408027a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41CC1364</paraID>
      <start>17</start>
      <end>18</end>
      <status>ignored</status>
      <modifiedWord/>
      <trackRevisions>false</trackRevisions>
    </reviewItem>
    <reviewItem>
      <errorID>58b2d6bb-bec3-439c-b867-37393f2e05f6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2FBCC6BF</paraID>
      <start>0</start>
      <end>2</end>
      <status>modified</status>
      <modifiedWord>2.</modifiedWord>
      <trackRevisions>false</trackRevisions>
    </reviewItem>
    <reviewItem>
      <errorID>59386176-e294-444b-b8a5-0cad049c4a9e</errorID>
      <errorWord>)</errorWord>
      <group>L1_Format</group>
      <groupName>格式问题</groupName>
      <ability>L2_HalfPunc</ability>
      <abilityName>全半角检查</abilityName>
      <candidateList>
        <item>）</item>
      </candidateList>
      <explain>文本全半角错误。</explain>
      <paraID>2FBCC6BF</paraID>
      <start>23</start>
      <end>24</end>
      <status>modified</status>
      <modifiedWord>）</modifiedWord>
      <trackRevisions>false</trackRevisions>
    </reviewItem>
    <reviewItem>
      <errorID>2fbe086f-ce5b-44dc-990f-79902ae37520</errorID>
      <errorWord>)</errorWord>
      <group>L1_Format</group>
      <groupName>格式问题</groupName>
      <ability>L2_HalfPunc</ability>
      <abilityName>全半角检查</abilityName>
      <candidateList>
        <item>）</item>
      </candidateList>
      <explain>文本全半角错误。</explain>
      <paraID>116A546C</paraID>
      <start>26</start>
      <end>27</end>
      <status>modified</status>
      <modifiedWord>）</modifiedWord>
      <trackRevisions>false</trackRevisions>
    </reviewItem>
    <reviewItem>
      <errorID>c699bf1e-7aa5-450c-9345-95869fbaba31</errorID>
      <errorWord>其它</errorWord>
      <group>L1_Word</group>
      <groupName>字词问题</groupName>
      <ability>L2_Alias</ability>
      <abilityName>也作/曾用词</abilityName>
      <candidateList>
        <item>其他</item>
      </candidateList>
      <explain>词汇[其它]为不规范表述或旧称，其规范书面表述为[其他]。</explain>
      <paraID>22854554</paraID>
      <start>3</start>
      <end>5</end>
      <status>ignored</status>
      <modifiedWord/>
      <trackRevisions>false</trackRevisions>
    </reviewItem>
    <reviewItem>
      <errorID>ad86658c-4270-424f-98e9-e24afe4e8359</errorID>
      <errorWord>:</errorWord>
      <group>L1_Format</group>
      <groupName>格式问题</groupName>
      <ability>L2_HalfPunc</ability>
      <abilityName>全半角检查</abilityName>
      <candidateList>
        <item>：</item>
      </candidateList>
      <explain>文本全半角错误。</explain>
      <paraID>386BDCB3</paraID>
      <start>2</start>
      <end>3</end>
      <status>modified</status>
      <modifiedWord>：</modifiedWord>
      <trackRevisions>false</trackRevisions>
    </reviewItem>
    <reviewItem>
      <errorID>592935d2-df73-4914-b90f-dc66784f57b7</errorID>
      <errorWord>:</errorWord>
      <group>L1_Format</group>
      <groupName>格式问题</groupName>
      <ability>L2_HalfPunc</ability>
      <abilityName>全半角检查</abilityName>
      <candidateList>
        <item>：</item>
      </candidateList>
      <explain>文本全半角错误。</explain>
      <paraID>2047C153</paraID>
      <start>6</start>
      <end>7</end>
      <status>modified</status>
      <modifiedWord>：</modifiedWord>
      <trackRevisions>false</trackRevisions>
    </reviewItem>
    <reviewItem>
      <errorID>7f10cc1f-f280-41f9-ae8d-0b58b8d5c520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D3A20BE</paraID>
      <start>0</start>
      <end>2</end>
      <status>modified</status>
      <modifiedWord>1.</modifiedWord>
      <trackRevisions>false</trackRevisions>
    </reviewItem>
    <reviewItem>
      <errorID>c88b3364-0513-46b9-bafb-7b66277c5142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386B1020</paraID>
      <start>0</start>
      <end>2</end>
      <status>modified</status>
      <modifiedWord>2.</modifiedWord>
      <trackRevisions>false</trackRevisions>
    </reviewItem>
    <reviewItem>
      <errorID>c28fe038-e728-4dcc-a3b0-324ac86ee4a6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2728E565</paraID>
      <start>0</start>
      <end>2</end>
      <status>modified</status>
      <modifiedWord>3.</modifiedWord>
      <trackRevisions>false</trackRevisions>
    </reviewItem>
    <reviewItem>
      <errorID>6a9ab063-ea04-4d4f-b996-c029bcddc520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7EA672D2</paraID>
      <start>0</start>
      <end>2</end>
      <status>modified</status>
      <modifiedWord>1.</modifiedWord>
      <trackRevisions>false</trackRevisions>
    </reviewItem>
    <reviewItem>
      <errorID>7bd81a89-2390-4278-a011-aaec8a5b11c7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20DB6D4D</paraID>
      <start>0</start>
      <end>2</end>
      <status>modified</status>
      <modifiedWord>2.</modifiedWord>
      <trackRevisions>false</trackRevisions>
    </reviewItem>
    <reviewItem>
      <errorID>65dabe82-3ae2-403b-93f7-642047bb3740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49A574B9</paraID>
      <start>0</start>
      <end>2</end>
      <status>modified</status>
      <modifiedWord>3.</modifiedWord>
      <trackRevisions>false</trackRevisions>
    </reviewItem>
    <reviewItem>
      <errorID>87de1281-babc-4e7f-960f-6b70c8184982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3122AD1C</paraID>
      <start>0</start>
      <end>2</end>
      <status>modified</status>
      <modifiedWord>1.</modifiedWord>
      <trackRevisions>false</trackRevisions>
    </reviewItem>
    <reviewItem>
      <errorID>d854a191-51c5-402c-b968-688955afc871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6340D2A0</paraID>
      <start>0</start>
      <end>2</end>
      <status>modified</status>
      <modifiedWord>2.</modifiedWord>
      <trackRevisions>false</trackRevisions>
    </reviewItem>
    <reviewItem>
      <errorID>f4dbe3ad-3375-497a-ab5d-8fc0d5b049a1</errorID>
      <errorWord>其它</errorWord>
      <group>L1_Word</group>
      <groupName>字词问题</groupName>
      <ability>L2_Alias</ability>
      <abilityName>也作/曾用词</abilityName>
      <candidateList>
        <item>其他</item>
      </candidateList>
      <explain>词汇[其它]为不规范表述或旧称，其规范书面表述为[其他]。</explain>
      <paraID>6340D2A0</paraID>
      <start>53</start>
      <end>55</end>
      <status>ignored</status>
      <modifiedWord/>
      <trackRevisions>false</trackRevisions>
    </reviewItem>
    <reviewItem>
      <errorID>6f5a03ae-a5fa-4f65-8cf4-cd944a0c420f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5DA72E26</paraID>
      <start>0</start>
      <end>2</end>
      <status>modified</status>
      <modifiedWord>3.</modifiedWord>
      <trackRevisions>false</trackRevisions>
    </reviewItem>
    <reviewItem>
      <errorID>b9e84332-87f2-4cd9-90ab-14b6c0e8da17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794B9ED6</paraID>
      <start>0</start>
      <end>2</end>
      <status>modified</status>
      <modifiedWord>4.</modifiedWord>
      <trackRevisions>false</trackRevisions>
    </reviewItem>
    <reviewItem>
      <errorID>353ae1e9-c185-48ea-9745-6e93dcb8a501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4E5970</paraID>
      <start>0</start>
      <end>2</end>
      <status>modified</status>
      <modifiedWord>5.</modifiedWord>
      <trackRevisions>false</trackRevisions>
    </reviewItem>
    <reviewItem>
      <errorID>23fbf23b-e6d8-4f0a-99a8-25d28fb861d0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3A76AE69</paraID>
      <start>0</start>
      <end>2</end>
      <status>modified</status>
      <modifiedWord>6.</modifiedWord>
      <trackRevisions>false</trackRevisions>
    </reviewItem>
    <reviewItem>
      <errorID>c370333f-2f72-4c1b-9527-fd536e239b8a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764E0588</paraID>
      <start>0</start>
      <end>2</end>
      <status>modified</status>
      <modifiedWord>7.</modifiedWord>
      <trackRevisions>false</trackRevisions>
    </reviewItem>
    <reviewItem>
      <errorID>07052d7a-9314-4cf4-8744-57581c367f4a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2B70398A</paraID>
      <start>0</start>
      <end>2</end>
      <status>modified</status>
      <modifiedWord>8.</modifiedWord>
      <trackRevisions>false</trackRevisions>
    </reviewItem>
    <reviewItem>
      <errorID>113c7c78-34ea-4f76-a079-2954bbc3b822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6543EE6A</paraID>
      <start>0</start>
      <end>2</end>
      <status>modified</status>
      <modifiedWord>9.</modifiedWord>
      <trackRevisions>false</trackRevisions>
    </reviewItem>
    <reviewItem>
      <errorID>366f1ed9-1a2c-481c-8602-6cadecef6328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51DB5BDA</paraID>
      <start>0</start>
      <end>3</end>
      <status>modified</status>
      <modifiedWord>10.</modifiedWord>
      <trackRevisions>false</trackRevisions>
    </reviewItem>
    <reviewItem>
      <errorID>326adc84-5157-4a4a-b18d-6078ff18a644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3EE863F4</paraID>
      <start>0</start>
      <end>3</end>
      <status>modified</status>
      <modifiedWord>11.</modifiedWord>
      <trackRevisions>false</trackRevisions>
    </reviewItem>
    <reviewItem>
      <errorID>14e765ec-df6f-441b-baf1-054f4189c50e</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5DAFDD4F</paraID>
      <start>0</start>
      <end>3</end>
      <status>modified</status>
      <modifiedWord>12.</modifiedWord>
      <trackRevisions>false</trackRevisions>
    </reviewItem>
    <reviewItem>
      <errorID>8999c017-7d76-4896-86f2-b847f264b5a1</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7194475F</paraID>
      <start>0</start>
      <end>3</end>
      <status>modified</status>
      <modifiedWord>13.</modifiedWord>
      <trackRevisions>false</trackRevisions>
    </reviewItem>
    <reviewItem>
      <errorID>35da3d4e-8d10-47d3-be32-a7f77b46ed8e</errorID>
      <errorWord>日</errorWord>
      <group>L1_Word</group>
      <groupName>字词问题</groupName>
      <ability>L2_Typo</ability>
      <abilityName>字词错误</abilityName>
      <candidateList>
        <item>日内</item>
      </candidateList>
      <explain/>
      <paraID> A0DAF32</paraID>
      <start>87</start>
      <end>89</end>
      <status>modified</status>
      <modifiedWord>日内</modifiedWord>
      <trackRevisions>false</trackRevisions>
    </reviewItem>
    <reviewItem>
      <errorID>832c0ad8-0472-427d-9d12-9a59b9c985df</errorID>
      <errorWord>)</errorWord>
      <group>L1_Format</group>
      <groupName>格式问题</groupName>
      <ability>L2_HalfPunc</ability>
      <abilityName>全半角检查</abilityName>
      <candidateList>
        <item>）</item>
      </candidateList>
      <explain>文本全半角错误。</explain>
      <paraID>26CBB703</paraID>
      <start>99</start>
      <end>100</end>
      <status>modified</status>
      <modifiedWord>）</modifiedWord>
      <trackRevisions>false</trackRevisions>
    </reviewItem>
    <reviewItem>
      <errorID>b0552798-5053-475d-ab24-d720f69b2763</errorID>
      <errorWord>[2011]300号</errorWord>
      <group>L1_Knowledge</group>
      <groupName>知识性问题</groupName>
      <ability>L2_Knowledge</ability>
      <abilityName>其他知识</abilityName>
      <candidateList>
        <item>〔2011〕300号</item>
      </candidateList>
      <explain>发文字号格式错误。</explain>
      <paraID>7EAF5329</paraID>
      <start>35</start>
      <end>45</end>
      <status>modified</status>
      <modifiedWord>〔2011〕300号</modifiedWord>
      <trackRevisions>false</trackRevisions>
    </reviewItem>
    <reviewItem>
      <errorID>b0b957c2-fcda-489b-9614-ef2b64cd977d</errorID>
      <errorWord>须</errorWord>
      <group>L1_Word</group>
      <groupName>字词问题</groupName>
      <ability>L2_Typo</ability>
      <abilityName>字词错误</abilityName>
      <candidateList>
        <item>需</item>
      </candidateList>
      <explain>存在发音相同字词的误用。</explain>
      <paraID>7EAF5329</paraID>
      <start>82</start>
      <end>83</end>
      <status>ignored</status>
      <modifiedWord/>
      <trackRevisions>false</trackRevisions>
    </reviewItem>
    <reviewItem>
      <errorID>434517ba-5f9e-4bdb-af36-f7efb96fe2ae</errorID>
      <errorWord>，</errorWord>
      <group>L1_Word</group>
      <groupName>字词问题</groupName>
      <ability>L2_Typo</ability>
      <abilityName>字词错误</abilityName>
      <candidateList>
        <item>，在</item>
      </candidateList>
      <explain/>
      <paraID> B190DD2</paraID>
      <start>25</start>
      <end>27</end>
      <status>modified</status>
      <modifiedWord>，在</modifiedWord>
      <trackRevisions>false</trackRevisions>
    </reviewItem>
    <reviewItem>
      <errorID>e6e3feaa-ef2f-40f0-88f9-955bbf36f5a7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6CAAF9B2</paraID>
      <start>0</start>
      <end>2</end>
      <status>modified</status>
      <modifiedWord>8.</modifiedWord>
      <trackRevisions>false</trackRevisions>
    </reviewItem>
    <reviewItem>
      <errorID>8fd71b39-f150-4f38-9e22-c5b2aa1ce58f</errorID>
      <errorWord>，</errorWord>
      <group>L1_Word</group>
      <groupName>字词问题</groupName>
      <ability>L2_Typo</ability>
      <abilityName>字词错误</abilityName>
      <candidateList>
        <item>，在</item>
      </candidateList>
      <explain/>
      <paraID> 423C607</paraID>
      <start>47</start>
      <end>49</end>
      <status>modified</status>
      <modifiedWord>，在</modifiedWord>
      <trackRevisions>false</trackRevisions>
    </reviewItem>
    <reviewItem>
      <errorID>3c2f4442-c752-4463-9d79-d6c412363496</errorID>
      <errorWord>，</errorWord>
      <group>L1_Word</group>
      <groupName>字词问题</groupName>
      <ability>L2_Typo</ability>
      <abilityName>字词错误</abilityName>
      <candidateList>
        <item>，在</item>
      </candidateList>
      <explain/>
      <paraID>38F77C28</paraID>
      <start>25</start>
      <end>27</end>
      <status>modified</status>
      <modifiedWord>，在</modifiedWord>
      <trackRevisions>false</trackRevisions>
    </reviewItem>
    <reviewItem>
      <errorID>074abcc3-dee3-4311-8e8e-8d251795aad7</errorID>
      <errorWord>（</errorWord>
      <group>L1_Punc</group>
      <groupName>标点问题</groupName>
      <ability>L2_Punc</ability>
      <abilityName>标点符号检查</abilityName>
      <candidateList/>
      <explain>同一形式括号套用。</explain>
      <paraID>52A06910</paraID>
      <start>160</start>
      <end>161</end>
      <status>ignored</status>
      <modifiedWord/>
      <trackRevisions>false</trackRevisions>
    </reviewItem>
    <reviewItem>
      <errorID>be99e867-914c-4c41-831a-6ccc73b74099</errorID>
      <errorWord>）</errorWord>
      <group>L1_Punc</group>
      <groupName>标点问题</groupName>
      <ability>L2_Punc</ability>
      <abilityName>标点符号检查</abilityName>
      <candidateList/>
      <explain>同一形式括号套用。</explain>
      <paraID>52A06910</paraID>
      <start>178</start>
      <end>179</end>
      <status>ignored</status>
      <modifiedWord/>
      <trackRevisions>false</trackRevisions>
    </reviewItem>
    <reviewItem>
      <errorID>2efb4d8e-26a1-4df3-bed7-9ff05f78dbb9</errorID>
      <errorWord>（</errorWord>
      <group>L1_Punc</group>
      <groupName>标点问题</groupName>
      <ability>L2_Punc</ability>
      <abilityName>标点符号检查</abilityName>
      <candidateList/>
      <explain>同一形式括号套用。</explain>
      <paraID>52A06910</paraID>
      <start>179</start>
      <end>180</end>
      <status>ignored</status>
      <modifiedWord/>
      <trackRevisions>false</trackRevisions>
    </reviewItem>
    <reviewItem>
      <errorID>2b5366cf-65dd-4f6d-afbf-65ef51417089</errorID>
      <errorWord>）</errorWord>
      <group>L1_Punc</group>
      <groupName>标点问题</groupName>
      <ability>L2_Punc</ability>
      <abilityName>标点符号检查</abilityName>
      <candidateList/>
      <explain>同一形式括号套用。</explain>
      <paraID>52A06910</paraID>
      <start>197</start>
      <end>198</end>
      <status>ignored</status>
      <modifiedWord/>
      <trackRevisions>false</trackRevisions>
    </reviewItem>
    <reviewItem>
      <errorID>0cc0fb27-c5ea-4ccb-8984-7c5a74008ed2</errorID>
      <errorWord>（</errorWord>
      <group>L1_Punc</group>
      <groupName>标点问题</groupName>
      <ability>L2_Punc</ability>
      <abilityName>标点符号检查</abilityName>
      <candidateList/>
      <explain>同一形式括号套用。</explain>
      <paraID>52A06910</paraID>
      <start>222</start>
      <end>223</end>
      <status>ignored</status>
      <modifiedWord/>
      <trackRevisions>false</trackRevisions>
    </reviewItem>
    <reviewItem>
      <errorID>ac607ade-465f-4627-902a-defc698b0222</errorID>
      <errorWord>）</errorWord>
      <group>L1_Punc</group>
      <groupName>标点问题</groupName>
      <ability>L2_Punc</ability>
      <abilityName>标点符号检查</abilityName>
      <candidateList/>
      <explain>同一形式括号套用。</explain>
      <paraID>52A06910</paraID>
      <start>229</start>
      <end>230</end>
      <status>ignored</status>
      <modifiedWord/>
      <trackRevisions>false</trackRevisions>
    </reviewItem>
    <reviewItem>
      <errorID>ed23f872-74ff-49c8-a284-347d35689bf1</errorID>
      <errorWord>（</errorWord>
      <group>L1_Format</group>
      <groupName>格式问题</groupName>
      <ability>L2_HalfPunc</ability>
      <abilityName>全半角检查</abilityName>
      <candidateList>
        <item>(</item>
      </candidateList>
      <explain>文本全半角错误。</explain>
      <paraID>158AD45A</paraID>
      <start>4</start>
      <end>5</end>
      <status>modified</status>
      <modifiedWord>(</modifiedWord>
      <trackRevisions>false</trackRevisions>
    </reviewItem>
    <reviewItem>
      <errorID>e0414bed-5ea4-4af0-ab4a-0a1330b83bb4</errorID>
      <errorWord>）</errorWord>
      <group>L1_Format</group>
      <groupName>格式问题</groupName>
      <ability>L2_HalfPunc</ability>
      <abilityName>全半角检查</abilityName>
      <candidateList>
        <item>)</item>
      </candidateList>
      <explain>文本全半角错误。</explain>
      <paraID>158AD45A</paraID>
      <start>6</start>
      <end>7</end>
      <status>modified</status>
      <modifiedWord>)</modifiedWord>
      <trackRevisions>false</trackRevisions>
    </reviewItem>
    <reviewItem>
      <errorID>9eddc511-ea91-4561-8f5e-212bef6fa174</errorID>
      <errorWord>（</errorWord>
      <group>L1_Format</group>
      <groupName>格式问题</groupName>
      <ability>L2_HalfPunc</ability>
      <abilityName>全半角检查</abilityName>
      <candidateList>
        <item>(</item>
      </candidateList>
      <explain>文本全半角错误。</explain>
      <paraID>3F249F3C</paraID>
      <start>4</start>
      <end>5</end>
      <status>modified</status>
      <modifiedWord>(</modifiedWord>
      <trackRevisions>false</trackRevisions>
    </reviewItem>
    <reviewItem>
      <errorID>c6c717e0-c7fb-4d62-a995-9d4c0e94f155</errorID>
      <errorWord>）</errorWord>
      <group>L1_Format</group>
      <groupName>格式问题</groupName>
      <ability>L2_HalfPunc</ability>
      <abilityName>全半角检查</abilityName>
      <candidateList>
        <item>)</item>
      </candidateList>
      <explain>文本全半角错误。</explain>
      <paraID>3F249F3C</paraID>
      <start>6</start>
      <end>7</end>
      <status>modified</status>
      <modifiedWord>)</modifiedWord>
      <trackRevisions>false</trackRevisions>
    </reviewItem>
    <reviewItem>
      <errorID>1868b1df-3f8c-480d-b12a-721dba1caff8</errorID>
      <errorWord>作为在</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61633E9E</paraID>
      <start>29</start>
      <end>31</end>
      <status>modified</status>
      <modifiedWord>作为</modifiedWord>
      <trackRevisions>false</trackRevisions>
    </reviewItem>
    <reviewItem>
      <errorID>923f12a7-4529-4f89-bdac-efb10e8020f1</errorID>
      <errorWord>以下的</errorWord>
      <group>L1_Word</group>
      <groupName>字词问题</groupName>
      <ability>L2_Typo</ability>
      <abilityName>字词错误</abilityName>
      <candidateList>
        <item>以下</item>
      </candidateList>
      <explain/>
      <paraID>30FFF2A9</paraID>
      <start>40</start>
      <end>42</end>
      <status>modified</status>
      <modifiedWord>以下</modifiedWord>
      <trackRevisions>false</trackRevisions>
    </reviewItem>
    <reviewItem>
      <errorID>4545f022-db9e-437e-b465-aa2caef6425b</errorID>
      <errorWord>（</errorWord>
      <group>L1_Punc</group>
      <groupName>标点问题</groupName>
      <ability>L2_Punc</ability>
      <abilityName>标点符号检查</abilityName>
      <candidateList/>
      <explain>同一形式括号套用。</explain>
      <paraID>2716EF87</paraID>
      <start>93</start>
      <end>94</end>
      <status>ignored</status>
      <modifiedWord/>
      <trackRevisions>false</trackRevisions>
    </reviewItem>
    <reviewItem>
      <errorID>cab0e6c6-6ae4-4583-a55d-496a60c38193</errorID>
      <errorWord>）</errorWord>
      <group>L1_Punc</group>
      <groupName>标点问题</groupName>
      <ability>L2_Punc</ability>
      <abilityName>标点符号检查</abilityName>
      <candidateList/>
      <explain>同一形式括号套用。</explain>
      <paraID>2716EF87</paraID>
      <start>100</start>
      <end>101</end>
      <status>ignored</status>
      <modifiedWord/>
      <trackRevisions>false</trackRevisions>
    </reviewItem>
    <reviewItem>
      <errorID>9d57ce83-cb89-4f43-8de5-c718dc4d0da3</errorID>
      <errorWord>，</errorWord>
      <group>L1_Word</group>
      <groupName>字词问题</groupName>
      <ability>L2_Typo</ability>
      <abilityName>字词错误</abilityName>
      <candidateList>
        <item>，使</item>
      </candidateList>
      <explain/>
      <paraID>412D1421</paraID>
      <start>32</start>
      <end>34</end>
      <status>modified</status>
      <modifiedWord>，使</modifiedWord>
      <trackRevisions>false</trackRevisions>
    </reviewItem>
    <reviewItem>
      <errorID>c7fdd205-716c-4b90-8dce-2113e7ce7f23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346B75C6</paraID>
      <start>15</start>
      <end>17</end>
      <status>modified</status>
      <modifiedWord>”“</modifiedWord>
      <trackRevisions>false</trackRevisions>
    </reviewItem>
    <reviewItem>
      <errorID>5dcf0c13-bdec-4d0b-b46a-5b8bd0cf4602</errorID>
      <errorWord>法律、法规</errorWord>
      <group>L1_Word</group>
      <groupName>字词问题</groupName>
      <ability>L2_Typo</ability>
      <abilityName>字词错误</abilityName>
      <candidateList>
        <item>法律法规</item>
      </candidateList>
      <explain/>
      <paraID>3670CF45</paraID>
      <start>25</start>
      <end>29</end>
      <status>modified</status>
      <modifiedWord>法律法规</modifiedWord>
      <trackRevisions>false</trackRevisions>
    </reviewItem>
    <reviewItem>
      <errorID>b1d0afb1-9591-44c3-90df-8be893673316</errorID>
      <errorWord>操作合</errorWord>
      <group>L1_Word</group>
      <groupName>字词问题</groupName>
      <ability>L2_Typo</ability>
      <abilityName>字词错误</abilityName>
      <candidateList>
        <item>操作台</item>
      </candidateList>
      <explain/>
      <paraID>647B9595</paraID>
      <start>9</start>
      <end>12</end>
      <status>ignored</status>
      <modifiedWord/>
      <trackRevisions>false</trackRevisions>
    </reviewItem>
    <reviewItem>
      <errorID>418b7b2d-62fa-4d20-b135-1a146d30410e</errorID>
      <errorWord>间</errorWord>
      <group>L1_Word</group>
      <groupName>字词问题</groupName>
      <ability>L2_Typo</ability>
      <abilityName>字词错误</abilityName>
      <candidateList>
        <item>间之</item>
      </candidateList>
      <explain/>
      <paraID>4BDC8C5F</paraID>
      <start>39</start>
      <end>40</end>
      <status>ignored</status>
      <modifiedWord/>
      <trackRevisions>false</trackRevisions>
    </reviewItem>
    <reviewItem>
      <errorID>ebd797ee-acf5-48be-96d0-d5c182eea41d</errorID>
      <errorWord>会</errorWord>
      <group>L1_Word</group>
      <groupName>字词问题</groupName>
      <ability>L2_Typo</ability>
      <abilityName>字词错误</abilityName>
      <candidateList>
        <item>会在</item>
      </candidateList>
      <explain/>
      <paraID>679272A3</paraID>
      <start>13</start>
      <end>15</end>
      <status>modified</status>
      <modifiedWord>会在</modifiedWord>
      <trackRevisions>false</trackRevisions>
    </reviewItem>
    <reviewItem>
      <errorID>436dca3e-7bed-42ca-a510-02ed480e0b88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1CFCF30E</paraID>
      <start>39</start>
      <end>40</end>
      <status>ignored</status>
      <modifiedWord/>
      <trackRevisions>false</trackRevisions>
    </reviewItem>
    <reviewItem>
      <errorID>d452547c-c981-4cb3-b403-abf8f2c53ae9</errorID>
      <errorWord>（2002）1980号</errorWord>
      <group>L1_Knowledge</group>
      <groupName>知识性问题</groupName>
      <ability>L2_Knowledge</ability>
      <abilityName>其他知识</abilityName>
      <candidateList>
        <item>〔2002〕1980号</item>
      </candidateList>
      <explain>发文字号格式错误。</explain>
      <paraID>1CFCF30E</paraID>
      <start>43</start>
      <end>54</end>
      <status>modified</status>
      <modifiedWord>〔2002〕1980号</modifiedWord>
      <trackRevisions>false</trackRevisions>
    </reviewItem>
    <reviewItem>
      <errorID>bfdfdb23-b03f-47aa-bd66-8715b0379ac9</errorID>
      <errorWord>[2011]534号</errorWord>
      <group>L1_Knowledge</group>
      <groupName>知识性问题</groupName>
      <ability>L2_Knowledge</ability>
      <abilityName>其他知识</abilityName>
      <candidateList>
        <item>〔2011〕534号</item>
      </candidateList>
      <explain>发文字号格式错误。</explain>
      <paraID>1CFCF30E</paraID>
      <start>97</start>
      <end>107</end>
      <status>modified</status>
      <modifiedWord>〔2011〕534号</modifiedWord>
      <trackRevisions>false</trackRevisions>
    </reviewItem>
    <reviewItem>
      <errorID>d9b9fe1c-751d-426e-8c43-85c2f99203a0</errorID>
      <errorWord>亿</errorWord>
      <group>L1_Word</group>
      <groupName>字词问题</groupName>
      <ability>L2_Typo</ability>
      <abilityName>字词错误</abilityName>
      <candidateList>
        <item>亿元</item>
      </candidateList>
      <explain/>
      <paraID>5F869DB7</paraID>
      <start>3</start>
      <end>5</end>
      <status>modified</status>
      <modifiedWord>亿元</modifiedWord>
      <trackRevisions>false</trackRevisions>
    </reviewItem>
    <reviewItem>
      <errorID>0242ad12-45a6-4790-85f2-baa535477b65</errorID>
      <errorWord>可附件</errorWord>
      <group>L1_Word</group>
      <groupName>字词问题</groupName>
      <ability>L2_Typo</ability>
      <abilityName>字词错误</abilityName>
      <candidateList>
        <item>见附件</item>
      </candidateList>
      <explain/>
      <paraID>6076C8AD</paraID>
      <start>98</start>
      <end>101</end>
      <status>modified</status>
      <modifiedWord>见附件</modifiedWord>
      <trackRevisions>false</trackRevisions>
    </reviewItem>
    <reviewItem>
      <errorID>82fbc463-efa1-4a1d-81e4-15264218a02b</errorID>
      <errorWord>法律、法规</errorWord>
      <group>L1_Word</group>
      <groupName>字词问题</groupName>
      <ability>L2_Typo</ability>
      <abilityName>字词错误</abilityName>
      <candidateList>
        <item>法律法规</item>
      </candidateList>
      <explain/>
      <paraID>573C2DF9</paraID>
      <start>0</start>
      <end>4</end>
      <status>modified</status>
      <modifiedWord>法律法规</modifiedWord>
      <trackRevisions>false</trackRevisions>
    </reviewItem>
    <reviewItem>
      <errorID>e33ec614-850f-4a13-912d-fbe2f9f844d2</errorID>
      <errorWord>法律、法规</errorWord>
      <group>L1_Word</group>
      <groupName>字词问题</groupName>
      <ability>L2_Typo</ability>
      <abilityName>字词错误</abilityName>
      <candidateList>
        <item>法律法规</item>
      </candidateList>
      <explain/>
      <paraID>5C44BBE3</paraID>
      <start>3</start>
      <end>7</end>
      <status>modified</status>
      <modifiedWord>法律法规</modifiedWord>
      <trackRevisions>false</trackRevisions>
    </reviewItem>
    <reviewItem>
      <errorID>5ff77236-bb65-45b6-b19e-6dc472badb94</errorID>
      <errorWord>-</errorWord>
      <group>L1_Format</group>
      <groupName>格式问题</groupName>
      <ability>L2_HalfPunc</ability>
      <abilityName>全半角检查</abilityName>
      <candidateList>
        <item>－</item>
      </candidateList>
      <explain>文本全半角错误。</explain>
      <paraID>1B69EDBB</paraID>
      <start>20</start>
      <end>21</end>
      <status>modified</status>
      <modifiedWord>－</modifiedWord>
      <trackRevisions>false</trackRevisions>
    </reviewItem>
    <reviewItem>
      <errorID>6cb6e8a6-acb1-4dd7-9cd9-3dcdfe7cf8aa</errorID>
      <errorWord>做出</errorWord>
      <group>L1_Word</group>
      <groupName>字词问题</groupName>
      <ability>L2_Typo</ability>
      <abilityName>字词错误</abilityName>
      <candidateList>
        <item>作出</item>
      </candidateList>
      <explain/>
      <paraID>10CF23DE</paraID>
      <start>116</start>
      <end>118</end>
      <status>modified</status>
      <modifiedWord>作出</modifiedWord>
      <trackRevisions>false</trackRevisions>
    </reviewItem>
    <reviewItem>
      <errorID>e315982e-7500-4482-82d2-ff534aad0d2f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79DB9270</paraID>
      <start>23</start>
      <end>24</end>
      <status>ignored</status>
      <modifiedWord/>
      <trackRevisions>false</trackRevisions>
    </reviewItem>
    <reviewItem>
      <errorID>b128942b-9dea-437b-9817-7fb5f348744b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4E49A261</paraID>
      <start>137</start>
      <end>138</end>
      <status>ignored</status>
      <modifiedWord/>
      <trackRevisions>false</trackRevisions>
    </reviewItem>
    <reviewItem>
      <errorID>5ac2f2b6-ca7c-419b-959f-b02367d5ad06</errorID>
      <errorWord>:</errorWord>
      <group>L1_Format</group>
      <groupName>格式问题</groupName>
      <ability>L2_HalfPunc</ability>
      <abilityName>全半角检查</abilityName>
      <candidateList>
        <item>：</item>
      </candidateList>
      <explain>文本全半角错误。</explain>
      <paraID>164020CF</paraID>
      <start>4</start>
      <end>5</end>
      <status>modified</status>
      <modifiedWord>：</modifiedWord>
      <trackRevisions>false</trackRevisions>
    </reviewItem>
    <reviewItem>
      <errorID>f004a132-c585-43af-9950-9e5d2f1164a3</errorID>
      <errorWord>(</errorWord>
      <group>L1_Format</group>
      <groupName>格式问题</groupName>
      <ability>L2_HalfPunc</ability>
      <abilityName>全半角检查</abilityName>
      <candidateList>
        <item>（</item>
      </candidateList>
      <explain>文本全半角错误。</explain>
      <paraID>164020CF</paraID>
      <start>38</start>
      <end>39</end>
      <status>modified</status>
      <modifiedWord>（</modifiedWord>
      <trackRevisions>false</trackRevisions>
    </reviewItem>
    <reviewItem>
      <errorID>52c6d2f1-c038-4e84-8428-a9459f707303</errorID>
      <errorWord>)</errorWord>
      <group>L1_Format</group>
      <groupName>格式问题</groupName>
      <ability>L2_HalfPunc</ability>
      <abilityName>全半角检查</abilityName>
      <candidateList>
        <item>）</item>
      </candidateList>
      <explain>文本全半角错误。</explain>
      <paraID>164020CF</paraID>
      <start>41</start>
      <end>42</end>
      <status>modified</status>
      <modifiedWord>）</modifiedWord>
      <trackRevisions>false</trackRevisions>
    </reviewItem>
    <reviewItem>
      <errorID>b49531eb-5a05-47fc-bf10-fc29649c629c</errorID>
      <errorWord>:</errorWord>
      <group>L1_Format</group>
      <groupName>格式问题</groupName>
      <ability>L2_HalfPunc</ability>
      <abilityName>全半角检查</abilityName>
      <candidateList>
        <item>：</item>
      </candidateList>
      <explain>文本全半角错误。</explain>
      <paraID>682A193E</paraID>
      <start>5</start>
      <end>6</end>
      <status>modified</status>
      <modifiedWord>：</modifiedWord>
      <trackRevisions>false</trackRevisions>
    </reviewItem>
    <reviewItem>
      <errorID>47a2ddc6-bd75-47ea-9675-fc1d08bf4237</errorID>
      <errorWord>只是</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62CCE826</paraID>
      <start>32</start>
      <end>33</end>
      <status>modified</status>
      <modifiedWord>只</modifiedWord>
      <trackRevisions>false</trackRevisions>
    </reviewItem>
    <reviewItem>
      <errorID>776894f0-0db8-40ce-9af3-8d9c398cdd38</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7C3D2D7D</paraID>
      <start>186</start>
      <end>193</end>
      <status>modified</status>
      <modifiedWord>10%—20%</modifiedWord>
      <trackRevisions>false</trackRevisions>
    </reviewItem>
    <reviewItem>
      <errorID>88070a2c-2ea9-4689-aac1-23e36dcea44d</errorID>
      <errorWord>(</errorWord>
      <group>L1_Format</group>
      <groupName>格式问题</groupName>
      <ability>L2_HalfPunc</ability>
      <abilityName>全半角检查</abilityName>
      <candidateList>
        <item>（</item>
      </candidateList>
      <explain>文本全半角错误。</explain>
      <paraID>48F5798A</paraID>
      <start>131</start>
      <end>132</end>
      <status>modified</status>
      <modifiedWord>（</modifiedWord>
      <trackRevisions>false</trackRevisions>
    </reviewItem>
    <reviewItem>
      <errorID>4b131192-5a71-4e8d-94db-311e3fb8c2a5</errorID>
      <errorWord>)</errorWord>
      <group>L1_Format</group>
      <groupName>格式问题</groupName>
      <ability>L2_HalfPunc</ability>
      <abilityName>全半角检查</abilityName>
      <candidateList>
        <item>）</item>
      </candidateList>
      <explain>文本全半角错误。</explain>
      <paraID>48F5798A</paraID>
      <start>141</start>
      <end>142</end>
      <status>modified</status>
      <modifiedWord>）</modifiedWord>
      <trackRevisions>false</trackRevisions>
    </reviewItem>
    <reviewItem>
      <errorID>fe330c02-02a7-4760-9451-f8b51d2538e3</errorID>
      <errorWord>(</errorWord>
      <group>L1_Format</group>
      <groupName>格式问题</groupName>
      <ability>L2_HalfPunc</ability>
      <abilityName>全半角检查</abilityName>
      <candidateList>
        <item>（</item>
      </candidateList>
      <explain>文本全半角错误。</explain>
      <paraID>346308D8</paraID>
      <start>4</start>
      <end>5</end>
      <status>modified</status>
      <modifiedWord>（</modifiedWord>
      <trackRevisions>false</trackRevisions>
    </reviewItem>
    <reviewItem>
      <errorID>af65ccd5-c3d6-4742-9e18-db8cc90fe9a8</errorID>
      <errorWord>)</errorWord>
      <group>L1_Format</group>
      <groupName>格式问题</groupName>
      <ability>L2_HalfPunc</ability>
      <abilityName>全半角检查</abilityName>
      <candidateList>
        <item>）</item>
      </candidateList>
      <explain>文本全半角错误。</explain>
      <paraID>346308D8</paraID>
      <start>15</start>
      <end>16</end>
      <status>modified</status>
      <modifiedWord>）</modifiedWord>
      <trackRevisions>false</trackRevisions>
    </reviewItem>
    <reviewItem>
      <errorID>266ce2f1-64d8-41e5-90bf-9021f43817e9</errorID>
      <errorWord>操作合</errorWord>
      <group>L1_Word</group>
      <groupName>字词问题</groupName>
      <ability>L2_Typo</ability>
      <abilityName>字词错误</abilityName>
      <candidateList>
        <item>操作台</item>
      </candidateList>
      <explain/>
      <paraID>63FF5883</paraID>
      <start>101</start>
      <end>104</end>
      <status>ignored</status>
      <modifiedWord/>
      <trackRevisions>false</trackRevisions>
    </reviewItem>
    <reviewItem>
      <errorID>0688bd05-e917-4c25-854a-25d7eada594a</errorID>
      <errorWord>操作合</errorWord>
      <group>L1_Word</group>
      <groupName>字词问题</groupName>
      <ability>L2_Typo</ability>
      <abilityName>字词错误</abilityName>
      <candidateList>
        <item>操作台</item>
      </candidateList>
      <explain/>
      <paraID>55F38051</paraID>
      <start>186</start>
      <end>189</end>
      <status>ignored</status>
      <modifiedWord/>
      <trackRevisions>false</trackRevisions>
    </reviewItem>
    <reviewItem>
      <errorID>008b33c1-2d33-4e62-856f-0d2bc7b8c69f</errorID>
      <errorWord>其它对</errorWord>
      <group>L1_Word</group>
      <groupName>字词问题</groupName>
      <ability>L2_Alias</ability>
      <abilityName>也作/曾用词</abilityName>
      <candidateList>
        <item>其他对</item>
      </candidateList>
      <explain>词汇[其它对]为不规范表述或旧称，其规范书面表述为[其他对]。</explain>
      <paraID>1C54AF78</paraID>
      <start>96</start>
      <end>99</end>
      <status>ignored</status>
      <modifiedWord/>
      <trackRevisions>false</trackRevisions>
    </reviewItem>
    <reviewItem>
      <errorID>f2746a40-93a4-48e8-b05b-0279890f9b30</errorID>
      <errorWord>有利的措施</errorWord>
      <group>L1_Word</group>
      <groupName>字词问题</groupName>
      <ability>L2_Typo</ability>
      <abilityName>字词错误</abilityName>
      <candidateList>
        <item>有力的措施</item>
      </candidateList>
      <explain/>
      <paraID>1C54AF78</paraID>
      <start>103</start>
      <end>108</end>
      <status>ignored</status>
      <modifiedWord/>
      <trackRevisions>false</trackRevisions>
    </reviewItem>
    <reviewItem>
      <errorID>e5ed6459-4f6d-4e6f-b205-7483aff59230</errorID>
      <errorWord>详实</errorWord>
      <group>L1_Word</group>
      <groupName>字词问题</groupName>
      <ability>L2_Typo</ability>
      <abilityName>字词错误</abilityName>
      <candidateList>
        <item>翔实</item>
      </candidateList>
      <explain/>
      <paraID>4F166F6B</paraID>
      <start>42</start>
      <end>44</end>
      <status>ignored</status>
      <modifiedWord/>
      <trackRevisions>false</trackRevisions>
    </reviewItem>
    <reviewItem>
      <errorID>87f1d70c-9137-4d6c-ada6-0be3ed062639</errorID>
      <errorWord>与物资储备</errorWord>
      <group>L1_Word</group>
      <groupName>字词问题</groupName>
      <ability>L2_Typo</ability>
      <abilityName>字词错误</abilityName>
      <candidateList>
        <item>和物资储备</item>
      </candidateList>
      <explain/>
      <paraID>4E587444</paraID>
      <start>67</start>
      <end>72</end>
      <status>ignored</status>
      <modifiedWord/>
      <trackRevisions>false</trackRevisions>
    </reviewItem>
    <reviewItem>
      <errorID>3b8fa992-1b0d-423b-a7cd-ebe3e377f254</errorID>
      <errorWord>:</errorWord>
      <group>L1_Format</group>
      <groupName>格式问题</groupName>
      <ability>L2_HalfPunc</ability>
      <abilityName>全半角检查</abilityName>
      <candidateList>
        <item>：</item>
      </candidateList>
      <explain>文本全半角错误。</explain>
      <paraID>20C2CA78</paraID>
      <start>7</start>
      <end>8</end>
      <status>modified</status>
      <modifiedWord>：</modifiedWord>
      <trackRevisions>false</trackRevisions>
    </reviewItem>
    <reviewItem>
      <errorID>5b553a5f-5443-47ac-a472-fe8ba6b3bab3</errorID>
      <errorWord>(</errorWord>
      <group>L1_Format</group>
      <groupName>格式问题</groupName>
      <ability>L2_HalfPunc</ability>
      <abilityName>全半角检查</abilityName>
      <candidateList>
        <item>（</item>
      </candidateList>
      <explain>文本全半角错误。</explain>
      <paraID>62476ABF</paraID>
      <start>24</start>
      <end>25</end>
      <status>modified</status>
      <modifiedWord>（</modifiedWord>
      <trackRevisions>false</trackRevisions>
    </reviewItem>
    <reviewItem>
      <errorID>b3af43b2-e137-48e7-9d94-70e59ea9d921</errorID>
      <errorWord>)</errorWord>
      <group>L1_Format</group>
      <groupName>格式问题</groupName>
      <ability>L2_HalfPunc</ability>
      <abilityName>全半角检查</abilityName>
      <candidateList>
        <item>）</item>
      </candidateList>
      <explain>文本全半角错误。</explain>
      <paraID>62476ABF</paraID>
      <start>27</start>
      <end>28</end>
      <status>modified</status>
      <modifiedWord>）</modifiedWord>
      <trackRevisions>false</trackRevisions>
    </reviewItem>
    <reviewItem>
      <errorID>9d857196-5b99-4dc6-aac2-c806fedfcaa9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320EDA0B</paraID>
      <start>15</start>
      <end>17</end>
      <status>modified</status>
      <modifiedWord>》《</modifiedWord>
      <trackRevisions>false</trackRevisions>
    </reviewItem>
    <reviewItem>
      <errorID>f505fb74-3e91-4011-8f5c-49db6beba9ac</errorID>
      <errorWord>法律、法规</errorWord>
      <group>L1_Word</group>
      <groupName>字词问题</groupName>
      <ability>L2_Typo</ability>
      <abilityName>字词错误</abilityName>
      <candidateList>
        <item>法律法规</item>
      </candidateList>
      <explain/>
      <paraID>320EDA0B</paraID>
      <start>29</start>
      <end>33</end>
      <status>modified</status>
      <modifiedWord>法律法规</modifiedWord>
      <trackRevisions>false</trackRevisions>
    </reviewItem>
    <reviewItem>
      <errorID>ac012b98-7677-43f0-af58-4148b5eb76ec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36D6D905</paraID>
      <start>0</start>
      <end>2</end>
      <status>modified</status>
      <modifiedWord>1.</modifiedWord>
      <trackRevisions>false</trackRevisions>
    </reviewItem>
    <reviewItem>
      <errorID>87985fd8-a6bb-4ebb-a2e6-5e980ac0cb7b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45D58AAE</paraID>
      <start>0</start>
      <end>2</end>
      <status>modified</status>
      <modifiedWord>2.</modifiedWord>
      <trackRevisions>false</trackRevisions>
    </reviewItem>
    <reviewItem>
      <errorID>01dd6f06-f7e8-4b91-bc8f-958c552b4e18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5B74A4ED</paraID>
      <start>0</start>
      <end>2</end>
      <status>modified</status>
      <modifiedWord>1.</modifiedWord>
      <trackRevisions>false</trackRevisions>
    </reviewItem>
    <reviewItem>
      <errorID>ae324821-063a-4672-981b-ab04ef19e608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53F1BB51</paraID>
      <start>0</start>
      <end>2</end>
      <status>modified</status>
      <modifiedWord>2.</modifiedWord>
      <trackRevisions>false</trackRevisions>
    </reviewItem>
    <reviewItem>
      <errorID>03511e24-1f4d-4c23-b299-c166b372c475</errorID>
      <errorWord>因为</errorWord>
      <group>L1_Word</group>
      <groupName>字词问题</groupName>
      <ability>L2_Typo</ability>
      <abilityName>字词错误</abilityName>
      <candidateList>
        <item>因</item>
      </candidateList>
      <explain/>
      <paraID>53F1BB51</paraID>
      <start>118</start>
      <end>119</end>
      <status>modified</status>
      <modifiedWord>因</modifiedWord>
      <trackRevisions>false</trackRevisions>
    </reviewItem>
    <reviewItem>
      <errorID>ee974029-5ca4-43cb-8bdc-fe78c6d1e919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53D8D2DF</paraID>
      <start>0</start>
      <end>2</end>
      <status>modified</status>
      <modifiedWord>2.</modifiedWord>
      <trackRevisions>false</trackRevisions>
    </reviewItem>
    <reviewItem>
      <errorID>7bb2c201-0d34-4a30-8849-df5a47d5df9f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15178F14</paraID>
      <start>0</start>
      <end>2</end>
      <status>modified</status>
      <modifiedWord>3.</modifiedWord>
      <trackRevisions>false</trackRevisions>
    </reviewItem>
    <reviewItem>
      <errorID>ec375666-16e5-430d-9875-44ef62d8a176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37A2E175</paraID>
      <start>0</start>
      <end>2</end>
      <status>modified</status>
      <modifiedWord>4.</modifiedWord>
      <trackRevisions>false</trackRevisions>
    </reviewItem>
    <reviewItem>
      <errorID>defc0674-0102-4b4e-9ff7-2df830ceca2b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17065AF2</paraID>
      <start>0</start>
      <end>2</end>
      <status>modified</status>
      <modifiedWord>5.</modifiedWord>
      <trackRevisions>false</trackRevisions>
    </reviewItem>
    <reviewItem>
      <errorID>632f0eb3-3fba-415d-bebf-4fda6202aa7a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458821EB</paraID>
      <start>0</start>
      <end>2</end>
      <status>modified</status>
      <modifiedWord>6.</modifiedWord>
      <trackRevisions>false</trackRevisions>
    </reviewItem>
    <reviewItem>
      <errorID>cb458ed3-23f5-4893-803a-6182cb87c941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2FE25403</paraID>
      <start>0</start>
      <end>2</end>
      <status>modified</status>
      <modifiedWord>7.</modifiedWord>
      <trackRevisions>false</trackRevisions>
    </reviewItem>
    <reviewItem>
      <errorID>476497c3-5d3f-4d17-9502-4994efc13b10</errorID>
      <errorWord>方</errorWord>
      <group>L1_Word</group>
      <groupName>字词问题</groupName>
      <ability>L2_Typo</ability>
      <abilityName>字词错误</abilityName>
      <candidateList>
        <item>方在</item>
      </candidateList>
      <explain/>
      <paraID>2FE25403</paraID>
      <start>3</start>
      <end>5</end>
      <status>modified</status>
      <modifiedWord>方在</modifiedWord>
      <trackRevisions>false</trackRevisions>
    </reviewItem>
    <reviewItem>
      <errorID>28bfd808-aafa-4b5c-89ec-45171554a003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1543B015</paraID>
      <start>0</start>
      <end>2</end>
      <status>modified</status>
      <modifiedWord>1.</modifiedWord>
      <trackRevisions>false</trackRevisions>
    </reviewItem>
    <reviewItem>
      <errorID>72b4ea14-9fdc-4aec-bfe1-806540a3f051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CE5991B</paraID>
      <start>0</start>
      <end>2</end>
      <status>modified</status>
      <modifiedWord>2.</modifiedWord>
      <trackRevisions>false</trackRevisions>
    </reviewItem>
    <reviewItem>
      <errorID>72b2120e-75c1-4c7d-82db-65147bd84ee7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7A354DCD</paraID>
      <start>0</start>
      <end>2</end>
      <status>modified</status>
      <modifiedWord>3.</modifiedWord>
      <trackRevisions>false</trackRevisions>
    </reviewItem>
    <reviewItem>
      <errorID>e31c2aae-bea5-4fbd-a667-cccebc458ba9</errorID>
      <errorWord>。</errorWord>
      <group>L1_Format</group>
      <groupName>格式问题</groupName>
      <ability>L2_HalfPunc</ability>
      <abilityName>全半角检查</abilityName>
      <candidateList>
        <item>.</item>
      </candidateList>
      <explain>文本全半角错误。</explain>
      <paraID>6A9BA88F</paraID>
      <start>16</start>
      <end>17</end>
      <status>modified</status>
      <modifiedWord>.</modifiedWord>
      <trackRevisions>false</trackRevisions>
    </reviewItem>
    <reviewItem>
      <errorID>590d9675-21ce-4951-a9da-055ed02fefa8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4B5F696D</paraID>
      <start>0</start>
      <end>2</end>
      <status>modified</status>
      <modifiedWord>2.</modifiedWord>
      <trackRevisions>false</trackRevisions>
    </reviewItem>
    <reviewItem>
      <errorID>bb3b6464-3d7b-45c5-834e-d344c9d32a33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53C0AAC7</paraID>
      <start>0</start>
      <end>2</end>
      <status>modified</status>
      <modifiedWord>1.</modifiedWord>
      <trackRevisions>false</trackRevisions>
    </reviewItem>
    <reviewItem>
      <errorID>3a704480-d7cf-423a-8e0e-b65945925a74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694987BD</paraID>
      <start>0</start>
      <end>2</end>
      <status>modified</status>
      <modifiedWord>2.</modifiedWord>
      <trackRevisions>false</trackRevisions>
    </reviewItem>
    <reviewItem>
      <errorID>96a12027-227c-43e5-a123-97b041a02381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61E85241</paraID>
      <start>0</start>
      <end>2</end>
      <status>modified</status>
      <modifiedWord>3.</modifiedWord>
      <trackRevisions>false</trackRevisions>
    </reviewItem>
    <reviewItem>
      <errorID>0f9dfc2e-fb56-42a1-8ffd-cf5dbfe3f4c9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4798C719</paraID>
      <start>0</start>
      <end>2</end>
      <status>modified</status>
      <modifiedWord>1.</modifiedWord>
      <trackRevisions>false</trackRevisions>
    </reviewItem>
    <reviewItem>
      <errorID>1dfcfcab-3b47-4ec2-8878-4fb3a31add59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363CA013</paraID>
      <start>0</start>
      <end>2</end>
      <status>modified</status>
      <modifiedWord>2.</modifiedWord>
      <trackRevisions>false</trackRevisions>
    </reviewItem>
    <reviewItem>
      <errorID>e3f9e44f-9886-45b9-a0ff-f097664a1bb6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ED380FF</paraID>
      <start>0</start>
      <end>2</end>
      <status>modified</status>
      <modifiedWord>3.</modifiedWord>
      <trackRevisions>false</trackRevisions>
    </reviewItem>
    <reviewItem>
      <errorID>b836360a-82a1-489f-8358-352db9778efb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35BFC106</paraID>
      <start>0</start>
      <end>2</end>
      <status>modified</status>
      <modifiedWord>1.</modifiedWord>
      <trackRevisions>false</trackRevisions>
    </reviewItem>
    <reviewItem>
      <errorID>3143b5ef-b75e-454f-8ad0-81001adafe12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39B84A1A</paraID>
      <start>0</start>
      <end>2</end>
      <status>modified</status>
      <modifiedWord>2.</modifiedWord>
      <trackRevisions>false</trackRevisions>
    </reviewItem>
    <reviewItem>
      <errorID>76d20572-f604-4bdc-8b16-e0daa0bff8b6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110B4900</paraID>
      <start>0</start>
      <end>2</end>
      <status>modified</status>
      <modifiedWord>3.</modifiedWord>
      <trackRevisions>false</trackRevisions>
    </reviewItem>
    <reviewItem>
      <errorID>3714faa5-6538-42e7-9e6d-cbb380ebb107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389F5B97</paraID>
      <start>0</start>
      <end>2</end>
      <status>modified</status>
      <modifiedWord>1.</modifiedWord>
      <trackRevisions>false</trackRevisions>
    </reviewItem>
    <reviewItem>
      <errorID>9381c924-84b9-4822-80e8-96fa0788f7b0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1D3BB8B8</paraID>
      <start>0</start>
      <end>2</end>
      <status>modified</status>
      <modifiedWord>2.</modifiedWord>
      <trackRevisions>false</trackRevisions>
    </reviewItem>
    <reviewItem>
      <errorID>d65de4a9-f5af-4c8b-851a-41ea9ab290f4</errorID>
      <errorWord>签</errorWord>
      <group>L1_Word</group>
      <groupName>字词问题</groupName>
      <ability>L2_Typo</ability>
      <abilityName>字词错误</abilityName>
      <candidateList>
        <item>签订</item>
      </candidateList>
      <explain>〈动〉订立条约或合同并签字：两国～了贸易议定书和支付协定。</explain>
      <paraID>1D3BB8B8</paraID>
      <start>36</start>
      <end>38</end>
      <status>modified</status>
      <modifiedWord>签订</modifiedWord>
      <trackRevisions>false</trackRevisions>
    </reviewItem>
    <reviewItem>
      <errorID>b8fa1f0a-8f7d-4046-9d06-f993b02280d0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A0F20F0</paraID>
      <start>0</start>
      <end>2</end>
      <status>modified</status>
      <modifiedWord>3.</modifiedWord>
      <trackRevisions>false</trackRevisions>
    </reviewItem>
    <reviewItem>
      <errorID>fac67a02-3d85-4124-8998-f37b98499a33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2E798E37</paraID>
      <start>0</start>
      <end>2</end>
      <status>modified</status>
      <modifiedWord>1.</modifiedWord>
      <trackRevisions>false</trackRevisions>
    </reviewItem>
    <reviewItem>
      <errorID>3eddeec1-685a-41f6-892c-530e808b74e0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55A9D67F</paraID>
      <start>0</start>
      <end>2</end>
      <status>modified</status>
      <modifiedWord>2.</modifiedWord>
      <trackRevisions>false</trackRevisions>
    </reviewItem>
    <reviewItem>
      <errorID>970c901c-16d1-4df2-9fc2-99c262e1b4b3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C38C560</paraID>
      <start>0</start>
      <end>2</end>
      <status>modified</status>
      <modifiedWord>1.</modifiedWord>
      <trackRevisions>false</trackRevisions>
    </reviewItem>
    <reviewItem>
      <errorID>356f7880-3a34-4a05-a422-cf7c381f9f9d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3B5B5260</paraID>
      <start>0</start>
      <end>2</end>
      <status>modified</status>
      <modifiedWord>2.</modifiedWord>
      <trackRevisions>false</trackRevisions>
    </reviewItem>
    <reviewItem>
      <errorID>b4631f4b-8181-4453-8c98-287e79ff74fe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63F980F4</paraID>
      <start>0</start>
      <end>2</end>
      <status>modified</status>
      <modifiedWord>3.</modifiedWord>
      <trackRevisions>false</trackRevisions>
    </reviewItem>
    <reviewItem>
      <errorID>640c1b22-79eb-47a1-8b90-0d2fb2fccefa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3435B41F</paraID>
      <start>0</start>
      <end>2</end>
      <status>modified</status>
      <modifiedWord>4.</modifiedWord>
      <trackRevisions>false</trackRevisions>
    </reviewItem>
    <reviewItem>
      <errorID>b464c1f9-849b-48de-a0bd-426370218c89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68158774</paraID>
      <start>0</start>
      <end>2</end>
      <status>modified</status>
      <modifiedWord>5.</modifiedWord>
      <trackRevisions>false</trackRevisions>
    </reviewItem>
    <reviewItem>
      <errorID>5a4febb0-527e-44bc-b4d9-ee0a18005594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69279FE6</paraID>
      <start>0</start>
      <end>2</end>
      <status>modified</status>
      <modifiedWord>6.</modifiedWord>
      <trackRevisions>false</trackRevisions>
    </reviewItem>
    <reviewItem>
      <errorID>c72fb00d-6f89-4da9-b50b-b09cc936624f</errorID>
      <errorWord>法律、法规</errorWord>
      <group>L1_Word</group>
      <groupName>字词问题</groupName>
      <ability>L2_Typo</ability>
      <abilityName>字词错误</abilityName>
      <candidateList>
        <item>法律法规</item>
      </candidateList>
      <explain/>
      <paraID>7DF7B1ED</paraID>
      <start>43</start>
      <end>47</end>
      <status>modified</status>
      <modifiedWord>法律法规</modifiedWord>
      <trackRevisions>false</trackRevisions>
    </reviewItem>
    <reviewItem>
      <errorID>f6724ad2-f432-44ec-b573-9447acdae3f2</errorID>
      <errorWord>〔2017〕 141号</errorWord>
      <group>L1_Knowledge</group>
      <groupName>知识性问题</groupName>
      <ability>L2_Knowledge</ability>
      <abilityName>其他知识</abilityName>
      <candidateList>
        <item>〔2017〕141号</item>
      </candidateList>
      <explain>发文字号格式错误。</explain>
      <paraID>57D3CA52</paraID>
      <start>49</start>
      <end>59</end>
      <status>modified</status>
      <modifiedWord>〔2017〕141号</modifiedWord>
      <trackRevisions>false</trackRevisions>
    </reviewItem>
    <reviewItem>
      <errorID>feda44fe-08e9-4369-a4f9-0ed7149e7733</errorID>
      <errorWord>股东大会</errorWord>
      <group>L1_Word</group>
      <groupName>字词问题</groupName>
      <ability>L2_Typo</ability>
      <abilityName>字词错误</abilityName>
      <candidateList>
        <item>股东会</item>
      </candidateList>
      <explain/>
      <paraID> DB5DC0E</paraID>
      <start>113</start>
      <end>117</end>
      <status>ignored</status>
      <modifiedWord/>
      <trackRevisions>false</trackRevisions>
    </reviewItem>
    <reviewItem>
      <errorID>09a745ca-ff45-4bf0-9f0c-5ac428749b27</errorID>
      <errorWord>。】</errorWord>
      <group>L1_Punc</group>
      <groupName>标点问题</groupName>
      <ability>L2_Punc</ability>
      <abilityName>标点符号检查</abilityName>
      <candidateList>
        <item>】</item>
      </candidateList>
      <explain/>
      <paraID>53383580</paraID>
      <start>132</start>
      <end>133</end>
      <status>modified</status>
      <modifiedWord>】</modifiedWord>
      <trackRevisions>false</trackRevisions>
    </reviewItem>
    <reviewItem>
      <errorID>1212a30a-002d-4a91-9906-9cade2b88336</errorID>
      <errorWord>者</errorWord>
      <group>L1_Word</group>
      <groupName>字词问题</groupName>
      <ability>L2_Typo</ability>
      <abilityName>字词错误</abilityName>
      <candidateList>
        <item>者加</item>
      </candidateList>
      <explain/>
      <paraID>21B3E2ED</paraID>
      <start>37</start>
      <end>39</end>
      <status>modified</status>
      <modifiedWord>者加</modifiedWord>
      <trackRevisions>false</trackRevisions>
    </reviewItem>
    <reviewItem>
      <errorID>9aed23ef-ff81-4a6c-a8e8-fce67dff19e7</errorID>
      <errorWord>:</errorWord>
      <group>L1_Format</group>
      <groupName>格式问题</groupName>
      <ability>L2_HalfPunc</ability>
      <abilityName>全半角检查</abilityName>
      <candidateList>
        <item>：</item>
      </candidateList>
      <explain>文本全半角错误。</explain>
      <paraID>6B4A33C4</paraID>
      <start>47</start>
      <end>48</end>
      <status>modified</status>
      <modifiedWord>：</modifiedWord>
      <trackRevisions>false</trackRevisions>
    </reviewItem>
    <reviewItem>
      <errorID>bfc35553-2066-401f-8b07-da1c30a40c29</errorID>
      <errorWord>:</errorWord>
      <group>L1_Format</group>
      <groupName>格式问题</groupName>
      <ability>L2_HalfPunc</ability>
      <abilityName>全半角检查</abilityName>
      <candidateList>
        <item>：</item>
      </candidateList>
      <explain>文本全半角错误。</explain>
      <paraID>2855C1A3</paraID>
      <start>11</start>
      <end>12</end>
      <status>modified</status>
      <modifiedWord>：</modifiedWord>
      <trackRevisions>false</trackRevisions>
    </reviewItem>
    <reviewItem>
      <errorID>353401de-6ea5-40c1-864a-b32ec4bfccfe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206FE657</paraID>
      <start>36</start>
      <end>38</end>
      <status>modified</status>
      <modifiedWord>”“</modifiedWord>
      <trackRevisions>false</trackRevisions>
    </reviewItem>
    <reviewItem>
      <errorID>ab8bbd13-3a10-4f7b-9911-e75b7f0772d6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6151D101</paraID>
      <start>37</start>
      <end>39</end>
      <status>modified</status>
      <modifiedWord>”“</modifiedWord>
      <trackRevisions>false</trackRevisions>
    </reviewItem>
    <reviewItem>
      <errorID>178f9b87-11e6-48da-a78d-b08201175b9c</errorID>
      <errorWord>提出质疑</errorWord>
      <group>L1_Grammar</group>
      <groupName>语法问题</groupName>
      <ability>L2_Grammar</ability>
      <abilityName>语法错误</abilityName>
      <candidateList>
        <item>质疑</item>
      </candidateList>
      <explain>〈动〉提出疑问：～问难。</explain>
      <paraID>709302DD</paraID>
      <start>53</start>
      <end>57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169c29-3079-49ca-b60e-7d390453edb0}">
  <ds:schemaRefs/>
</ds:datastoreItem>
</file>

<file path=docProps/app.xml><?xml version="1.0" encoding="utf-8"?>
<Properties xmlns="http://schemas.openxmlformats.org/officeDocument/2006/extended-properties" xmlns:vt="http://schemas.openxmlformats.org/officeDocument/2006/docPropsVTypes">
  <Template>（1117招标文件）12.全区非法堆存、转移涉重固体废物危险特性鉴别及污染释放能力评估项目.dotx</Template>
  <Pages>83</Pages>
  <Words>8461</Words>
  <Characters>9659</Characters>
  <Lines>396</Lines>
  <Paragraphs>111</Paragraphs>
  <TotalTime>115</TotalTime>
  <ScaleCrop>false</ScaleCrop>
  <LinksUpToDate>false</LinksUpToDate>
  <CharactersWithSpaces>9874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2025-11-20T03:43:00Z</dcterms:created>
  <dc:creator>黄艳颀</dc:creator>
  <cp:lastModifiedBy>招标中心</cp:lastModifiedBy>
  <dcterms:modified xsi:type="dcterms:W3CDTF">2026-06-23T05:13:46Z</dcterms:modified>
  <dc:title>南财采管〔2012〕3号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00B262E07F294FCE92CAA66AFC2797BE_13</vt:lpwstr>
  </property>
  <property fmtid="{D5CDD505-2E9C-101B-9397-08002B2CF9AE}" pid="4" name="KSOTemplateDocerSaveRecord">
    <vt:lpwstr>eyJoZGlkIjoiYTAwODU1ZGIxYTBmMTA4M2ZkMDM3YzRhZWY3NWFjNDMiLCJ1c2VySWQiOiIxNTQ4OTc5NDEzIn0=</vt:lpwstr>
  </property>
</Properties>
</file>