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3EDDC182">
      <w:pPr>
        <w:jc w:val="center"/>
        <w:rPr>
          <w:rFonts w:hint="eastAsia" w:ascii="宋体" w:hAnsi="宋体" w:cs="宋体"/>
          <w:b/>
          <w:bCs/>
          <w:color w:val="auto"/>
          <w:sz w:val="48"/>
          <w:szCs w:val="48"/>
          <w:highlight w:val="none"/>
        </w:rPr>
      </w:pPr>
      <w:bookmarkStart w:id="0" w:name="OLE_LINK15"/>
      <w:bookmarkStart w:id="1" w:name="OLE_LINK7"/>
      <w:bookmarkStart w:id="2" w:name="OLE_LINK11"/>
      <w:bookmarkStart w:id="3" w:name="OLE_LINK10"/>
      <w:bookmarkStart w:id="4" w:name="OLE_LINK8"/>
    </w:p>
    <w:p w14:paraId="05F6934F">
      <w:pPr>
        <w:jc w:val="center"/>
        <w:rPr>
          <w:rFonts w:hint="eastAsia" w:ascii="宋体" w:hAnsi="宋体" w:cs="宋体"/>
          <w:b/>
          <w:bCs/>
          <w:color w:val="auto"/>
          <w:sz w:val="48"/>
          <w:szCs w:val="48"/>
          <w:highlight w:val="none"/>
        </w:rPr>
      </w:pPr>
    </w:p>
    <w:p w14:paraId="279FED1D">
      <w:pPr>
        <w:jc w:val="center"/>
        <w:rPr>
          <w:rFonts w:hint="eastAsia" w:ascii="宋体" w:hAnsi="宋体" w:cs="宋体"/>
          <w:b/>
          <w:bCs/>
          <w:color w:val="auto"/>
          <w:sz w:val="48"/>
          <w:szCs w:val="48"/>
          <w:highlight w:val="none"/>
        </w:rPr>
      </w:pPr>
      <w:r>
        <w:rPr>
          <w:rFonts w:hAnsi="宋体"/>
          <w:color w:val="auto"/>
          <w:kern w:val="0"/>
          <w:szCs w:val="21"/>
          <w:highlight w:val="none"/>
        </w:rPr>
        <w:drawing>
          <wp:anchor distT="0" distB="0" distL="114300" distR="114300" simplePos="0" relativeHeight="251662336" behindDoc="0" locked="0" layoutInCell="1" allowOverlap="1">
            <wp:simplePos x="0" y="0"/>
            <wp:positionH relativeFrom="column">
              <wp:posOffset>-342900</wp:posOffset>
            </wp:positionH>
            <wp:positionV relativeFrom="paragraph">
              <wp:posOffset>-373380</wp:posOffset>
            </wp:positionV>
            <wp:extent cx="6395085" cy="1416685"/>
            <wp:effectExtent l="0" t="0" r="0" b="0"/>
            <wp:wrapNone/>
            <wp:docPr id="2" name="图片 2" descr="I:\03★工作★（硬盘）\2018年项目-2022年项目-招标\5、2022年项目\（2.28投标入库）南宁轨道地产集团有限责任公司2022-2025年招标代理服务\招标公司-名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I:\03★工作★（硬盘）\2018年项目-2022年项目-招标\5、2022年项目\（2.28投标入库）南宁轨道地产集团有限责任公司2022-2025年招标代理服务\招标公司-名称.png"/>
                    <pic:cNvPicPr>
                      <a:picLocks noChangeAspect="1"/>
                    </pic:cNvPicPr>
                  </pic:nvPicPr>
                  <pic:blipFill>
                    <a:blip r:embed="rId18"/>
                    <a:srcRect r="6451"/>
                    <a:stretch>
                      <a:fillRect/>
                    </a:stretch>
                  </pic:blipFill>
                  <pic:spPr>
                    <a:xfrm>
                      <a:off x="654685" y="1099820"/>
                      <a:ext cx="6395085" cy="1416685"/>
                    </a:xfrm>
                    <a:prstGeom prst="rect">
                      <a:avLst/>
                    </a:prstGeom>
                    <a:noFill/>
                    <a:ln>
                      <a:noFill/>
                    </a:ln>
                  </pic:spPr>
                </pic:pic>
              </a:graphicData>
            </a:graphic>
          </wp:anchor>
        </w:drawing>
      </w:r>
    </w:p>
    <w:p w14:paraId="67E03E4F">
      <w:pPr>
        <w:jc w:val="center"/>
        <w:rPr>
          <w:rFonts w:hint="eastAsia" w:ascii="宋体" w:hAnsi="宋体" w:cs="宋体"/>
          <w:b/>
          <w:bCs/>
          <w:color w:val="auto"/>
          <w:sz w:val="48"/>
          <w:szCs w:val="48"/>
          <w:highlight w:val="none"/>
        </w:rPr>
      </w:pPr>
    </w:p>
    <w:bookmarkEnd w:id="0"/>
    <w:p w14:paraId="5EBB50FD">
      <w:pPr>
        <w:spacing w:line="360" w:lineRule="auto"/>
        <w:jc w:val="center"/>
        <w:rPr>
          <w:rFonts w:hint="eastAsia" w:ascii="宋体" w:hAnsi="宋体" w:cs="宋体"/>
          <w:b/>
          <w:color w:val="auto"/>
          <w:sz w:val="36"/>
          <w:szCs w:val="36"/>
          <w:highlight w:val="none"/>
        </w:rPr>
      </w:pPr>
      <w:r>
        <w:rPr>
          <w:rFonts w:hint="eastAsia" w:ascii="宋体" w:hAnsi="宋体" w:cs="宋体"/>
          <w:color w:val="auto"/>
          <w:sz w:val="20"/>
          <w:highlight w:val="none"/>
        </w:rPr>
        <mc:AlternateContent>
          <mc:Choice Requires="wps">
            <w:drawing>
              <wp:anchor distT="0" distB="0" distL="114300" distR="114300" simplePos="0" relativeHeight="251659264" behindDoc="0" locked="0" layoutInCell="1" allowOverlap="1">
                <wp:simplePos x="0" y="0"/>
                <wp:positionH relativeFrom="column">
                  <wp:posOffset>-8255</wp:posOffset>
                </wp:positionH>
                <wp:positionV relativeFrom="paragraph">
                  <wp:posOffset>169545</wp:posOffset>
                </wp:positionV>
                <wp:extent cx="5944235" cy="8255"/>
                <wp:effectExtent l="0" t="0" r="0" b="0"/>
                <wp:wrapNone/>
                <wp:docPr id="1" name="直线 2"/>
                <wp:cNvGraphicFramePr/>
                <a:graphic xmlns:a="http://schemas.openxmlformats.org/drawingml/2006/main">
                  <a:graphicData uri="http://schemas.microsoft.com/office/word/2010/wordprocessingShape">
                    <wps:wsp>
                      <wps:cNvCnPr/>
                      <wps:spPr>
                        <a:xfrm flipV="1">
                          <a:off x="0" y="0"/>
                          <a:ext cx="5944235" cy="8255"/>
                        </a:xfrm>
                        <a:prstGeom prst="line">
                          <a:avLst/>
                        </a:prstGeom>
                        <a:ln w="28575" cap="flat" cmpd="sng">
                          <a:solidFill>
                            <a:srgbClr val="000000"/>
                          </a:solidFill>
                          <a:prstDash val="solid"/>
                          <a:headEnd type="none" w="med" len="med"/>
                          <a:tailEnd type="none" w="med" len="med"/>
                        </a:ln>
                        <a:effectLst/>
                      </wps:spPr>
                      <wps:bodyPr upright="1"/>
                    </wps:wsp>
                  </a:graphicData>
                </a:graphic>
              </wp:anchor>
            </w:drawing>
          </mc:Choice>
          <mc:Fallback>
            <w:pict>
              <v:line id="直线 2" o:spid="_x0000_s1026" o:spt="20" style="position:absolute;left:0pt;flip:y;margin-left:-0.65pt;margin-top:13.35pt;height:0.65pt;width:468.05pt;z-index:251659264;mso-width-relative:page;mso-height-relative:page;" filled="f" stroked="t" coordsize="21600,21600" o:gfxdata="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BUZ+Ad1wAAAAgBAAAPAAAAAAAAAAEAIAAAACIAAABkcnMvZG93bnJldi54bWxQSwEC&#10;FAAUAAAACACHTuJACkhh9fUBAAD3AwAADgAAAAAAAAABACAAAAAmAQAAZHJzL2Uyb0RvYy54bWxQ&#10;SwUGAAAAAAYABgBZAQAAjQUAAAAA&#10;">
                <v:fill on="f" focussize="0,0"/>
                <v:stroke weight="2.25pt" color="#000000" joinstyle="round"/>
                <v:imagedata o:title=""/>
                <o:lock v:ext="edit" aspectratio="f"/>
              </v:line>
            </w:pict>
          </mc:Fallback>
        </mc:AlternateContent>
      </w:r>
      <w:r>
        <w:rPr>
          <w:rFonts w:hint="eastAsia" w:ascii="宋体" w:hAnsi="宋体" w:cs="宋体"/>
          <w:b/>
          <w:bCs/>
          <w:color w:val="auto"/>
          <w:sz w:val="10"/>
          <w:highlight w:val="none"/>
        </w:rPr>
        <w:t xml:space="preserve">                                                                         </w:t>
      </w:r>
    </w:p>
    <w:p w14:paraId="38FCDD92">
      <w:pPr>
        <w:pStyle w:val="20"/>
        <w:jc w:val="center"/>
        <w:rPr>
          <w:rFonts w:hint="eastAsia" w:hAnsi="宋体" w:cs="宋体"/>
          <w:color w:val="auto"/>
          <w:sz w:val="72"/>
          <w:szCs w:val="72"/>
          <w:highlight w:val="none"/>
        </w:rPr>
      </w:pPr>
    </w:p>
    <w:p w14:paraId="43A2F79F">
      <w:pPr>
        <w:pStyle w:val="20"/>
        <w:jc w:val="center"/>
        <w:rPr>
          <w:rFonts w:hint="eastAsia" w:hAnsi="宋体" w:cs="宋体"/>
          <w:b/>
          <w:bCs/>
          <w:color w:val="auto"/>
          <w:sz w:val="110"/>
          <w:szCs w:val="110"/>
          <w:highlight w:val="none"/>
        </w:rPr>
      </w:pPr>
      <w:r>
        <w:rPr>
          <w:rFonts w:hint="eastAsia" w:hAnsi="宋体" w:cs="宋体"/>
          <w:color w:val="auto"/>
          <w:sz w:val="110"/>
          <w:szCs w:val="110"/>
          <w:highlight w:val="none"/>
        </w:rPr>
        <w:t>招 标 文 件</w:t>
      </w:r>
    </w:p>
    <w:p w14:paraId="04C491F4">
      <w:pPr>
        <w:jc w:val="center"/>
        <w:rPr>
          <w:rFonts w:hint="eastAsia" w:ascii="宋体" w:hAnsi="宋体" w:cs="宋体"/>
          <w:b/>
          <w:color w:val="auto"/>
          <w:sz w:val="36"/>
          <w:szCs w:val="36"/>
          <w:highlight w:val="none"/>
        </w:rPr>
      </w:pPr>
    </w:p>
    <w:p w14:paraId="347C6FF5">
      <w:pPr>
        <w:pStyle w:val="20"/>
        <w:spacing w:line="360" w:lineRule="auto"/>
        <w:ind w:firstLine="753" w:firstLineChars="250"/>
        <w:jc w:val="left"/>
        <w:rPr>
          <w:rFonts w:hint="eastAsia" w:hAnsi="宋体" w:cs="宋体"/>
          <w:b/>
          <w:color w:val="auto"/>
          <w:sz w:val="30"/>
          <w:szCs w:val="30"/>
          <w:highlight w:val="none"/>
        </w:rPr>
      </w:pPr>
    </w:p>
    <w:p w14:paraId="09CF7C68">
      <w:pPr>
        <w:snapToGrid w:val="0"/>
        <w:spacing w:before="120" w:beforeLines="50" w:line="360" w:lineRule="auto"/>
        <w:jc w:val="center"/>
        <w:rPr>
          <w:rFonts w:hint="eastAsia" w:ascii="宋体" w:hAnsi="宋体" w:cs="宋体"/>
          <w:b/>
          <w:color w:val="auto"/>
          <w:sz w:val="48"/>
          <w:szCs w:val="48"/>
          <w:highlight w:val="none"/>
        </w:rPr>
      </w:pPr>
      <w:r>
        <w:rPr>
          <w:rFonts w:hint="eastAsia" w:ascii="宋体" w:hAnsi="宋体" w:cs="宋体"/>
          <w:b/>
          <w:color w:val="auto"/>
          <w:sz w:val="48"/>
          <w:szCs w:val="48"/>
          <w:highlight w:val="none"/>
        </w:rPr>
        <w:t>（全流程电子化采购）</w:t>
      </w:r>
    </w:p>
    <w:p w14:paraId="06DCD170">
      <w:pPr>
        <w:pStyle w:val="20"/>
        <w:spacing w:line="360" w:lineRule="auto"/>
        <w:ind w:left="2556" w:leftChars="500" w:hanging="1506" w:hangingChars="500"/>
        <w:jc w:val="left"/>
        <w:rPr>
          <w:rFonts w:hint="eastAsia" w:hAnsi="宋体" w:eastAsia="宋体" w:cs="宋体"/>
          <w:b/>
          <w:color w:val="auto"/>
          <w:sz w:val="32"/>
          <w:szCs w:val="32"/>
          <w:highlight w:val="none"/>
          <w:lang w:eastAsia="zh-CN"/>
        </w:rPr>
      </w:pPr>
      <w:r>
        <w:rPr>
          <w:rFonts w:hint="eastAsia" w:hAnsi="宋体" w:cs="宋体"/>
          <w:b/>
          <w:color w:val="auto"/>
          <w:sz w:val="30"/>
          <w:szCs w:val="30"/>
          <w:highlight w:val="none"/>
        </w:rPr>
        <w:t>项目名称：</w:t>
      </w:r>
      <w:r>
        <w:rPr>
          <w:rFonts w:hint="eastAsia" w:hAnsi="宋体" w:cs="宋体"/>
          <w:b/>
          <w:color w:val="auto"/>
          <w:sz w:val="30"/>
          <w:szCs w:val="30"/>
          <w:highlight w:val="none"/>
          <w:u w:val="none"/>
          <w:lang w:eastAsia="zh-CN"/>
        </w:rPr>
        <w:t>广西壮族自治区2026年度计划生育特殊家庭综合保险项目</w:t>
      </w:r>
    </w:p>
    <w:p w14:paraId="586EE92A">
      <w:pPr>
        <w:pStyle w:val="20"/>
        <w:spacing w:line="360" w:lineRule="auto"/>
        <w:ind w:firstLine="1054" w:firstLineChars="350"/>
        <w:jc w:val="left"/>
        <w:rPr>
          <w:rFonts w:hint="default" w:hAnsi="宋体" w:eastAsia="宋体" w:cs="宋体"/>
          <w:b/>
          <w:color w:val="auto"/>
          <w:sz w:val="30"/>
          <w:szCs w:val="30"/>
          <w:highlight w:val="none"/>
          <w:lang w:val="en-US" w:eastAsia="zh-CN"/>
        </w:rPr>
      </w:pPr>
      <w:r>
        <w:rPr>
          <w:rFonts w:hint="eastAsia" w:hAnsi="宋体" w:cs="宋体"/>
          <w:b/>
          <w:color w:val="auto"/>
          <w:sz w:val="30"/>
          <w:szCs w:val="30"/>
          <w:highlight w:val="none"/>
        </w:rPr>
        <w:t>项目编号：</w:t>
      </w:r>
      <w:r>
        <w:rPr>
          <w:rFonts w:hint="eastAsia" w:hAnsi="宋体" w:cs="宋体"/>
          <w:b/>
          <w:color w:val="auto"/>
          <w:sz w:val="30"/>
          <w:szCs w:val="30"/>
          <w:highlight w:val="none"/>
          <w:lang w:val="en-US" w:eastAsia="zh-CN"/>
        </w:rPr>
        <w:t>GXZC2026-G3-002390-JGJD</w:t>
      </w:r>
    </w:p>
    <w:p w14:paraId="42D6C4F7">
      <w:pPr>
        <w:spacing w:line="600" w:lineRule="exact"/>
        <w:ind w:left="2"/>
        <w:jc w:val="center"/>
        <w:rPr>
          <w:rFonts w:hint="eastAsia" w:ascii="宋体" w:hAnsi="宋体" w:cs="宋体"/>
          <w:b/>
          <w:color w:val="auto"/>
          <w:sz w:val="30"/>
          <w:szCs w:val="30"/>
          <w:highlight w:val="none"/>
        </w:rPr>
      </w:pPr>
      <w:r>
        <w:rPr>
          <w:rFonts w:hint="eastAsia" w:ascii="宋体" w:hAnsi="宋体" w:cs="宋体"/>
          <w:b/>
          <w:color w:val="auto"/>
          <w:sz w:val="30"/>
          <w:szCs w:val="30"/>
          <w:highlight w:val="none"/>
        </w:rPr>
        <mc:AlternateContent>
          <mc:Choice Requires="wps">
            <w:drawing>
              <wp:anchor distT="0" distB="0" distL="114300" distR="114300" simplePos="0" relativeHeight="251660288" behindDoc="0" locked="0" layoutInCell="1" allowOverlap="1">
                <wp:simplePos x="0" y="0"/>
                <wp:positionH relativeFrom="column">
                  <wp:posOffset>-89535</wp:posOffset>
                </wp:positionH>
                <wp:positionV relativeFrom="paragraph">
                  <wp:posOffset>144145</wp:posOffset>
                </wp:positionV>
                <wp:extent cx="5944235" cy="8255"/>
                <wp:effectExtent l="0" t="0" r="0" b="0"/>
                <wp:wrapNone/>
                <wp:docPr id="3" name="直线 2"/>
                <wp:cNvGraphicFramePr/>
                <a:graphic xmlns:a="http://schemas.openxmlformats.org/drawingml/2006/main">
                  <a:graphicData uri="http://schemas.microsoft.com/office/word/2010/wordprocessingShape">
                    <wps:wsp>
                      <wps:cNvCnPr/>
                      <wps:spPr>
                        <a:xfrm flipV="1">
                          <a:off x="0" y="0"/>
                          <a:ext cx="5944235" cy="8255"/>
                        </a:xfrm>
                        <a:prstGeom prst="line">
                          <a:avLst/>
                        </a:prstGeom>
                        <a:ln w="28575" cap="flat" cmpd="sng">
                          <a:solidFill>
                            <a:srgbClr val="000000"/>
                          </a:solidFill>
                          <a:prstDash val="solid"/>
                          <a:headEnd type="none" w="med" len="med"/>
                          <a:tailEnd type="none" w="med" len="med"/>
                        </a:ln>
                        <a:effectLst/>
                      </wps:spPr>
                      <wps:bodyPr upright="1"/>
                    </wps:wsp>
                  </a:graphicData>
                </a:graphic>
              </wp:anchor>
            </w:drawing>
          </mc:Choice>
          <mc:Fallback>
            <w:pict>
              <v:line id="直线 2" o:spid="_x0000_s1026" o:spt="20" style="position:absolute;left:0pt;flip:y;margin-left:-7.05pt;margin-top:11.35pt;height:0.65pt;width:468.05pt;z-index:251660288;mso-width-relative:page;mso-height-relative:page;" filled="f" stroked="t" coordsize="21600,21600" o:gfxdata="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wvzFLNcAAAAJAQAADwAAAAAAAAABACAAAAAiAAAAZHJzL2Rvd25yZXYueG1sUEsB&#10;AhQAFAAAAAgAh07iQNV1L+72AQAA9wMAAA4AAAAAAAAAAQAgAAAAJgEAAGRycy9lMm9Eb2MueG1s&#10;UEsFBgAAAAAGAAYAWQEAAI4FAAAAAA==&#10;">
                <v:fill on="f" focussize="0,0"/>
                <v:stroke weight="2.25pt" color="#000000" joinstyle="round"/>
                <v:imagedata o:title=""/>
                <o:lock v:ext="edit" aspectratio="f"/>
              </v:line>
            </w:pict>
          </mc:Fallback>
        </mc:AlternateContent>
      </w:r>
    </w:p>
    <w:p w14:paraId="7787EEBB">
      <w:pPr>
        <w:pStyle w:val="20"/>
        <w:spacing w:line="360" w:lineRule="auto"/>
        <w:ind w:firstLine="753" w:firstLineChars="250"/>
        <w:jc w:val="left"/>
        <w:rPr>
          <w:rFonts w:hint="eastAsia" w:hAnsi="宋体" w:eastAsia="宋体" w:cs="宋体"/>
          <w:b/>
          <w:color w:val="auto"/>
          <w:sz w:val="30"/>
          <w:szCs w:val="30"/>
          <w:highlight w:val="none"/>
          <w:lang w:eastAsia="zh-CN"/>
        </w:rPr>
      </w:pPr>
      <w:r>
        <w:rPr>
          <w:rFonts w:hint="eastAsia" w:hAnsi="宋体" w:cs="宋体"/>
          <w:b/>
          <w:color w:val="auto"/>
          <w:sz w:val="30"/>
          <w:szCs w:val="30"/>
          <w:highlight w:val="none"/>
        </w:rPr>
        <w:t>采购人：</w:t>
      </w:r>
      <w:r>
        <w:rPr>
          <w:rFonts w:hint="eastAsia" w:hAnsi="宋体" w:cs="宋体"/>
          <w:b/>
          <w:color w:val="auto"/>
          <w:sz w:val="30"/>
          <w:szCs w:val="30"/>
          <w:highlight w:val="none"/>
          <w:lang w:eastAsia="zh-CN"/>
        </w:rPr>
        <w:t>广西壮族自治区计划生育协会</w:t>
      </w:r>
    </w:p>
    <w:p w14:paraId="128EE3DC">
      <w:pPr>
        <w:pStyle w:val="20"/>
        <w:spacing w:line="360" w:lineRule="auto"/>
        <w:ind w:firstLine="753" w:firstLineChars="250"/>
        <w:jc w:val="left"/>
        <w:rPr>
          <w:rFonts w:hint="eastAsia" w:hAnsi="宋体" w:eastAsia="宋体" w:cs="宋体"/>
          <w:b/>
          <w:color w:val="auto"/>
          <w:sz w:val="30"/>
          <w:szCs w:val="30"/>
          <w:highlight w:val="none"/>
          <w:lang w:eastAsia="zh-CN"/>
        </w:rPr>
      </w:pPr>
      <w:r>
        <w:rPr>
          <w:rFonts w:hint="eastAsia" w:hAnsi="宋体" w:cs="宋体"/>
          <w:b/>
          <w:color w:val="auto"/>
          <w:sz w:val="30"/>
          <w:szCs w:val="30"/>
          <w:highlight w:val="none"/>
        </w:rPr>
        <w:t>采购代理机构：</w:t>
      </w:r>
      <w:r>
        <w:rPr>
          <w:rFonts w:hint="eastAsia" w:hAnsi="宋体" w:cs="宋体"/>
          <w:b/>
          <w:color w:val="auto"/>
          <w:sz w:val="30"/>
          <w:szCs w:val="30"/>
          <w:highlight w:val="none"/>
          <w:lang w:eastAsia="zh-CN"/>
        </w:rPr>
        <w:t>广西建设工程机电设备招标中心有限公司</w:t>
      </w:r>
    </w:p>
    <w:p w14:paraId="7F564FED">
      <w:pPr>
        <w:pStyle w:val="20"/>
        <w:spacing w:line="360" w:lineRule="auto"/>
        <w:jc w:val="center"/>
        <w:rPr>
          <w:rFonts w:hint="eastAsia" w:hAnsi="宋体" w:cs="宋体"/>
          <w:b/>
          <w:color w:val="auto"/>
          <w:sz w:val="30"/>
          <w:szCs w:val="30"/>
          <w:highlight w:val="none"/>
        </w:rPr>
      </w:pPr>
    </w:p>
    <w:p w14:paraId="1CA1768F">
      <w:pPr>
        <w:pStyle w:val="20"/>
        <w:spacing w:line="360" w:lineRule="auto"/>
        <w:jc w:val="center"/>
        <w:rPr>
          <w:rFonts w:hint="default" w:hAnsi="宋体" w:eastAsia="宋体" w:cs="宋体"/>
          <w:b/>
          <w:bCs/>
          <w:color w:val="auto"/>
          <w:spacing w:val="-27"/>
          <w:sz w:val="60"/>
          <w:szCs w:val="60"/>
          <w:highlight w:val="none"/>
          <w:lang w:val="en-US" w:eastAsia="zh-CN"/>
        </w:rPr>
      </w:pPr>
      <w:r>
        <w:rPr>
          <w:rFonts w:hint="eastAsia" w:hAnsi="宋体" w:cs="宋体"/>
          <w:b/>
          <w:color w:val="auto"/>
          <w:sz w:val="30"/>
          <w:szCs w:val="30"/>
          <w:highlight w:val="none"/>
        </w:rPr>
        <w:t>202</w:t>
      </w:r>
      <w:r>
        <w:rPr>
          <w:rFonts w:hint="eastAsia" w:hAnsi="宋体" w:cs="宋体"/>
          <w:b/>
          <w:color w:val="auto"/>
          <w:sz w:val="30"/>
          <w:szCs w:val="30"/>
          <w:highlight w:val="none"/>
          <w:lang w:val="en-US" w:eastAsia="zh-CN"/>
        </w:rPr>
        <w:t>6</w:t>
      </w:r>
      <w:r>
        <w:rPr>
          <w:rFonts w:hint="eastAsia" w:hAnsi="宋体" w:cs="宋体"/>
          <w:b/>
          <w:color w:val="auto"/>
          <w:sz w:val="30"/>
          <w:szCs w:val="30"/>
          <w:highlight w:val="none"/>
        </w:rPr>
        <w:t>年</w:t>
      </w:r>
      <w:r>
        <w:rPr>
          <w:rFonts w:hint="eastAsia" w:hAnsi="宋体" w:cs="宋体"/>
          <w:b/>
          <w:color w:val="auto"/>
          <w:sz w:val="30"/>
          <w:szCs w:val="30"/>
          <w:highlight w:val="none"/>
          <w:lang w:val="en-US" w:eastAsia="zh-CN"/>
        </w:rPr>
        <w:t>7</w:t>
      </w:r>
      <w:r>
        <w:rPr>
          <w:rFonts w:hint="eastAsia" w:hAnsi="宋体" w:cs="宋体"/>
          <w:b/>
          <w:color w:val="auto"/>
          <w:sz w:val="30"/>
          <w:szCs w:val="30"/>
          <w:highlight w:val="none"/>
        </w:rPr>
        <w:t>月</w:t>
      </w:r>
    </w:p>
    <w:p w14:paraId="7B251527">
      <w:pPr>
        <w:pStyle w:val="20"/>
        <w:spacing w:before="120" w:after="120" w:line="360" w:lineRule="auto"/>
        <w:jc w:val="center"/>
        <w:rPr>
          <w:rFonts w:hint="eastAsia" w:hAnsi="宋体" w:cs="宋体"/>
          <w:b/>
          <w:color w:val="auto"/>
          <w:sz w:val="44"/>
          <w:szCs w:val="44"/>
          <w:highlight w:val="none"/>
        </w:rPr>
        <w:sectPr>
          <w:footerReference r:id="rId6" w:type="first"/>
          <w:headerReference r:id="rId3" w:type="default"/>
          <w:footerReference r:id="rId4" w:type="default"/>
          <w:footerReference r:id="rId5" w:type="even"/>
          <w:pgSz w:w="11906" w:h="16838"/>
          <w:pgMar w:top="1440" w:right="1757" w:bottom="1440" w:left="1803" w:header="850" w:footer="850" w:gutter="0"/>
          <w:pgNumType w:start="0"/>
          <w:cols w:space="720" w:num="1"/>
          <w:titlePg/>
          <w:docGrid w:linePitch="312" w:charSpace="0"/>
        </w:sectPr>
      </w:pPr>
    </w:p>
    <w:p w14:paraId="2FB478FB">
      <w:pPr>
        <w:pStyle w:val="20"/>
        <w:keepNext w:val="0"/>
        <w:keepLines w:val="0"/>
        <w:pageBreakBefore w:val="0"/>
        <w:widowControl w:val="0"/>
        <w:kinsoku/>
        <w:wordWrap/>
        <w:overflowPunct/>
        <w:topLinePunct w:val="0"/>
        <w:autoSpaceDE/>
        <w:autoSpaceDN/>
        <w:bidi w:val="0"/>
        <w:adjustRightInd/>
        <w:spacing w:before="120" w:after="120" w:line="360" w:lineRule="auto"/>
        <w:jc w:val="center"/>
        <w:textAlignment w:val="auto"/>
        <w:rPr>
          <w:rFonts w:hint="eastAsia" w:hAnsi="宋体" w:cs="宋体"/>
          <w:b/>
          <w:color w:val="auto"/>
          <w:sz w:val="44"/>
          <w:szCs w:val="44"/>
          <w:highlight w:val="none"/>
        </w:rPr>
      </w:pPr>
      <w:r>
        <w:rPr>
          <w:rFonts w:hint="eastAsia" w:hAnsi="宋体" w:cs="宋体"/>
          <w:b/>
          <w:color w:val="auto"/>
          <w:sz w:val="44"/>
          <w:szCs w:val="44"/>
          <w:highlight w:val="none"/>
        </w:rPr>
        <w:t>目  录</w:t>
      </w:r>
    </w:p>
    <w:p w14:paraId="5B4398F3">
      <w:pPr>
        <w:pStyle w:val="27"/>
        <w:keepNext w:val="0"/>
        <w:keepLines w:val="0"/>
        <w:pageBreakBefore w:val="0"/>
        <w:widowControl w:val="0"/>
        <w:tabs>
          <w:tab w:val="right" w:leader="dot" w:pos="9242"/>
        </w:tabs>
        <w:kinsoku/>
        <w:wordWrap/>
        <w:overflowPunct/>
        <w:topLinePunct w:val="0"/>
        <w:autoSpaceDE/>
        <w:autoSpaceDN/>
        <w:bidi w:val="0"/>
        <w:adjustRightInd/>
        <w:snapToGrid/>
        <w:spacing w:line="400" w:lineRule="exact"/>
        <w:textAlignment w:val="auto"/>
        <w:rPr>
          <w:color w:val="auto"/>
          <w:highlight w:val="none"/>
        </w:rPr>
      </w:pPr>
      <w:bookmarkStart w:id="5" w:name="OLE_LINK6"/>
      <w:bookmarkStart w:id="6" w:name="OLE_LINK9"/>
      <w:r>
        <w:rPr>
          <w:rFonts w:hint="eastAsia" w:cs="宋体"/>
          <w:b w:val="0"/>
          <w:bCs w:val="0"/>
          <w:color w:val="auto"/>
          <w:highlight w:val="none"/>
        </w:rPr>
        <w:fldChar w:fldCharType="begin"/>
      </w:r>
      <w:r>
        <w:rPr>
          <w:rFonts w:hint="eastAsia" w:cs="宋体"/>
          <w:b w:val="0"/>
          <w:bCs w:val="0"/>
          <w:color w:val="auto"/>
          <w:highlight w:val="none"/>
        </w:rPr>
        <w:instrText xml:space="preserve">TOC \o "1-3" \h \u </w:instrText>
      </w:r>
      <w:r>
        <w:rPr>
          <w:rFonts w:hint="eastAsia" w:cs="宋体"/>
          <w:b w:val="0"/>
          <w:bCs w:val="0"/>
          <w:color w:val="auto"/>
          <w:highlight w:val="none"/>
        </w:rPr>
        <w:fldChar w:fldCharType="separate"/>
      </w:r>
      <w:r>
        <w:rPr>
          <w:rFonts w:hint="eastAsia" w:cs="宋体"/>
          <w:bCs w:val="0"/>
          <w:color w:val="auto"/>
          <w:highlight w:val="none"/>
        </w:rPr>
        <w:fldChar w:fldCharType="begin"/>
      </w:r>
      <w:r>
        <w:rPr>
          <w:rFonts w:hint="eastAsia" w:cs="宋体"/>
          <w:bCs w:val="0"/>
          <w:color w:val="auto"/>
          <w:highlight w:val="none"/>
        </w:rPr>
        <w:instrText xml:space="preserve"> HYPERLINK \l _Toc21030 </w:instrText>
      </w:r>
      <w:r>
        <w:rPr>
          <w:rFonts w:hint="eastAsia" w:cs="宋体"/>
          <w:bCs w:val="0"/>
          <w:color w:val="auto"/>
          <w:highlight w:val="none"/>
        </w:rPr>
        <w:fldChar w:fldCharType="separate"/>
      </w:r>
      <w:r>
        <w:rPr>
          <w:rFonts w:hint="eastAsia" w:ascii="宋体" w:hAnsi="宋体" w:cs="宋体"/>
          <w:color w:val="auto"/>
          <w:highlight w:val="none"/>
        </w:rPr>
        <w:t>第一章  招标公告</w:t>
      </w:r>
      <w:r>
        <w:rPr>
          <w:color w:val="auto"/>
          <w:highlight w:val="none"/>
        </w:rPr>
        <w:tab/>
      </w:r>
      <w:r>
        <w:rPr>
          <w:color w:val="auto"/>
          <w:highlight w:val="none"/>
        </w:rPr>
        <w:fldChar w:fldCharType="begin"/>
      </w:r>
      <w:r>
        <w:rPr>
          <w:color w:val="auto"/>
          <w:highlight w:val="none"/>
        </w:rPr>
        <w:instrText xml:space="preserve"> PAGEREF _Toc21030 \h </w:instrText>
      </w:r>
      <w:r>
        <w:rPr>
          <w:color w:val="auto"/>
          <w:highlight w:val="none"/>
        </w:rPr>
        <w:fldChar w:fldCharType="separate"/>
      </w:r>
      <w:r>
        <w:rPr>
          <w:color w:val="auto"/>
          <w:highlight w:val="none"/>
        </w:rPr>
        <w:t>2</w:t>
      </w:r>
      <w:r>
        <w:rPr>
          <w:color w:val="auto"/>
          <w:highlight w:val="none"/>
        </w:rPr>
        <w:fldChar w:fldCharType="end"/>
      </w:r>
      <w:r>
        <w:rPr>
          <w:rFonts w:hint="eastAsia" w:cs="宋体"/>
          <w:bCs w:val="0"/>
          <w:color w:val="auto"/>
          <w:highlight w:val="none"/>
        </w:rPr>
        <w:fldChar w:fldCharType="end"/>
      </w:r>
    </w:p>
    <w:p w14:paraId="0ED6B3C6">
      <w:pPr>
        <w:pStyle w:val="27"/>
        <w:keepNext w:val="0"/>
        <w:keepLines w:val="0"/>
        <w:pageBreakBefore w:val="0"/>
        <w:widowControl w:val="0"/>
        <w:tabs>
          <w:tab w:val="right" w:leader="dot" w:pos="9242"/>
        </w:tabs>
        <w:kinsoku/>
        <w:wordWrap/>
        <w:overflowPunct/>
        <w:topLinePunct w:val="0"/>
        <w:autoSpaceDE/>
        <w:autoSpaceDN/>
        <w:bidi w:val="0"/>
        <w:adjustRightInd/>
        <w:snapToGrid/>
        <w:spacing w:line="400" w:lineRule="exact"/>
        <w:textAlignment w:val="auto"/>
        <w:rPr>
          <w:color w:val="auto"/>
          <w:highlight w:val="none"/>
        </w:rPr>
      </w:pPr>
      <w:r>
        <w:rPr>
          <w:rFonts w:hint="eastAsia" w:ascii="宋体" w:hAnsi="宋体" w:cs="宋体"/>
          <w:color w:val="auto"/>
          <w:highlight w:val="none"/>
        </w:rPr>
        <w:fldChar w:fldCharType="begin"/>
      </w:r>
      <w:r>
        <w:rPr>
          <w:rFonts w:hint="eastAsia" w:ascii="宋体" w:hAnsi="宋体" w:cs="宋体"/>
          <w:color w:val="auto"/>
          <w:highlight w:val="none"/>
        </w:rPr>
        <w:instrText xml:space="preserve"> HYPERLINK \l _Toc12941 </w:instrText>
      </w:r>
      <w:r>
        <w:rPr>
          <w:rFonts w:hint="eastAsia" w:ascii="宋体" w:hAnsi="宋体" w:cs="宋体"/>
          <w:color w:val="auto"/>
          <w:highlight w:val="none"/>
        </w:rPr>
        <w:fldChar w:fldCharType="separate"/>
      </w:r>
      <w:r>
        <w:rPr>
          <w:rFonts w:hint="eastAsia" w:ascii="宋体" w:hAnsi="宋体" w:cs="宋体"/>
          <w:color w:val="auto"/>
          <w:highlight w:val="none"/>
        </w:rPr>
        <w:t>第二章  采购需求</w:t>
      </w:r>
      <w:r>
        <w:rPr>
          <w:color w:val="auto"/>
          <w:highlight w:val="none"/>
        </w:rPr>
        <w:tab/>
      </w:r>
      <w:r>
        <w:rPr>
          <w:color w:val="auto"/>
          <w:highlight w:val="none"/>
        </w:rPr>
        <w:fldChar w:fldCharType="begin"/>
      </w:r>
      <w:r>
        <w:rPr>
          <w:color w:val="auto"/>
          <w:highlight w:val="none"/>
        </w:rPr>
        <w:instrText xml:space="preserve"> PAGEREF _Toc12941 \h </w:instrText>
      </w:r>
      <w:r>
        <w:rPr>
          <w:color w:val="auto"/>
          <w:highlight w:val="none"/>
        </w:rPr>
        <w:fldChar w:fldCharType="separate"/>
      </w:r>
      <w:r>
        <w:rPr>
          <w:color w:val="auto"/>
          <w:highlight w:val="none"/>
        </w:rPr>
        <w:t>6</w:t>
      </w:r>
      <w:r>
        <w:rPr>
          <w:color w:val="auto"/>
          <w:highlight w:val="none"/>
        </w:rPr>
        <w:fldChar w:fldCharType="end"/>
      </w:r>
      <w:r>
        <w:rPr>
          <w:rFonts w:hint="eastAsia" w:ascii="宋体" w:hAnsi="宋体" w:cs="宋体"/>
          <w:color w:val="auto"/>
          <w:highlight w:val="none"/>
        </w:rPr>
        <w:fldChar w:fldCharType="end"/>
      </w:r>
    </w:p>
    <w:p w14:paraId="2194CCE0">
      <w:pPr>
        <w:pStyle w:val="27"/>
        <w:keepNext w:val="0"/>
        <w:keepLines w:val="0"/>
        <w:pageBreakBefore w:val="0"/>
        <w:widowControl w:val="0"/>
        <w:tabs>
          <w:tab w:val="right" w:leader="dot" w:pos="9242"/>
        </w:tabs>
        <w:kinsoku/>
        <w:wordWrap/>
        <w:overflowPunct/>
        <w:topLinePunct w:val="0"/>
        <w:autoSpaceDE/>
        <w:autoSpaceDN/>
        <w:bidi w:val="0"/>
        <w:adjustRightInd/>
        <w:snapToGrid/>
        <w:spacing w:line="400" w:lineRule="exact"/>
        <w:textAlignment w:val="auto"/>
        <w:rPr>
          <w:color w:val="auto"/>
          <w:highlight w:val="none"/>
        </w:rPr>
      </w:pPr>
      <w:r>
        <w:rPr>
          <w:rFonts w:hint="eastAsia" w:ascii="宋体" w:hAnsi="宋体" w:cs="宋体"/>
          <w:color w:val="auto"/>
          <w:highlight w:val="none"/>
        </w:rPr>
        <w:fldChar w:fldCharType="begin"/>
      </w:r>
      <w:r>
        <w:rPr>
          <w:rFonts w:hint="eastAsia" w:ascii="宋体" w:hAnsi="宋体" w:cs="宋体"/>
          <w:color w:val="auto"/>
          <w:highlight w:val="none"/>
        </w:rPr>
        <w:instrText xml:space="preserve"> HYPERLINK \l _Toc24453 </w:instrText>
      </w:r>
      <w:r>
        <w:rPr>
          <w:rFonts w:hint="eastAsia" w:ascii="宋体" w:hAnsi="宋体" w:cs="宋体"/>
          <w:color w:val="auto"/>
          <w:highlight w:val="none"/>
        </w:rPr>
        <w:fldChar w:fldCharType="separate"/>
      </w:r>
      <w:r>
        <w:rPr>
          <w:rFonts w:hint="eastAsia" w:ascii="宋体" w:hAnsi="宋体" w:cs="宋体"/>
          <w:color w:val="auto"/>
          <w:highlight w:val="none"/>
        </w:rPr>
        <w:t>第三章  投标人须知</w:t>
      </w:r>
      <w:r>
        <w:rPr>
          <w:color w:val="auto"/>
          <w:highlight w:val="none"/>
        </w:rPr>
        <w:tab/>
      </w:r>
      <w:r>
        <w:rPr>
          <w:color w:val="auto"/>
          <w:highlight w:val="none"/>
        </w:rPr>
        <w:fldChar w:fldCharType="begin"/>
      </w:r>
      <w:r>
        <w:rPr>
          <w:color w:val="auto"/>
          <w:highlight w:val="none"/>
        </w:rPr>
        <w:instrText xml:space="preserve"> PAGEREF _Toc24453 \h </w:instrText>
      </w:r>
      <w:r>
        <w:rPr>
          <w:color w:val="auto"/>
          <w:highlight w:val="none"/>
        </w:rPr>
        <w:fldChar w:fldCharType="separate"/>
      </w:r>
      <w:r>
        <w:rPr>
          <w:color w:val="auto"/>
          <w:highlight w:val="none"/>
        </w:rPr>
        <w:t>14</w:t>
      </w:r>
      <w:r>
        <w:rPr>
          <w:color w:val="auto"/>
          <w:highlight w:val="none"/>
        </w:rPr>
        <w:fldChar w:fldCharType="end"/>
      </w:r>
      <w:r>
        <w:rPr>
          <w:rFonts w:hint="eastAsia" w:ascii="宋体" w:hAnsi="宋体" w:cs="宋体"/>
          <w:color w:val="auto"/>
          <w:highlight w:val="none"/>
        </w:rPr>
        <w:fldChar w:fldCharType="end"/>
      </w:r>
    </w:p>
    <w:p w14:paraId="710FFD81">
      <w:pPr>
        <w:pStyle w:val="31"/>
        <w:keepNext w:val="0"/>
        <w:keepLines w:val="0"/>
        <w:pageBreakBefore w:val="0"/>
        <w:widowControl w:val="0"/>
        <w:tabs>
          <w:tab w:val="right" w:leader="dot" w:pos="9242"/>
        </w:tabs>
        <w:kinsoku/>
        <w:wordWrap/>
        <w:overflowPunct/>
        <w:topLinePunct w:val="0"/>
        <w:autoSpaceDE/>
        <w:autoSpaceDN/>
        <w:bidi w:val="0"/>
        <w:adjustRightInd/>
        <w:snapToGrid/>
        <w:spacing w:line="400" w:lineRule="exact"/>
        <w:textAlignment w:val="auto"/>
        <w:rPr>
          <w:color w:val="auto"/>
          <w:highlight w:val="none"/>
        </w:rPr>
      </w:pPr>
      <w:r>
        <w:rPr>
          <w:rFonts w:hint="eastAsia" w:ascii="宋体" w:hAnsi="宋体" w:cs="宋体"/>
          <w:color w:val="auto"/>
          <w:highlight w:val="none"/>
        </w:rPr>
        <w:fldChar w:fldCharType="begin"/>
      </w:r>
      <w:r>
        <w:rPr>
          <w:rFonts w:hint="eastAsia" w:ascii="宋体" w:hAnsi="宋体" w:cs="宋体"/>
          <w:color w:val="auto"/>
          <w:highlight w:val="none"/>
        </w:rPr>
        <w:instrText xml:space="preserve"> HYPERLINK \l _Toc3016 </w:instrText>
      </w:r>
      <w:r>
        <w:rPr>
          <w:rFonts w:hint="eastAsia" w:ascii="宋体" w:hAnsi="宋体" w:cs="宋体"/>
          <w:color w:val="auto"/>
          <w:highlight w:val="none"/>
        </w:rPr>
        <w:fldChar w:fldCharType="separate"/>
      </w:r>
      <w:r>
        <w:rPr>
          <w:rFonts w:hint="eastAsia" w:ascii="宋体" w:hAnsi="宋体" w:cs="宋体"/>
          <w:color w:val="auto"/>
          <w:szCs w:val="36"/>
          <w:highlight w:val="none"/>
        </w:rPr>
        <w:t>投标人须知前附表</w:t>
      </w:r>
      <w:r>
        <w:rPr>
          <w:color w:val="auto"/>
          <w:highlight w:val="none"/>
        </w:rPr>
        <w:tab/>
      </w:r>
      <w:r>
        <w:rPr>
          <w:color w:val="auto"/>
          <w:highlight w:val="none"/>
        </w:rPr>
        <w:fldChar w:fldCharType="begin"/>
      </w:r>
      <w:r>
        <w:rPr>
          <w:color w:val="auto"/>
          <w:highlight w:val="none"/>
        </w:rPr>
        <w:instrText xml:space="preserve"> PAGEREF _Toc3016 \h </w:instrText>
      </w:r>
      <w:r>
        <w:rPr>
          <w:color w:val="auto"/>
          <w:highlight w:val="none"/>
        </w:rPr>
        <w:fldChar w:fldCharType="separate"/>
      </w:r>
      <w:r>
        <w:rPr>
          <w:color w:val="auto"/>
          <w:highlight w:val="none"/>
        </w:rPr>
        <w:t>17</w:t>
      </w:r>
      <w:r>
        <w:rPr>
          <w:color w:val="auto"/>
          <w:highlight w:val="none"/>
        </w:rPr>
        <w:fldChar w:fldCharType="end"/>
      </w:r>
      <w:r>
        <w:rPr>
          <w:rFonts w:hint="eastAsia" w:ascii="宋体" w:hAnsi="宋体" w:cs="宋体"/>
          <w:color w:val="auto"/>
          <w:highlight w:val="none"/>
        </w:rPr>
        <w:fldChar w:fldCharType="end"/>
      </w:r>
    </w:p>
    <w:p w14:paraId="609F2921">
      <w:pPr>
        <w:pStyle w:val="31"/>
        <w:keepNext w:val="0"/>
        <w:keepLines w:val="0"/>
        <w:pageBreakBefore w:val="0"/>
        <w:widowControl w:val="0"/>
        <w:tabs>
          <w:tab w:val="right" w:leader="dot" w:pos="9242"/>
        </w:tabs>
        <w:kinsoku/>
        <w:wordWrap/>
        <w:overflowPunct/>
        <w:topLinePunct w:val="0"/>
        <w:autoSpaceDE/>
        <w:autoSpaceDN/>
        <w:bidi w:val="0"/>
        <w:adjustRightInd/>
        <w:snapToGrid/>
        <w:spacing w:line="400" w:lineRule="exact"/>
        <w:textAlignment w:val="auto"/>
        <w:rPr>
          <w:color w:val="auto"/>
          <w:highlight w:val="none"/>
        </w:rPr>
      </w:pPr>
      <w:r>
        <w:rPr>
          <w:rFonts w:hint="eastAsia" w:ascii="宋体" w:hAnsi="宋体" w:cs="宋体"/>
          <w:color w:val="auto"/>
          <w:highlight w:val="none"/>
        </w:rPr>
        <w:fldChar w:fldCharType="begin"/>
      </w:r>
      <w:r>
        <w:rPr>
          <w:rFonts w:hint="eastAsia" w:ascii="宋体" w:hAnsi="宋体" w:cs="宋体"/>
          <w:color w:val="auto"/>
          <w:highlight w:val="none"/>
        </w:rPr>
        <w:instrText xml:space="preserve"> HYPERLINK \l _Toc21607 </w:instrText>
      </w:r>
      <w:r>
        <w:rPr>
          <w:rFonts w:hint="eastAsia" w:ascii="宋体" w:hAnsi="宋体" w:cs="宋体"/>
          <w:color w:val="auto"/>
          <w:highlight w:val="none"/>
        </w:rPr>
        <w:fldChar w:fldCharType="separate"/>
      </w:r>
      <w:r>
        <w:rPr>
          <w:rFonts w:hint="eastAsia" w:ascii="宋体" w:hAnsi="宋体" w:cs="宋体"/>
          <w:color w:val="auto"/>
          <w:highlight w:val="none"/>
        </w:rPr>
        <w:t>投标人须知正文</w:t>
      </w:r>
      <w:r>
        <w:rPr>
          <w:color w:val="auto"/>
          <w:highlight w:val="none"/>
        </w:rPr>
        <w:tab/>
      </w:r>
      <w:r>
        <w:rPr>
          <w:color w:val="auto"/>
          <w:highlight w:val="none"/>
        </w:rPr>
        <w:fldChar w:fldCharType="begin"/>
      </w:r>
      <w:r>
        <w:rPr>
          <w:color w:val="auto"/>
          <w:highlight w:val="none"/>
        </w:rPr>
        <w:instrText xml:space="preserve"> PAGEREF _Toc21607 \h </w:instrText>
      </w:r>
      <w:r>
        <w:rPr>
          <w:color w:val="auto"/>
          <w:highlight w:val="none"/>
        </w:rPr>
        <w:fldChar w:fldCharType="separate"/>
      </w:r>
      <w:r>
        <w:rPr>
          <w:color w:val="auto"/>
          <w:highlight w:val="none"/>
        </w:rPr>
        <w:t>25</w:t>
      </w:r>
      <w:r>
        <w:rPr>
          <w:color w:val="auto"/>
          <w:highlight w:val="none"/>
        </w:rPr>
        <w:fldChar w:fldCharType="end"/>
      </w:r>
      <w:r>
        <w:rPr>
          <w:rFonts w:hint="eastAsia" w:ascii="宋体" w:hAnsi="宋体" w:cs="宋体"/>
          <w:color w:val="auto"/>
          <w:highlight w:val="none"/>
        </w:rPr>
        <w:fldChar w:fldCharType="end"/>
      </w:r>
    </w:p>
    <w:p w14:paraId="11FF211D">
      <w:pPr>
        <w:pStyle w:val="19"/>
        <w:keepNext w:val="0"/>
        <w:keepLines w:val="0"/>
        <w:pageBreakBefore w:val="0"/>
        <w:widowControl w:val="0"/>
        <w:tabs>
          <w:tab w:val="right" w:leader="dot" w:pos="9242"/>
        </w:tabs>
        <w:kinsoku/>
        <w:wordWrap/>
        <w:overflowPunct/>
        <w:topLinePunct w:val="0"/>
        <w:autoSpaceDE/>
        <w:autoSpaceDN/>
        <w:bidi w:val="0"/>
        <w:adjustRightInd/>
        <w:snapToGrid/>
        <w:spacing w:line="400" w:lineRule="exact"/>
        <w:textAlignment w:val="auto"/>
        <w:rPr>
          <w:color w:val="auto"/>
          <w:highlight w:val="none"/>
        </w:rPr>
      </w:pPr>
      <w:r>
        <w:rPr>
          <w:rFonts w:hint="eastAsia" w:ascii="宋体" w:hAnsi="宋体" w:cs="宋体"/>
          <w:color w:val="auto"/>
          <w:highlight w:val="none"/>
        </w:rPr>
        <w:fldChar w:fldCharType="begin"/>
      </w:r>
      <w:r>
        <w:rPr>
          <w:rFonts w:hint="eastAsia" w:ascii="宋体" w:hAnsi="宋体" w:cs="宋体"/>
          <w:color w:val="auto"/>
          <w:highlight w:val="none"/>
        </w:rPr>
        <w:instrText xml:space="preserve"> HYPERLINK \l _Toc7551 </w:instrText>
      </w:r>
      <w:r>
        <w:rPr>
          <w:rFonts w:hint="eastAsia" w:ascii="宋体" w:hAnsi="宋体" w:cs="宋体"/>
          <w:color w:val="auto"/>
          <w:highlight w:val="none"/>
        </w:rPr>
        <w:fldChar w:fldCharType="separate"/>
      </w:r>
      <w:r>
        <w:rPr>
          <w:rFonts w:hint="eastAsia" w:ascii="宋体" w:hAnsi="宋体" w:cs="宋体"/>
          <w:color w:val="auto"/>
          <w:highlight w:val="none"/>
        </w:rPr>
        <w:t>一、总  则</w:t>
      </w:r>
      <w:r>
        <w:rPr>
          <w:color w:val="auto"/>
          <w:highlight w:val="none"/>
        </w:rPr>
        <w:tab/>
      </w:r>
      <w:r>
        <w:rPr>
          <w:color w:val="auto"/>
          <w:highlight w:val="none"/>
        </w:rPr>
        <w:fldChar w:fldCharType="begin"/>
      </w:r>
      <w:r>
        <w:rPr>
          <w:color w:val="auto"/>
          <w:highlight w:val="none"/>
        </w:rPr>
        <w:instrText xml:space="preserve"> PAGEREF _Toc7551 \h </w:instrText>
      </w:r>
      <w:r>
        <w:rPr>
          <w:color w:val="auto"/>
          <w:highlight w:val="none"/>
        </w:rPr>
        <w:fldChar w:fldCharType="separate"/>
      </w:r>
      <w:r>
        <w:rPr>
          <w:color w:val="auto"/>
          <w:highlight w:val="none"/>
        </w:rPr>
        <w:t>25</w:t>
      </w:r>
      <w:r>
        <w:rPr>
          <w:color w:val="auto"/>
          <w:highlight w:val="none"/>
        </w:rPr>
        <w:fldChar w:fldCharType="end"/>
      </w:r>
      <w:r>
        <w:rPr>
          <w:rFonts w:hint="eastAsia" w:ascii="宋体" w:hAnsi="宋体" w:cs="宋体"/>
          <w:color w:val="auto"/>
          <w:highlight w:val="none"/>
        </w:rPr>
        <w:fldChar w:fldCharType="end"/>
      </w:r>
    </w:p>
    <w:p w14:paraId="784D50D9">
      <w:pPr>
        <w:pStyle w:val="19"/>
        <w:keepNext w:val="0"/>
        <w:keepLines w:val="0"/>
        <w:pageBreakBefore w:val="0"/>
        <w:widowControl w:val="0"/>
        <w:tabs>
          <w:tab w:val="right" w:leader="dot" w:pos="9242"/>
        </w:tabs>
        <w:kinsoku/>
        <w:wordWrap/>
        <w:overflowPunct/>
        <w:topLinePunct w:val="0"/>
        <w:autoSpaceDE/>
        <w:autoSpaceDN/>
        <w:bidi w:val="0"/>
        <w:adjustRightInd/>
        <w:snapToGrid/>
        <w:spacing w:line="400" w:lineRule="exact"/>
        <w:textAlignment w:val="auto"/>
        <w:rPr>
          <w:color w:val="auto"/>
          <w:highlight w:val="none"/>
        </w:rPr>
      </w:pPr>
      <w:r>
        <w:rPr>
          <w:rFonts w:hint="eastAsia" w:ascii="宋体" w:hAnsi="宋体" w:cs="宋体"/>
          <w:color w:val="auto"/>
          <w:highlight w:val="none"/>
        </w:rPr>
        <w:fldChar w:fldCharType="begin"/>
      </w:r>
      <w:r>
        <w:rPr>
          <w:rFonts w:hint="eastAsia" w:ascii="宋体" w:hAnsi="宋体" w:cs="宋体"/>
          <w:color w:val="auto"/>
          <w:highlight w:val="none"/>
        </w:rPr>
        <w:instrText xml:space="preserve"> HYPERLINK \l _Toc30666 </w:instrText>
      </w:r>
      <w:r>
        <w:rPr>
          <w:rFonts w:hint="eastAsia" w:ascii="宋体" w:hAnsi="宋体" w:cs="宋体"/>
          <w:color w:val="auto"/>
          <w:highlight w:val="none"/>
        </w:rPr>
        <w:fldChar w:fldCharType="separate"/>
      </w:r>
      <w:r>
        <w:rPr>
          <w:rFonts w:hint="eastAsia" w:ascii="宋体" w:hAnsi="宋体" w:cs="宋体"/>
          <w:color w:val="auto"/>
          <w:highlight w:val="none"/>
        </w:rPr>
        <w:t>二、招标文件</w:t>
      </w:r>
      <w:r>
        <w:rPr>
          <w:color w:val="auto"/>
          <w:highlight w:val="none"/>
        </w:rPr>
        <w:tab/>
      </w:r>
      <w:r>
        <w:rPr>
          <w:color w:val="auto"/>
          <w:highlight w:val="none"/>
        </w:rPr>
        <w:fldChar w:fldCharType="begin"/>
      </w:r>
      <w:r>
        <w:rPr>
          <w:color w:val="auto"/>
          <w:highlight w:val="none"/>
        </w:rPr>
        <w:instrText xml:space="preserve"> PAGEREF _Toc30666 \h </w:instrText>
      </w:r>
      <w:r>
        <w:rPr>
          <w:color w:val="auto"/>
          <w:highlight w:val="none"/>
        </w:rPr>
        <w:fldChar w:fldCharType="separate"/>
      </w:r>
      <w:r>
        <w:rPr>
          <w:color w:val="auto"/>
          <w:highlight w:val="none"/>
        </w:rPr>
        <w:t>27</w:t>
      </w:r>
      <w:r>
        <w:rPr>
          <w:color w:val="auto"/>
          <w:highlight w:val="none"/>
        </w:rPr>
        <w:fldChar w:fldCharType="end"/>
      </w:r>
      <w:r>
        <w:rPr>
          <w:rFonts w:hint="eastAsia" w:ascii="宋体" w:hAnsi="宋体" w:cs="宋体"/>
          <w:color w:val="auto"/>
          <w:highlight w:val="none"/>
        </w:rPr>
        <w:fldChar w:fldCharType="end"/>
      </w:r>
    </w:p>
    <w:p w14:paraId="731AF487">
      <w:pPr>
        <w:pStyle w:val="19"/>
        <w:keepNext w:val="0"/>
        <w:keepLines w:val="0"/>
        <w:pageBreakBefore w:val="0"/>
        <w:widowControl w:val="0"/>
        <w:tabs>
          <w:tab w:val="right" w:leader="dot" w:pos="9242"/>
        </w:tabs>
        <w:kinsoku/>
        <w:wordWrap/>
        <w:overflowPunct/>
        <w:topLinePunct w:val="0"/>
        <w:autoSpaceDE/>
        <w:autoSpaceDN/>
        <w:bidi w:val="0"/>
        <w:adjustRightInd/>
        <w:snapToGrid/>
        <w:spacing w:line="400" w:lineRule="exact"/>
        <w:textAlignment w:val="auto"/>
        <w:rPr>
          <w:color w:val="auto"/>
          <w:highlight w:val="none"/>
        </w:rPr>
      </w:pPr>
      <w:r>
        <w:rPr>
          <w:rFonts w:hint="eastAsia" w:ascii="宋体" w:hAnsi="宋体" w:cs="宋体"/>
          <w:color w:val="auto"/>
          <w:highlight w:val="none"/>
        </w:rPr>
        <w:fldChar w:fldCharType="begin"/>
      </w:r>
      <w:r>
        <w:rPr>
          <w:rFonts w:hint="eastAsia" w:ascii="宋体" w:hAnsi="宋体" w:cs="宋体"/>
          <w:color w:val="auto"/>
          <w:highlight w:val="none"/>
        </w:rPr>
        <w:instrText xml:space="preserve"> HYPERLINK \l _Toc11493 </w:instrText>
      </w:r>
      <w:r>
        <w:rPr>
          <w:rFonts w:hint="eastAsia" w:ascii="宋体" w:hAnsi="宋体" w:cs="宋体"/>
          <w:color w:val="auto"/>
          <w:highlight w:val="none"/>
        </w:rPr>
        <w:fldChar w:fldCharType="separate"/>
      </w:r>
      <w:r>
        <w:rPr>
          <w:rFonts w:hint="eastAsia" w:ascii="宋体" w:hAnsi="宋体" w:cs="宋体"/>
          <w:color w:val="auto"/>
          <w:highlight w:val="none"/>
        </w:rPr>
        <w:t>三、投标文件的编制</w:t>
      </w:r>
      <w:r>
        <w:rPr>
          <w:color w:val="auto"/>
          <w:highlight w:val="none"/>
        </w:rPr>
        <w:tab/>
      </w:r>
      <w:r>
        <w:rPr>
          <w:color w:val="auto"/>
          <w:highlight w:val="none"/>
        </w:rPr>
        <w:fldChar w:fldCharType="begin"/>
      </w:r>
      <w:r>
        <w:rPr>
          <w:color w:val="auto"/>
          <w:highlight w:val="none"/>
        </w:rPr>
        <w:instrText xml:space="preserve"> PAGEREF _Toc11493 \h </w:instrText>
      </w:r>
      <w:r>
        <w:rPr>
          <w:color w:val="auto"/>
          <w:highlight w:val="none"/>
        </w:rPr>
        <w:fldChar w:fldCharType="separate"/>
      </w:r>
      <w:r>
        <w:rPr>
          <w:color w:val="auto"/>
          <w:highlight w:val="none"/>
        </w:rPr>
        <w:t>28</w:t>
      </w:r>
      <w:r>
        <w:rPr>
          <w:color w:val="auto"/>
          <w:highlight w:val="none"/>
        </w:rPr>
        <w:fldChar w:fldCharType="end"/>
      </w:r>
      <w:r>
        <w:rPr>
          <w:rFonts w:hint="eastAsia" w:ascii="宋体" w:hAnsi="宋体" w:cs="宋体"/>
          <w:color w:val="auto"/>
          <w:highlight w:val="none"/>
        </w:rPr>
        <w:fldChar w:fldCharType="end"/>
      </w:r>
    </w:p>
    <w:p w14:paraId="6009961E">
      <w:pPr>
        <w:pStyle w:val="19"/>
        <w:keepNext w:val="0"/>
        <w:keepLines w:val="0"/>
        <w:pageBreakBefore w:val="0"/>
        <w:widowControl w:val="0"/>
        <w:tabs>
          <w:tab w:val="right" w:leader="dot" w:pos="9242"/>
        </w:tabs>
        <w:kinsoku/>
        <w:wordWrap/>
        <w:overflowPunct/>
        <w:topLinePunct w:val="0"/>
        <w:autoSpaceDE/>
        <w:autoSpaceDN/>
        <w:bidi w:val="0"/>
        <w:adjustRightInd/>
        <w:snapToGrid/>
        <w:spacing w:line="400" w:lineRule="exact"/>
        <w:textAlignment w:val="auto"/>
        <w:rPr>
          <w:color w:val="auto"/>
          <w:highlight w:val="none"/>
        </w:rPr>
      </w:pPr>
      <w:r>
        <w:rPr>
          <w:rFonts w:hint="eastAsia" w:ascii="宋体" w:hAnsi="宋体" w:cs="宋体"/>
          <w:color w:val="auto"/>
          <w:highlight w:val="none"/>
        </w:rPr>
        <w:fldChar w:fldCharType="begin"/>
      </w:r>
      <w:r>
        <w:rPr>
          <w:rFonts w:hint="eastAsia" w:ascii="宋体" w:hAnsi="宋体" w:cs="宋体"/>
          <w:color w:val="auto"/>
          <w:highlight w:val="none"/>
        </w:rPr>
        <w:instrText xml:space="preserve"> HYPERLINK \l _Toc21393 </w:instrText>
      </w:r>
      <w:r>
        <w:rPr>
          <w:rFonts w:hint="eastAsia" w:ascii="宋体" w:hAnsi="宋体" w:cs="宋体"/>
          <w:color w:val="auto"/>
          <w:highlight w:val="none"/>
        </w:rPr>
        <w:fldChar w:fldCharType="separate"/>
      </w:r>
      <w:r>
        <w:rPr>
          <w:rFonts w:hint="eastAsia" w:ascii="宋体" w:hAnsi="宋体" w:cs="宋体"/>
          <w:color w:val="auto"/>
          <w:highlight w:val="none"/>
        </w:rPr>
        <w:t>四、开  标</w:t>
      </w:r>
      <w:r>
        <w:rPr>
          <w:color w:val="auto"/>
          <w:highlight w:val="none"/>
        </w:rPr>
        <w:tab/>
      </w:r>
      <w:r>
        <w:rPr>
          <w:color w:val="auto"/>
          <w:highlight w:val="none"/>
        </w:rPr>
        <w:fldChar w:fldCharType="begin"/>
      </w:r>
      <w:r>
        <w:rPr>
          <w:color w:val="auto"/>
          <w:highlight w:val="none"/>
        </w:rPr>
        <w:instrText xml:space="preserve"> PAGEREF _Toc21393 \h </w:instrText>
      </w:r>
      <w:r>
        <w:rPr>
          <w:color w:val="auto"/>
          <w:highlight w:val="none"/>
        </w:rPr>
        <w:fldChar w:fldCharType="separate"/>
      </w:r>
      <w:r>
        <w:rPr>
          <w:color w:val="auto"/>
          <w:highlight w:val="none"/>
        </w:rPr>
        <w:t>30</w:t>
      </w:r>
      <w:r>
        <w:rPr>
          <w:color w:val="auto"/>
          <w:highlight w:val="none"/>
        </w:rPr>
        <w:fldChar w:fldCharType="end"/>
      </w:r>
      <w:r>
        <w:rPr>
          <w:rFonts w:hint="eastAsia" w:ascii="宋体" w:hAnsi="宋体" w:cs="宋体"/>
          <w:color w:val="auto"/>
          <w:highlight w:val="none"/>
        </w:rPr>
        <w:fldChar w:fldCharType="end"/>
      </w:r>
    </w:p>
    <w:p w14:paraId="4D53D721">
      <w:pPr>
        <w:pStyle w:val="19"/>
        <w:keepNext w:val="0"/>
        <w:keepLines w:val="0"/>
        <w:pageBreakBefore w:val="0"/>
        <w:widowControl w:val="0"/>
        <w:tabs>
          <w:tab w:val="right" w:leader="dot" w:pos="9242"/>
        </w:tabs>
        <w:kinsoku/>
        <w:wordWrap/>
        <w:overflowPunct/>
        <w:topLinePunct w:val="0"/>
        <w:autoSpaceDE/>
        <w:autoSpaceDN/>
        <w:bidi w:val="0"/>
        <w:adjustRightInd/>
        <w:snapToGrid/>
        <w:spacing w:line="400" w:lineRule="exact"/>
        <w:textAlignment w:val="auto"/>
        <w:rPr>
          <w:color w:val="auto"/>
          <w:highlight w:val="none"/>
        </w:rPr>
      </w:pPr>
      <w:r>
        <w:rPr>
          <w:rFonts w:hint="eastAsia" w:ascii="宋体" w:hAnsi="宋体" w:cs="宋体"/>
          <w:color w:val="auto"/>
          <w:highlight w:val="none"/>
        </w:rPr>
        <w:fldChar w:fldCharType="begin"/>
      </w:r>
      <w:r>
        <w:rPr>
          <w:rFonts w:hint="eastAsia" w:ascii="宋体" w:hAnsi="宋体" w:cs="宋体"/>
          <w:color w:val="auto"/>
          <w:highlight w:val="none"/>
        </w:rPr>
        <w:instrText xml:space="preserve"> HYPERLINK \l _Toc6086 </w:instrText>
      </w:r>
      <w:r>
        <w:rPr>
          <w:rFonts w:hint="eastAsia" w:ascii="宋体" w:hAnsi="宋体" w:cs="宋体"/>
          <w:color w:val="auto"/>
          <w:highlight w:val="none"/>
        </w:rPr>
        <w:fldChar w:fldCharType="separate"/>
      </w:r>
      <w:r>
        <w:rPr>
          <w:rFonts w:hint="eastAsia" w:ascii="宋体" w:hAnsi="宋体" w:cs="宋体"/>
          <w:color w:val="auto"/>
          <w:highlight w:val="none"/>
        </w:rPr>
        <w:t>五、资格审查</w:t>
      </w:r>
      <w:r>
        <w:rPr>
          <w:color w:val="auto"/>
          <w:highlight w:val="none"/>
        </w:rPr>
        <w:tab/>
      </w:r>
      <w:r>
        <w:rPr>
          <w:color w:val="auto"/>
          <w:highlight w:val="none"/>
        </w:rPr>
        <w:fldChar w:fldCharType="begin"/>
      </w:r>
      <w:r>
        <w:rPr>
          <w:color w:val="auto"/>
          <w:highlight w:val="none"/>
        </w:rPr>
        <w:instrText xml:space="preserve"> PAGEREF _Toc6086 \h </w:instrText>
      </w:r>
      <w:r>
        <w:rPr>
          <w:color w:val="auto"/>
          <w:highlight w:val="none"/>
        </w:rPr>
        <w:fldChar w:fldCharType="separate"/>
      </w:r>
      <w:r>
        <w:rPr>
          <w:color w:val="auto"/>
          <w:highlight w:val="none"/>
        </w:rPr>
        <w:t>31</w:t>
      </w:r>
      <w:r>
        <w:rPr>
          <w:color w:val="auto"/>
          <w:highlight w:val="none"/>
        </w:rPr>
        <w:fldChar w:fldCharType="end"/>
      </w:r>
      <w:r>
        <w:rPr>
          <w:rFonts w:hint="eastAsia" w:ascii="宋体" w:hAnsi="宋体" w:cs="宋体"/>
          <w:color w:val="auto"/>
          <w:highlight w:val="none"/>
        </w:rPr>
        <w:fldChar w:fldCharType="end"/>
      </w:r>
    </w:p>
    <w:p w14:paraId="2DDC0F5B">
      <w:pPr>
        <w:pStyle w:val="19"/>
        <w:keepNext w:val="0"/>
        <w:keepLines w:val="0"/>
        <w:pageBreakBefore w:val="0"/>
        <w:widowControl w:val="0"/>
        <w:tabs>
          <w:tab w:val="right" w:leader="dot" w:pos="9242"/>
        </w:tabs>
        <w:kinsoku/>
        <w:wordWrap/>
        <w:overflowPunct/>
        <w:topLinePunct w:val="0"/>
        <w:autoSpaceDE/>
        <w:autoSpaceDN/>
        <w:bidi w:val="0"/>
        <w:adjustRightInd/>
        <w:snapToGrid/>
        <w:spacing w:line="400" w:lineRule="exact"/>
        <w:textAlignment w:val="auto"/>
        <w:rPr>
          <w:color w:val="auto"/>
          <w:highlight w:val="none"/>
        </w:rPr>
      </w:pPr>
      <w:r>
        <w:rPr>
          <w:rFonts w:hint="eastAsia" w:ascii="宋体" w:hAnsi="宋体" w:cs="宋体"/>
          <w:color w:val="auto"/>
          <w:highlight w:val="none"/>
        </w:rPr>
        <w:fldChar w:fldCharType="begin"/>
      </w:r>
      <w:r>
        <w:rPr>
          <w:rFonts w:hint="eastAsia" w:ascii="宋体" w:hAnsi="宋体" w:cs="宋体"/>
          <w:color w:val="auto"/>
          <w:highlight w:val="none"/>
        </w:rPr>
        <w:instrText xml:space="preserve"> HYPERLINK \l _Toc17386 </w:instrText>
      </w:r>
      <w:r>
        <w:rPr>
          <w:rFonts w:hint="eastAsia" w:ascii="宋体" w:hAnsi="宋体" w:cs="宋体"/>
          <w:color w:val="auto"/>
          <w:highlight w:val="none"/>
        </w:rPr>
        <w:fldChar w:fldCharType="separate"/>
      </w:r>
      <w:r>
        <w:rPr>
          <w:rFonts w:hint="eastAsia" w:ascii="宋体" w:hAnsi="宋体" w:cs="宋体"/>
          <w:color w:val="auto"/>
          <w:highlight w:val="none"/>
        </w:rPr>
        <w:t>六、评  标</w:t>
      </w:r>
      <w:r>
        <w:rPr>
          <w:color w:val="auto"/>
          <w:highlight w:val="none"/>
        </w:rPr>
        <w:tab/>
      </w:r>
      <w:r>
        <w:rPr>
          <w:color w:val="auto"/>
          <w:highlight w:val="none"/>
        </w:rPr>
        <w:fldChar w:fldCharType="begin"/>
      </w:r>
      <w:r>
        <w:rPr>
          <w:color w:val="auto"/>
          <w:highlight w:val="none"/>
        </w:rPr>
        <w:instrText xml:space="preserve"> PAGEREF _Toc17386 \h </w:instrText>
      </w:r>
      <w:r>
        <w:rPr>
          <w:color w:val="auto"/>
          <w:highlight w:val="none"/>
        </w:rPr>
        <w:fldChar w:fldCharType="separate"/>
      </w:r>
      <w:r>
        <w:rPr>
          <w:color w:val="auto"/>
          <w:highlight w:val="none"/>
        </w:rPr>
        <w:t>32</w:t>
      </w:r>
      <w:r>
        <w:rPr>
          <w:color w:val="auto"/>
          <w:highlight w:val="none"/>
        </w:rPr>
        <w:fldChar w:fldCharType="end"/>
      </w:r>
      <w:r>
        <w:rPr>
          <w:rFonts w:hint="eastAsia" w:ascii="宋体" w:hAnsi="宋体" w:cs="宋体"/>
          <w:color w:val="auto"/>
          <w:highlight w:val="none"/>
        </w:rPr>
        <w:fldChar w:fldCharType="end"/>
      </w:r>
    </w:p>
    <w:p w14:paraId="6194D2A4">
      <w:pPr>
        <w:pStyle w:val="19"/>
        <w:keepNext w:val="0"/>
        <w:keepLines w:val="0"/>
        <w:pageBreakBefore w:val="0"/>
        <w:widowControl w:val="0"/>
        <w:tabs>
          <w:tab w:val="right" w:leader="dot" w:pos="9242"/>
        </w:tabs>
        <w:kinsoku/>
        <w:wordWrap/>
        <w:overflowPunct/>
        <w:topLinePunct w:val="0"/>
        <w:autoSpaceDE/>
        <w:autoSpaceDN/>
        <w:bidi w:val="0"/>
        <w:adjustRightInd/>
        <w:snapToGrid/>
        <w:spacing w:line="400" w:lineRule="exact"/>
        <w:textAlignment w:val="auto"/>
        <w:rPr>
          <w:color w:val="auto"/>
          <w:highlight w:val="none"/>
        </w:rPr>
      </w:pPr>
      <w:r>
        <w:rPr>
          <w:rFonts w:hint="eastAsia" w:ascii="宋体" w:hAnsi="宋体" w:cs="宋体"/>
          <w:color w:val="auto"/>
          <w:highlight w:val="none"/>
        </w:rPr>
        <w:fldChar w:fldCharType="begin"/>
      </w:r>
      <w:r>
        <w:rPr>
          <w:rFonts w:hint="eastAsia" w:ascii="宋体" w:hAnsi="宋体" w:cs="宋体"/>
          <w:color w:val="auto"/>
          <w:highlight w:val="none"/>
        </w:rPr>
        <w:instrText xml:space="preserve"> HYPERLINK \l _Toc12517 </w:instrText>
      </w:r>
      <w:r>
        <w:rPr>
          <w:rFonts w:hint="eastAsia" w:ascii="宋体" w:hAnsi="宋体" w:cs="宋体"/>
          <w:color w:val="auto"/>
          <w:highlight w:val="none"/>
        </w:rPr>
        <w:fldChar w:fldCharType="separate"/>
      </w:r>
      <w:r>
        <w:rPr>
          <w:rFonts w:hint="eastAsia" w:ascii="宋体" w:hAnsi="宋体" w:cs="宋体"/>
          <w:color w:val="auto"/>
          <w:highlight w:val="none"/>
        </w:rPr>
        <w:t>七、中标和合同</w:t>
      </w:r>
      <w:r>
        <w:rPr>
          <w:color w:val="auto"/>
          <w:highlight w:val="none"/>
        </w:rPr>
        <w:tab/>
      </w:r>
      <w:r>
        <w:rPr>
          <w:color w:val="auto"/>
          <w:highlight w:val="none"/>
        </w:rPr>
        <w:fldChar w:fldCharType="begin"/>
      </w:r>
      <w:r>
        <w:rPr>
          <w:color w:val="auto"/>
          <w:highlight w:val="none"/>
        </w:rPr>
        <w:instrText xml:space="preserve"> PAGEREF _Toc12517 \h </w:instrText>
      </w:r>
      <w:r>
        <w:rPr>
          <w:color w:val="auto"/>
          <w:highlight w:val="none"/>
        </w:rPr>
        <w:fldChar w:fldCharType="separate"/>
      </w:r>
      <w:r>
        <w:rPr>
          <w:color w:val="auto"/>
          <w:highlight w:val="none"/>
        </w:rPr>
        <w:t>33</w:t>
      </w:r>
      <w:r>
        <w:rPr>
          <w:color w:val="auto"/>
          <w:highlight w:val="none"/>
        </w:rPr>
        <w:fldChar w:fldCharType="end"/>
      </w:r>
      <w:r>
        <w:rPr>
          <w:rFonts w:hint="eastAsia" w:ascii="宋体" w:hAnsi="宋体" w:cs="宋体"/>
          <w:color w:val="auto"/>
          <w:highlight w:val="none"/>
        </w:rPr>
        <w:fldChar w:fldCharType="end"/>
      </w:r>
    </w:p>
    <w:p w14:paraId="5C012B23">
      <w:pPr>
        <w:pStyle w:val="19"/>
        <w:keepNext w:val="0"/>
        <w:keepLines w:val="0"/>
        <w:pageBreakBefore w:val="0"/>
        <w:widowControl w:val="0"/>
        <w:tabs>
          <w:tab w:val="right" w:leader="dot" w:pos="9242"/>
        </w:tabs>
        <w:kinsoku/>
        <w:wordWrap/>
        <w:overflowPunct/>
        <w:topLinePunct w:val="0"/>
        <w:autoSpaceDE/>
        <w:autoSpaceDN/>
        <w:bidi w:val="0"/>
        <w:adjustRightInd/>
        <w:snapToGrid/>
        <w:spacing w:line="400" w:lineRule="exact"/>
        <w:textAlignment w:val="auto"/>
        <w:rPr>
          <w:color w:val="auto"/>
          <w:highlight w:val="none"/>
        </w:rPr>
      </w:pPr>
      <w:r>
        <w:rPr>
          <w:rFonts w:hint="eastAsia" w:ascii="宋体" w:hAnsi="宋体" w:cs="宋体"/>
          <w:color w:val="auto"/>
          <w:highlight w:val="none"/>
        </w:rPr>
        <w:fldChar w:fldCharType="begin"/>
      </w:r>
      <w:r>
        <w:rPr>
          <w:rFonts w:hint="eastAsia" w:ascii="宋体" w:hAnsi="宋体" w:cs="宋体"/>
          <w:color w:val="auto"/>
          <w:highlight w:val="none"/>
        </w:rPr>
        <w:instrText xml:space="preserve"> HYPERLINK \l _Toc17072 </w:instrText>
      </w:r>
      <w:r>
        <w:rPr>
          <w:rFonts w:hint="eastAsia" w:ascii="宋体" w:hAnsi="宋体" w:cs="宋体"/>
          <w:color w:val="auto"/>
          <w:highlight w:val="none"/>
        </w:rPr>
        <w:fldChar w:fldCharType="separate"/>
      </w:r>
      <w:r>
        <w:rPr>
          <w:rFonts w:hint="eastAsia" w:ascii="宋体" w:hAnsi="宋体" w:cs="宋体"/>
          <w:color w:val="auto"/>
          <w:highlight w:val="none"/>
        </w:rPr>
        <w:t>八、其他事项</w:t>
      </w:r>
      <w:r>
        <w:rPr>
          <w:color w:val="auto"/>
          <w:highlight w:val="none"/>
        </w:rPr>
        <w:tab/>
      </w:r>
      <w:r>
        <w:rPr>
          <w:color w:val="auto"/>
          <w:highlight w:val="none"/>
        </w:rPr>
        <w:fldChar w:fldCharType="begin"/>
      </w:r>
      <w:r>
        <w:rPr>
          <w:color w:val="auto"/>
          <w:highlight w:val="none"/>
        </w:rPr>
        <w:instrText xml:space="preserve"> PAGEREF _Toc17072 \h </w:instrText>
      </w:r>
      <w:r>
        <w:rPr>
          <w:color w:val="auto"/>
          <w:highlight w:val="none"/>
        </w:rPr>
        <w:fldChar w:fldCharType="separate"/>
      </w:r>
      <w:r>
        <w:rPr>
          <w:color w:val="auto"/>
          <w:highlight w:val="none"/>
        </w:rPr>
        <w:t>36</w:t>
      </w:r>
      <w:r>
        <w:rPr>
          <w:color w:val="auto"/>
          <w:highlight w:val="none"/>
        </w:rPr>
        <w:fldChar w:fldCharType="end"/>
      </w:r>
      <w:r>
        <w:rPr>
          <w:rFonts w:hint="eastAsia" w:ascii="宋体" w:hAnsi="宋体" w:cs="宋体"/>
          <w:color w:val="auto"/>
          <w:highlight w:val="none"/>
        </w:rPr>
        <w:fldChar w:fldCharType="end"/>
      </w:r>
    </w:p>
    <w:p w14:paraId="5E903FA2">
      <w:pPr>
        <w:pStyle w:val="27"/>
        <w:keepNext w:val="0"/>
        <w:keepLines w:val="0"/>
        <w:pageBreakBefore w:val="0"/>
        <w:widowControl w:val="0"/>
        <w:tabs>
          <w:tab w:val="right" w:leader="dot" w:pos="9242"/>
        </w:tabs>
        <w:kinsoku/>
        <w:wordWrap/>
        <w:overflowPunct/>
        <w:topLinePunct w:val="0"/>
        <w:autoSpaceDE/>
        <w:autoSpaceDN/>
        <w:bidi w:val="0"/>
        <w:adjustRightInd/>
        <w:snapToGrid/>
        <w:spacing w:line="400" w:lineRule="exact"/>
        <w:textAlignment w:val="auto"/>
        <w:rPr>
          <w:color w:val="auto"/>
          <w:highlight w:val="none"/>
        </w:rPr>
      </w:pPr>
      <w:r>
        <w:rPr>
          <w:rFonts w:hint="eastAsia" w:ascii="宋体" w:hAnsi="宋体" w:cs="宋体"/>
          <w:color w:val="auto"/>
          <w:highlight w:val="none"/>
        </w:rPr>
        <w:fldChar w:fldCharType="begin"/>
      </w:r>
      <w:r>
        <w:rPr>
          <w:rFonts w:hint="eastAsia" w:ascii="宋体" w:hAnsi="宋体" w:cs="宋体"/>
          <w:color w:val="auto"/>
          <w:highlight w:val="none"/>
        </w:rPr>
        <w:instrText xml:space="preserve"> HYPERLINK \l _Toc15433 </w:instrText>
      </w:r>
      <w:r>
        <w:rPr>
          <w:rFonts w:hint="eastAsia" w:ascii="宋体" w:hAnsi="宋体" w:cs="宋体"/>
          <w:color w:val="auto"/>
          <w:highlight w:val="none"/>
        </w:rPr>
        <w:fldChar w:fldCharType="separate"/>
      </w:r>
      <w:r>
        <w:rPr>
          <w:rFonts w:hint="eastAsia" w:ascii="宋体" w:hAnsi="宋体" w:cs="宋体"/>
          <w:color w:val="auto"/>
          <w:highlight w:val="none"/>
        </w:rPr>
        <w:t>第四章  评标方法及评标标准</w:t>
      </w:r>
      <w:r>
        <w:rPr>
          <w:color w:val="auto"/>
          <w:highlight w:val="none"/>
        </w:rPr>
        <w:tab/>
      </w:r>
      <w:r>
        <w:rPr>
          <w:color w:val="auto"/>
          <w:highlight w:val="none"/>
        </w:rPr>
        <w:fldChar w:fldCharType="begin"/>
      </w:r>
      <w:r>
        <w:rPr>
          <w:color w:val="auto"/>
          <w:highlight w:val="none"/>
        </w:rPr>
        <w:instrText xml:space="preserve"> PAGEREF _Toc15433 \h </w:instrText>
      </w:r>
      <w:r>
        <w:rPr>
          <w:color w:val="auto"/>
          <w:highlight w:val="none"/>
        </w:rPr>
        <w:fldChar w:fldCharType="separate"/>
      </w:r>
      <w:r>
        <w:rPr>
          <w:color w:val="auto"/>
          <w:highlight w:val="none"/>
        </w:rPr>
        <w:t>40</w:t>
      </w:r>
      <w:r>
        <w:rPr>
          <w:color w:val="auto"/>
          <w:highlight w:val="none"/>
        </w:rPr>
        <w:fldChar w:fldCharType="end"/>
      </w:r>
      <w:r>
        <w:rPr>
          <w:rFonts w:hint="eastAsia" w:ascii="宋体" w:hAnsi="宋体" w:cs="宋体"/>
          <w:color w:val="auto"/>
          <w:highlight w:val="none"/>
        </w:rPr>
        <w:fldChar w:fldCharType="end"/>
      </w:r>
    </w:p>
    <w:p w14:paraId="53C66872">
      <w:pPr>
        <w:pStyle w:val="31"/>
        <w:keepNext w:val="0"/>
        <w:keepLines w:val="0"/>
        <w:pageBreakBefore w:val="0"/>
        <w:widowControl w:val="0"/>
        <w:tabs>
          <w:tab w:val="right" w:leader="dot" w:pos="9242"/>
        </w:tabs>
        <w:kinsoku/>
        <w:wordWrap/>
        <w:overflowPunct/>
        <w:topLinePunct w:val="0"/>
        <w:autoSpaceDE/>
        <w:autoSpaceDN/>
        <w:bidi w:val="0"/>
        <w:adjustRightInd/>
        <w:snapToGrid/>
        <w:spacing w:line="400" w:lineRule="exact"/>
        <w:textAlignment w:val="auto"/>
        <w:rPr>
          <w:color w:val="auto"/>
          <w:highlight w:val="none"/>
        </w:rPr>
      </w:pPr>
      <w:r>
        <w:rPr>
          <w:rFonts w:hint="eastAsia" w:ascii="宋体" w:hAnsi="宋体" w:cs="宋体"/>
          <w:color w:val="auto"/>
          <w:highlight w:val="none"/>
        </w:rPr>
        <w:fldChar w:fldCharType="begin"/>
      </w:r>
      <w:r>
        <w:rPr>
          <w:rFonts w:hint="eastAsia" w:ascii="宋体" w:hAnsi="宋体" w:cs="宋体"/>
          <w:color w:val="auto"/>
          <w:highlight w:val="none"/>
        </w:rPr>
        <w:instrText xml:space="preserve"> HYPERLINK \l _Toc22273 </w:instrText>
      </w:r>
      <w:r>
        <w:rPr>
          <w:rFonts w:hint="eastAsia" w:ascii="宋体" w:hAnsi="宋体" w:cs="宋体"/>
          <w:color w:val="auto"/>
          <w:highlight w:val="none"/>
        </w:rPr>
        <w:fldChar w:fldCharType="separate"/>
      </w:r>
      <w:r>
        <w:rPr>
          <w:rFonts w:hint="eastAsia" w:ascii="宋体" w:hAnsi="宋体" w:cs="宋体"/>
          <w:color w:val="auto"/>
          <w:highlight w:val="none"/>
        </w:rPr>
        <w:t>一、评标方法</w:t>
      </w:r>
      <w:r>
        <w:rPr>
          <w:color w:val="auto"/>
          <w:highlight w:val="none"/>
        </w:rPr>
        <w:tab/>
      </w:r>
      <w:r>
        <w:rPr>
          <w:color w:val="auto"/>
          <w:highlight w:val="none"/>
        </w:rPr>
        <w:fldChar w:fldCharType="begin"/>
      </w:r>
      <w:r>
        <w:rPr>
          <w:color w:val="auto"/>
          <w:highlight w:val="none"/>
        </w:rPr>
        <w:instrText xml:space="preserve"> PAGEREF _Toc22273 \h </w:instrText>
      </w:r>
      <w:r>
        <w:rPr>
          <w:color w:val="auto"/>
          <w:highlight w:val="none"/>
        </w:rPr>
        <w:fldChar w:fldCharType="separate"/>
      </w:r>
      <w:r>
        <w:rPr>
          <w:color w:val="auto"/>
          <w:highlight w:val="none"/>
        </w:rPr>
        <w:t>40</w:t>
      </w:r>
      <w:r>
        <w:rPr>
          <w:color w:val="auto"/>
          <w:highlight w:val="none"/>
        </w:rPr>
        <w:fldChar w:fldCharType="end"/>
      </w:r>
      <w:r>
        <w:rPr>
          <w:rFonts w:hint="eastAsia" w:ascii="宋体" w:hAnsi="宋体" w:cs="宋体"/>
          <w:color w:val="auto"/>
          <w:highlight w:val="none"/>
        </w:rPr>
        <w:fldChar w:fldCharType="end"/>
      </w:r>
    </w:p>
    <w:p w14:paraId="14F0401E">
      <w:pPr>
        <w:pStyle w:val="31"/>
        <w:keepNext w:val="0"/>
        <w:keepLines w:val="0"/>
        <w:pageBreakBefore w:val="0"/>
        <w:widowControl w:val="0"/>
        <w:tabs>
          <w:tab w:val="right" w:leader="dot" w:pos="9242"/>
        </w:tabs>
        <w:kinsoku/>
        <w:wordWrap/>
        <w:overflowPunct/>
        <w:topLinePunct w:val="0"/>
        <w:autoSpaceDE/>
        <w:autoSpaceDN/>
        <w:bidi w:val="0"/>
        <w:adjustRightInd/>
        <w:snapToGrid/>
        <w:spacing w:line="400" w:lineRule="exact"/>
        <w:textAlignment w:val="auto"/>
        <w:rPr>
          <w:color w:val="auto"/>
          <w:highlight w:val="none"/>
        </w:rPr>
      </w:pPr>
      <w:r>
        <w:rPr>
          <w:rFonts w:hint="eastAsia" w:ascii="宋体" w:hAnsi="宋体" w:cs="宋体"/>
          <w:color w:val="auto"/>
          <w:highlight w:val="none"/>
        </w:rPr>
        <w:fldChar w:fldCharType="begin"/>
      </w:r>
      <w:r>
        <w:rPr>
          <w:rFonts w:hint="eastAsia" w:ascii="宋体" w:hAnsi="宋体" w:cs="宋体"/>
          <w:color w:val="auto"/>
          <w:highlight w:val="none"/>
        </w:rPr>
        <w:instrText xml:space="preserve"> HYPERLINK \l _Toc29445 </w:instrText>
      </w:r>
      <w:r>
        <w:rPr>
          <w:rFonts w:hint="eastAsia" w:ascii="宋体" w:hAnsi="宋体" w:cs="宋体"/>
          <w:color w:val="auto"/>
          <w:highlight w:val="none"/>
        </w:rPr>
        <w:fldChar w:fldCharType="separate"/>
      </w:r>
      <w:r>
        <w:rPr>
          <w:rFonts w:hint="eastAsia" w:ascii="宋体" w:hAnsi="宋体" w:cs="宋体"/>
          <w:color w:val="auto"/>
          <w:highlight w:val="none"/>
        </w:rPr>
        <w:t>二、评标程序</w:t>
      </w:r>
      <w:r>
        <w:rPr>
          <w:color w:val="auto"/>
          <w:highlight w:val="none"/>
        </w:rPr>
        <w:tab/>
      </w:r>
      <w:r>
        <w:rPr>
          <w:color w:val="auto"/>
          <w:highlight w:val="none"/>
        </w:rPr>
        <w:fldChar w:fldCharType="begin"/>
      </w:r>
      <w:r>
        <w:rPr>
          <w:color w:val="auto"/>
          <w:highlight w:val="none"/>
        </w:rPr>
        <w:instrText xml:space="preserve"> PAGEREF _Toc29445 \h </w:instrText>
      </w:r>
      <w:r>
        <w:rPr>
          <w:color w:val="auto"/>
          <w:highlight w:val="none"/>
        </w:rPr>
        <w:fldChar w:fldCharType="separate"/>
      </w:r>
      <w:r>
        <w:rPr>
          <w:color w:val="auto"/>
          <w:highlight w:val="none"/>
        </w:rPr>
        <w:t>40</w:t>
      </w:r>
      <w:r>
        <w:rPr>
          <w:color w:val="auto"/>
          <w:highlight w:val="none"/>
        </w:rPr>
        <w:fldChar w:fldCharType="end"/>
      </w:r>
      <w:r>
        <w:rPr>
          <w:rFonts w:hint="eastAsia" w:ascii="宋体" w:hAnsi="宋体" w:cs="宋体"/>
          <w:color w:val="auto"/>
          <w:highlight w:val="none"/>
        </w:rPr>
        <w:fldChar w:fldCharType="end"/>
      </w:r>
    </w:p>
    <w:p w14:paraId="197A2AFB">
      <w:pPr>
        <w:pStyle w:val="31"/>
        <w:keepNext w:val="0"/>
        <w:keepLines w:val="0"/>
        <w:pageBreakBefore w:val="0"/>
        <w:widowControl w:val="0"/>
        <w:tabs>
          <w:tab w:val="right" w:leader="dot" w:pos="9242"/>
        </w:tabs>
        <w:kinsoku/>
        <w:wordWrap/>
        <w:overflowPunct/>
        <w:topLinePunct w:val="0"/>
        <w:autoSpaceDE/>
        <w:autoSpaceDN/>
        <w:bidi w:val="0"/>
        <w:adjustRightInd/>
        <w:snapToGrid/>
        <w:spacing w:line="400" w:lineRule="exact"/>
        <w:textAlignment w:val="auto"/>
        <w:rPr>
          <w:color w:val="auto"/>
          <w:highlight w:val="none"/>
        </w:rPr>
      </w:pPr>
      <w:r>
        <w:rPr>
          <w:rFonts w:hint="eastAsia" w:ascii="宋体" w:hAnsi="宋体" w:cs="宋体"/>
          <w:color w:val="auto"/>
          <w:highlight w:val="none"/>
        </w:rPr>
        <w:fldChar w:fldCharType="begin"/>
      </w:r>
      <w:r>
        <w:rPr>
          <w:rFonts w:hint="eastAsia" w:ascii="宋体" w:hAnsi="宋体" w:cs="宋体"/>
          <w:color w:val="auto"/>
          <w:highlight w:val="none"/>
        </w:rPr>
        <w:instrText xml:space="preserve"> HYPERLINK \l _Toc4705 </w:instrText>
      </w:r>
      <w:r>
        <w:rPr>
          <w:rFonts w:hint="eastAsia" w:ascii="宋体" w:hAnsi="宋体" w:cs="宋体"/>
          <w:color w:val="auto"/>
          <w:highlight w:val="none"/>
        </w:rPr>
        <w:fldChar w:fldCharType="separate"/>
      </w:r>
      <w:r>
        <w:rPr>
          <w:rFonts w:hint="eastAsia" w:ascii="宋体" w:hAnsi="宋体" w:cs="宋体"/>
          <w:color w:val="auto"/>
          <w:highlight w:val="none"/>
        </w:rPr>
        <w:t>三、评标标准</w:t>
      </w:r>
      <w:r>
        <w:rPr>
          <w:color w:val="auto"/>
          <w:highlight w:val="none"/>
        </w:rPr>
        <w:tab/>
      </w:r>
      <w:r>
        <w:rPr>
          <w:color w:val="auto"/>
          <w:highlight w:val="none"/>
        </w:rPr>
        <w:fldChar w:fldCharType="begin"/>
      </w:r>
      <w:r>
        <w:rPr>
          <w:color w:val="auto"/>
          <w:highlight w:val="none"/>
        </w:rPr>
        <w:instrText xml:space="preserve"> PAGEREF _Toc4705 \h </w:instrText>
      </w:r>
      <w:r>
        <w:rPr>
          <w:color w:val="auto"/>
          <w:highlight w:val="none"/>
        </w:rPr>
        <w:fldChar w:fldCharType="separate"/>
      </w:r>
      <w:r>
        <w:rPr>
          <w:color w:val="auto"/>
          <w:highlight w:val="none"/>
        </w:rPr>
        <w:t>43</w:t>
      </w:r>
      <w:r>
        <w:rPr>
          <w:color w:val="auto"/>
          <w:highlight w:val="none"/>
        </w:rPr>
        <w:fldChar w:fldCharType="end"/>
      </w:r>
      <w:r>
        <w:rPr>
          <w:rFonts w:hint="eastAsia" w:ascii="宋体" w:hAnsi="宋体" w:cs="宋体"/>
          <w:color w:val="auto"/>
          <w:highlight w:val="none"/>
        </w:rPr>
        <w:fldChar w:fldCharType="end"/>
      </w:r>
    </w:p>
    <w:p w14:paraId="764F9C04">
      <w:pPr>
        <w:pStyle w:val="31"/>
        <w:keepNext w:val="0"/>
        <w:keepLines w:val="0"/>
        <w:pageBreakBefore w:val="0"/>
        <w:widowControl w:val="0"/>
        <w:tabs>
          <w:tab w:val="right" w:leader="dot" w:pos="9242"/>
        </w:tabs>
        <w:kinsoku/>
        <w:wordWrap/>
        <w:overflowPunct/>
        <w:topLinePunct w:val="0"/>
        <w:autoSpaceDE/>
        <w:autoSpaceDN/>
        <w:bidi w:val="0"/>
        <w:adjustRightInd/>
        <w:snapToGrid/>
        <w:spacing w:line="400" w:lineRule="exact"/>
        <w:textAlignment w:val="auto"/>
        <w:rPr>
          <w:color w:val="auto"/>
          <w:highlight w:val="none"/>
        </w:rPr>
      </w:pPr>
      <w:r>
        <w:rPr>
          <w:rFonts w:hint="eastAsia" w:ascii="宋体" w:hAnsi="宋体" w:cs="宋体"/>
          <w:color w:val="auto"/>
          <w:highlight w:val="none"/>
        </w:rPr>
        <w:fldChar w:fldCharType="begin"/>
      </w:r>
      <w:r>
        <w:rPr>
          <w:rFonts w:hint="eastAsia" w:ascii="宋体" w:hAnsi="宋体" w:cs="宋体"/>
          <w:color w:val="auto"/>
          <w:highlight w:val="none"/>
        </w:rPr>
        <w:instrText xml:space="preserve"> HYPERLINK \l _Toc29253 </w:instrText>
      </w:r>
      <w:r>
        <w:rPr>
          <w:rFonts w:hint="eastAsia" w:ascii="宋体" w:hAnsi="宋体" w:cs="宋体"/>
          <w:color w:val="auto"/>
          <w:highlight w:val="none"/>
        </w:rPr>
        <w:fldChar w:fldCharType="separate"/>
      </w:r>
      <w:r>
        <w:rPr>
          <w:rFonts w:hint="eastAsia" w:ascii="宋体" w:hAnsi="宋体" w:cs="宋体"/>
          <w:color w:val="auto"/>
          <w:highlight w:val="none"/>
        </w:rPr>
        <w:t>评分标准（综合评分法）</w:t>
      </w:r>
      <w:r>
        <w:rPr>
          <w:color w:val="auto"/>
          <w:highlight w:val="none"/>
        </w:rPr>
        <w:tab/>
      </w:r>
      <w:r>
        <w:rPr>
          <w:color w:val="auto"/>
          <w:highlight w:val="none"/>
        </w:rPr>
        <w:fldChar w:fldCharType="begin"/>
      </w:r>
      <w:r>
        <w:rPr>
          <w:color w:val="auto"/>
          <w:highlight w:val="none"/>
        </w:rPr>
        <w:instrText xml:space="preserve"> PAGEREF _Toc29253 \h </w:instrText>
      </w:r>
      <w:r>
        <w:rPr>
          <w:color w:val="auto"/>
          <w:highlight w:val="none"/>
        </w:rPr>
        <w:fldChar w:fldCharType="separate"/>
      </w:r>
      <w:r>
        <w:rPr>
          <w:color w:val="auto"/>
          <w:highlight w:val="none"/>
        </w:rPr>
        <w:t>44</w:t>
      </w:r>
      <w:r>
        <w:rPr>
          <w:color w:val="auto"/>
          <w:highlight w:val="none"/>
        </w:rPr>
        <w:fldChar w:fldCharType="end"/>
      </w:r>
      <w:r>
        <w:rPr>
          <w:rFonts w:hint="eastAsia" w:ascii="宋体" w:hAnsi="宋体" w:cs="宋体"/>
          <w:color w:val="auto"/>
          <w:highlight w:val="none"/>
        </w:rPr>
        <w:fldChar w:fldCharType="end"/>
      </w:r>
    </w:p>
    <w:p w14:paraId="4E60CDDC">
      <w:pPr>
        <w:pStyle w:val="31"/>
        <w:keepNext w:val="0"/>
        <w:keepLines w:val="0"/>
        <w:pageBreakBefore w:val="0"/>
        <w:widowControl w:val="0"/>
        <w:tabs>
          <w:tab w:val="right" w:leader="dot" w:pos="9242"/>
        </w:tabs>
        <w:kinsoku/>
        <w:wordWrap/>
        <w:overflowPunct/>
        <w:topLinePunct w:val="0"/>
        <w:autoSpaceDE/>
        <w:autoSpaceDN/>
        <w:bidi w:val="0"/>
        <w:adjustRightInd/>
        <w:snapToGrid/>
        <w:spacing w:line="400" w:lineRule="exact"/>
        <w:textAlignment w:val="auto"/>
        <w:rPr>
          <w:color w:val="auto"/>
          <w:highlight w:val="none"/>
        </w:rPr>
      </w:pPr>
      <w:r>
        <w:rPr>
          <w:rFonts w:hint="eastAsia" w:ascii="宋体" w:hAnsi="宋体" w:cs="宋体"/>
          <w:color w:val="auto"/>
          <w:highlight w:val="none"/>
        </w:rPr>
        <w:fldChar w:fldCharType="begin"/>
      </w:r>
      <w:r>
        <w:rPr>
          <w:rFonts w:hint="eastAsia" w:ascii="宋体" w:hAnsi="宋体" w:cs="宋体"/>
          <w:color w:val="auto"/>
          <w:highlight w:val="none"/>
        </w:rPr>
        <w:instrText xml:space="preserve"> HYPERLINK \l _Toc4130 </w:instrText>
      </w:r>
      <w:r>
        <w:rPr>
          <w:rFonts w:hint="eastAsia" w:ascii="宋体" w:hAnsi="宋体" w:cs="宋体"/>
          <w:color w:val="auto"/>
          <w:highlight w:val="none"/>
        </w:rPr>
        <w:fldChar w:fldCharType="separate"/>
      </w:r>
      <w:r>
        <w:rPr>
          <w:rFonts w:hint="eastAsia" w:ascii="宋体" w:hAnsi="宋体" w:cs="宋体"/>
          <w:color w:val="auto"/>
          <w:highlight w:val="none"/>
        </w:rPr>
        <w:t>四、中标候选人推荐原则</w:t>
      </w:r>
      <w:r>
        <w:rPr>
          <w:color w:val="auto"/>
          <w:highlight w:val="none"/>
        </w:rPr>
        <w:tab/>
      </w:r>
      <w:r>
        <w:rPr>
          <w:color w:val="auto"/>
          <w:highlight w:val="none"/>
        </w:rPr>
        <w:fldChar w:fldCharType="begin"/>
      </w:r>
      <w:r>
        <w:rPr>
          <w:color w:val="auto"/>
          <w:highlight w:val="none"/>
        </w:rPr>
        <w:instrText xml:space="preserve"> PAGEREF _Toc4130 \h </w:instrText>
      </w:r>
      <w:r>
        <w:rPr>
          <w:color w:val="auto"/>
          <w:highlight w:val="none"/>
        </w:rPr>
        <w:fldChar w:fldCharType="separate"/>
      </w:r>
      <w:r>
        <w:rPr>
          <w:color w:val="auto"/>
          <w:highlight w:val="none"/>
        </w:rPr>
        <w:t>44</w:t>
      </w:r>
      <w:r>
        <w:rPr>
          <w:color w:val="auto"/>
          <w:highlight w:val="none"/>
        </w:rPr>
        <w:fldChar w:fldCharType="end"/>
      </w:r>
      <w:r>
        <w:rPr>
          <w:rFonts w:hint="eastAsia" w:ascii="宋体" w:hAnsi="宋体" w:cs="宋体"/>
          <w:color w:val="auto"/>
          <w:highlight w:val="none"/>
        </w:rPr>
        <w:fldChar w:fldCharType="end"/>
      </w:r>
    </w:p>
    <w:p w14:paraId="6EC7C6BA">
      <w:pPr>
        <w:pStyle w:val="27"/>
        <w:keepNext w:val="0"/>
        <w:keepLines w:val="0"/>
        <w:pageBreakBefore w:val="0"/>
        <w:widowControl w:val="0"/>
        <w:tabs>
          <w:tab w:val="right" w:leader="dot" w:pos="9242"/>
        </w:tabs>
        <w:kinsoku/>
        <w:wordWrap/>
        <w:overflowPunct/>
        <w:topLinePunct w:val="0"/>
        <w:autoSpaceDE/>
        <w:autoSpaceDN/>
        <w:bidi w:val="0"/>
        <w:adjustRightInd/>
        <w:snapToGrid/>
        <w:spacing w:line="400" w:lineRule="exact"/>
        <w:textAlignment w:val="auto"/>
        <w:rPr>
          <w:color w:val="auto"/>
          <w:highlight w:val="none"/>
        </w:rPr>
      </w:pPr>
      <w:r>
        <w:rPr>
          <w:rFonts w:hint="eastAsia" w:ascii="宋体" w:hAnsi="宋体" w:cs="宋体"/>
          <w:color w:val="auto"/>
          <w:highlight w:val="none"/>
        </w:rPr>
        <w:fldChar w:fldCharType="begin"/>
      </w:r>
      <w:r>
        <w:rPr>
          <w:rFonts w:hint="eastAsia" w:ascii="宋体" w:hAnsi="宋体" w:cs="宋体"/>
          <w:color w:val="auto"/>
          <w:highlight w:val="none"/>
        </w:rPr>
        <w:instrText xml:space="preserve"> HYPERLINK \l _Toc22428 </w:instrText>
      </w:r>
      <w:r>
        <w:rPr>
          <w:rFonts w:hint="eastAsia" w:ascii="宋体" w:hAnsi="宋体" w:cs="宋体"/>
          <w:color w:val="auto"/>
          <w:highlight w:val="none"/>
        </w:rPr>
        <w:fldChar w:fldCharType="separate"/>
      </w:r>
      <w:r>
        <w:rPr>
          <w:rFonts w:hint="eastAsia" w:ascii="宋体" w:hAnsi="宋体" w:cs="宋体"/>
          <w:color w:val="auto"/>
          <w:highlight w:val="none"/>
        </w:rPr>
        <w:t>第五章  拟签订的合同文本</w:t>
      </w:r>
      <w:r>
        <w:rPr>
          <w:color w:val="auto"/>
          <w:highlight w:val="none"/>
        </w:rPr>
        <w:tab/>
      </w:r>
      <w:r>
        <w:rPr>
          <w:color w:val="auto"/>
          <w:highlight w:val="none"/>
        </w:rPr>
        <w:fldChar w:fldCharType="begin"/>
      </w:r>
      <w:r>
        <w:rPr>
          <w:color w:val="auto"/>
          <w:highlight w:val="none"/>
        </w:rPr>
        <w:instrText xml:space="preserve"> PAGEREF _Toc22428 \h </w:instrText>
      </w:r>
      <w:r>
        <w:rPr>
          <w:color w:val="auto"/>
          <w:highlight w:val="none"/>
        </w:rPr>
        <w:fldChar w:fldCharType="separate"/>
      </w:r>
      <w:r>
        <w:rPr>
          <w:color w:val="auto"/>
          <w:highlight w:val="none"/>
        </w:rPr>
        <w:t>49</w:t>
      </w:r>
      <w:r>
        <w:rPr>
          <w:color w:val="auto"/>
          <w:highlight w:val="none"/>
        </w:rPr>
        <w:fldChar w:fldCharType="end"/>
      </w:r>
      <w:r>
        <w:rPr>
          <w:rFonts w:hint="eastAsia" w:ascii="宋体" w:hAnsi="宋体" w:cs="宋体"/>
          <w:color w:val="auto"/>
          <w:highlight w:val="none"/>
        </w:rPr>
        <w:fldChar w:fldCharType="end"/>
      </w:r>
    </w:p>
    <w:p w14:paraId="512D7111">
      <w:pPr>
        <w:pStyle w:val="27"/>
        <w:keepNext w:val="0"/>
        <w:keepLines w:val="0"/>
        <w:pageBreakBefore w:val="0"/>
        <w:widowControl w:val="0"/>
        <w:tabs>
          <w:tab w:val="right" w:leader="dot" w:pos="9242"/>
        </w:tabs>
        <w:kinsoku/>
        <w:wordWrap/>
        <w:overflowPunct/>
        <w:topLinePunct w:val="0"/>
        <w:autoSpaceDE/>
        <w:autoSpaceDN/>
        <w:bidi w:val="0"/>
        <w:adjustRightInd/>
        <w:snapToGrid/>
        <w:spacing w:line="400" w:lineRule="exact"/>
        <w:textAlignment w:val="auto"/>
        <w:rPr>
          <w:color w:val="auto"/>
          <w:highlight w:val="none"/>
        </w:rPr>
      </w:pPr>
      <w:r>
        <w:rPr>
          <w:rFonts w:hint="eastAsia" w:ascii="宋体" w:hAnsi="宋体" w:cs="宋体"/>
          <w:color w:val="auto"/>
          <w:highlight w:val="none"/>
        </w:rPr>
        <w:fldChar w:fldCharType="begin"/>
      </w:r>
      <w:r>
        <w:rPr>
          <w:rFonts w:hint="eastAsia" w:ascii="宋体" w:hAnsi="宋体" w:cs="宋体"/>
          <w:color w:val="auto"/>
          <w:highlight w:val="none"/>
        </w:rPr>
        <w:instrText xml:space="preserve"> HYPERLINK \l _Toc20718 </w:instrText>
      </w:r>
      <w:r>
        <w:rPr>
          <w:rFonts w:hint="eastAsia" w:ascii="宋体" w:hAnsi="宋体" w:cs="宋体"/>
          <w:color w:val="auto"/>
          <w:highlight w:val="none"/>
        </w:rPr>
        <w:fldChar w:fldCharType="separate"/>
      </w:r>
      <w:r>
        <w:rPr>
          <w:rFonts w:hint="eastAsia" w:ascii="宋体" w:hAnsi="宋体" w:cs="宋体"/>
          <w:color w:val="auto"/>
          <w:highlight w:val="none"/>
        </w:rPr>
        <w:t>第六章　投标文件格式</w:t>
      </w:r>
      <w:r>
        <w:rPr>
          <w:color w:val="auto"/>
          <w:highlight w:val="none"/>
        </w:rPr>
        <w:tab/>
      </w:r>
      <w:r>
        <w:rPr>
          <w:color w:val="auto"/>
          <w:highlight w:val="none"/>
        </w:rPr>
        <w:fldChar w:fldCharType="begin"/>
      </w:r>
      <w:r>
        <w:rPr>
          <w:color w:val="auto"/>
          <w:highlight w:val="none"/>
        </w:rPr>
        <w:instrText xml:space="preserve"> PAGEREF _Toc20718 \h </w:instrText>
      </w:r>
      <w:r>
        <w:rPr>
          <w:color w:val="auto"/>
          <w:highlight w:val="none"/>
        </w:rPr>
        <w:fldChar w:fldCharType="separate"/>
      </w:r>
      <w:r>
        <w:rPr>
          <w:color w:val="auto"/>
          <w:highlight w:val="none"/>
        </w:rPr>
        <w:t>50</w:t>
      </w:r>
      <w:r>
        <w:rPr>
          <w:color w:val="auto"/>
          <w:highlight w:val="none"/>
        </w:rPr>
        <w:fldChar w:fldCharType="end"/>
      </w:r>
      <w:r>
        <w:rPr>
          <w:rFonts w:hint="eastAsia" w:ascii="宋体" w:hAnsi="宋体" w:cs="宋体"/>
          <w:color w:val="auto"/>
          <w:highlight w:val="none"/>
        </w:rPr>
        <w:fldChar w:fldCharType="end"/>
      </w:r>
    </w:p>
    <w:p w14:paraId="526D6CA7">
      <w:pPr>
        <w:pStyle w:val="31"/>
        <w:keepNext w:val="0"/>
        <w:keepLines w:val="0"/>
        <w:pageBreakBefore w:val="0"/>
        <w:widowControl w:val="0"/>
        <w:tabs>
          <w:tab w:val="right" w:leader="dot" w:pos="9242"/>
        </w:tabs>
        <w:kinsoku/>
        <w:wordWrap/>
        <w:overflowPunct/>
        <w:topLinePunct w:val="0"/>
        <w:autoSpaceDE/>
        <w:autoSpaceDN/>
        <w:bidi w:val="0"/>
        <w:adjustRightInd/>
        <w:snapToGrid/>
        <w:spacing w:line="400" w:lineRule="exact"/>
        <w:textAlignment w:val="auto"/>
        <w:rPr>
          <w:color w:val="auto"/>
          <w:highlight w:val="none"/>
        </w:rPr>
      </w:pPr>
      <w:r>
        <w:rPr>
          <w:rFonts w:hint="eastAsia" w:ascii="宋体" w:hAnsi="宋体" w:cs="宋体"/>
          <w:color w:val="auto"/>
          <w:highlight w:val="none"/>
        </w:rPr>
        <w:fldChar w:fldCharType="begin"/>
      </w:r>
      <w:r>
        <w:rPr>
          <w:rFonts w:hint="eastAsia" w:ascii="宋体" w:hAnsi="宋体" w:cs="宋体"/>
          <w:color w:val="auto"/>
          <w:highlight w:val="none"/>
        </w:rPr>
        <w:instrText xml:space="preserve"> HYPERLINK \l _Toc7400 </w:instrText>
      </w:r>
      <w:r>
        <w:rPr>
          <w:rFonts w:hint="eastAsia" w:ascii="宋体" w:hAnsi="宋体" w:cs="宋体"/>
          <w:color w:val="auto"/>
          <w:highlight w:val="none"/>
        </w:rPr>
        <w:fldChar w:fldCharType="separate"/>
      </w:r>
      <w:r>
        <w:rPr>
          <w:rFonts w:hint="eastAsia" w:ascii="宋体" w:hAnsi="宋体" w:cs="宋体"/>
          <w:color w:val="auto"/>
          <w:szCs w:val="28"/>
          <w:highlight w:val="none"/>
        </w:rPr>
        <w:t>一、报价文件格式</w:t>
      </w:r>
      <w:r>
        <w:rPr>
          <w:color w:val="auto"/>
          <w:highlight w:val="none"/>
        </w:rPr>
        <w:tab/>
      </w:r>
      <w:r>
        <w:rPr>
          <w:color w:val="auto"/>
          <w:highlight w:val="none"/>
        </w:rPr>
        <w:fldChar w:fldCharType="begin"/>
      </w:r>
      <w:r>
        <w:rPr>
          <w:color w:val="auto"/>
          <w:highlight w:val="none"/>
        </w:rPr>
        <w:instrText xml:space="preserve"> PAGEREF _Toc7400 \h </w:instrText>
      </w:r>
      <w:r>
        <w:rPr>
          <w:color w:val="auto"/>
          <w:highlight w:val="none"/>
        </w:rPr>
        <w:fldChar w:fldCharType="separate"/>
      </w:r>
      <w:r>
        <w:rPr>
          <w:color w:val="auto"/>
          <w:highlight w:val="none"/>
        </w:rPr>
        <w:t>59</w:t>
      </w:r>
      <w:r>
        <w:rPr>
          <w:color w:val="auto"/>
          <w:highlight w:val="none"/>
        </w:rPr>
        <w:fldChar w:fldCharType="end"/>
      </w:r>
      <w:r>
        <w:rPr>
          <w:rFonts w:hint="eastAsia" w:ascii="宋体" w:hAnsi="宋体" w:cs="宋体"/>
          <w:color w:val="auto"/>
          <w:highlight w:val="none"/>
        </w:rPr>
        <w:fldChar w:fldCharType="end"/>
      </w:r>
    </w:p>
    <w:p w14:paraId="3981F8C7">
      <w:pPr>
        <w:pStyle w:val="31"/>
        <w:keepNext w:val="0"/>
        <w:keepLines w:val="0"/>
        <w:pageBreakBefore w:val="0"/>
        <w:widowControl w:val="0"/>
        <w:tabs>
          <w:tab w:val="right" w:leader="dot" w:pos="9242"/>
        </w:tabs>
        <w:kinsoku/>
        <w:wordWrap/>
        <w:overflowPunct/>
        <w:topLinePunct w:val="0"/>
        <w:autoSpaceDE/>
        <w:autoSpaceDN/>
        <w:bidi w:val="0"/>
        <w:adjustRightInd/>
        <w:snapToGrid/>
        <w:spacing w:line="400" w:lineRule="exact"/>
        <w:textAlignment w:val="auto"/>
        <w:rPr>
          <w:color w:val="auto"/>
          <w:highlight w:val="none"/>
        </w:rPr>
      </w:pPr>
      <w:r>
        <w:rPr>
          <w:rFonts w:hint="eastAsia" w:ascii="宋体" w:hAnsi="宋体" w:cs="宋体"/>
          <w:color w:val="auto"/>
          <w:highlight w:val="none"/>
        </w:rPr>
        <w:fldChar w:fldCharType="begin"/>
      </w:r>
      <w:r>
        <w:rPr>
          <w:rFonts w:hint="eastAsia" w:ascii="宋体" w:hAnsi="宋体" w:cs="宋体"/>
          <w:color w:val="auto"/>
          <w:highlight w:val="none"/>
        </w:rPr>
        <w:instrText xml:space="preserve"> HYPERLINK \l _Toc23452 </w:instrText>
      </w:r>
      <w:r>
        <w:rPr>
          <w:rFonts w:hint="eastAsia" w:ascii="宋体" w:hAnsi="宋体" w:cs="宋体"/>
          <w:color w:val="auto"/>
          <w:highlight w:val="none"/>
        </w:rPr>
        <w:fldChar w:fldCharType="separate"/>
      </w:r>
      <w:r>
        <w:rPr>
          <w:rFonts w:hint="eastAsia"/>
          <w:color w:val="auto"/>
          <w:highlight w:val="none"/>
        </w:rPr>
        <w:t>二、资格证明文件格式</w:t>
      </w:r>
      <w:r>
        <w:rPr>
          <w:color w:val="auto"/>
          <w:highlight w:val="none"/>
        </w:rPr>
        <w:tab/>
      </w:r>
      <w:r>
        <w:rPr>
          <w:color w:val="auto"/>
          <w:highlight w:val="none"/>
        </w:rPr>
        <w:fldChar w:fldCharType="begin"/>
      </w:r>
      <w:r>
        <w:rPr>
          <w:color w:val="auto"/>
          <w:highlight w:val="none"/>
        </w:rPr>
        <w:instrText xml:space="preserve"> PAGEREF _Toc23452 \h </w:instrText>
      </w:r>
      <w:r>
        <w:rPr>
          <w:color w:val="auto"/>
          <w:highlight w:val="none"/>
        </w:rPr>
        <w:fldChar w:fldCharType="separate"/>
      </w:r>
      <w:r>
        <w:rPr>
          <w:color w:val="auto"/>
          <w:highlight w:val="none"/>
        </w:rPr>
        <w:t>65</w:t>
      </w:r>
      <w:r>
        <w:rPr>
          <w:color w:val="auto"/>
          <w:highlight w:val="none"/>
        </w:rPr>
        <w:fldChar w:fldCharType="end"/>
      </w:r>
      <w:r>
        <w:rPr>
          <w:rFonts w:hint="eastAsia" w:ascii="宋体" w:hAnsi="宋体" w:cs="宋体"/>
          <w:color w:val="auto"/>
          <w:highlight w:val="none"/>
        </w:rPr>
        <w:fldChar w:fldCharType="end"/>
      </w:r>
    </w:p>
    <w:p w14:paraId="0B6CA5B9">
      <w:pPr>
        <w:pStyle w:val="31"/>
        <w:keepNext w:val="0"/>
        <w:keepLines w:val="0"/>
        <w:pageBreakBefore w:val="0"/>
        <w:widowControl w:val="0"/>
        <w:tabs>
          <w:tab w:val="right" w:leader="dot" w:pos="9242"/>
        </w:tabs>
        <w:kinsoku/>
        <w:wordWrap/>
        <w:overflowPunct/>
        <w:topLinePunct w:val="0"/>
        <w:autoSpaceDE/>
        <w:autoSpaceDN/>
        <w:bidi w:val="0"/>
        <w:adjustRightInd/>
        <w:snapToGrid/>
        <w:spacing w:line="400" w:lineRule="exact"/>
        <w:textAlignment w:val="auto"/>
        <w:rPr>
          <w:color w:val="auto"/>
          <w:highlight w:val="none"/>
        </w:rPr>
      </w:pPr>
      <w:r>
        <w:rPr>
          <w:rFonts w:hint="eastAsia" w:ascii="宋体" w:hAnsi="宋体" w:cs="宋体"/>
          <w:color w:val="auto"/>
          <w:highlight w:val="none"/>
        </w:rPr>
        <w:fldChar w:fldCharType="begin"/>
      </w:r>
      <w:r>
        <w:rPr>
          <w:rFonts w:hint="eastAsia" w:ascii="宋体" w:hAnsi="宋体" w:cs="宋体"/>
          <w:color w:val="auto"/>
          <w:highlight w:val="none"/>
        </w:rPr>
        <w:instrText xml:space="preserve"> HYPERLINK \l _Toc6222 </w:instrText>
      </w:r>
      <w:r>
        <w:rPr>
          <w:rFonts w:hint="eastAsia" w:ascii="宋体" w:hAnsi="宋体" w:cs="宋体"/>
          <w:color w:val="auto"/>
          <w:highlight w:val="none"/>
        </w:rPr>
        <w:fldChar w:fldCharType="separate"/>
      </w:r>
      <w:r>
        <w:rPr>
          <w:rFonts w:hint="eastAsia" w:ascii="宋体" w:hAnsi="宋体" w:cs="宋体"/>
          <w:color w:val="auto"/>
          <w:szCs w:val="28"/>
          <w:highlight w:val="none"/>
        </w:rPr>
        <w:t>三、商务及技术文件格式</w:t>
      </w:r>
      <w:r>
        <w:rPr>
          <w:color w:val="auto"/>
          <w:highlight w:val="none"/>
        </w:rPr>
        <w:tab/>
      </w:r>
      <w:r>
        <w:rPr>
          <w:color w:val="auto"/>
          <w:highlight w:val="none"/>
        </w:rPr>
        <w:fldChar w:fldCharType="begin"/>
      </w:r>
      <w:r>
        <w:rPr>
          <w:color w:val="auto"/>
          <w:highlight w:val="none"/>
        </w:rPr>
        <w:instrText xml:space="preserve"> PAGEREF _Toc6222 \h </w:instrText>
      </w:r>
      <w:r>
        <w:rPr>
          <w:color w:val="auto"/>
          <w:highlight w:val="none"/>
        </w:rPr>
        <w:fldChar w:fldCharType="separate"/>
      </w:r>
      <w:r>
        <w:rPr>
          <w:color w:val="auto"/>
          <w:highlight w:val="none"/>
        </w:rPr>
        <w:t>70</w:t>
      </w:r>
      <w:r>
        <w:rPr>
          <w:color w:val="auto"/>
          <w:highlight w:val="none"/>
        </w:rPr>
        <w:fldChar w:fldCharType="end"/>
      </w:r>
      <w:r>
        <w:rPr>
          <w:rFonts w:hint="eastAsia" w:ascii="宋体" w:hAnsi="宋体" w:cs="宋体"/>
          <w:color w:val="auto"/>
          <w:highlight w:val="none"/>
        </w:rPr>
        <w:fldChar w:fldCharType="end"/>
      </w:r>
    </w:p>
    <w:p w14:paraId="58AAEF1D">
      <w:pPr>
        <w:pStyle w:val="3"/>
        <w:keepNext w:val="0"/>
        <w:keepLines w:val="0"/>
        <w:pageBreakBefore w:val="0"/>
        <w:tabs>
          <w:tab w:val="left" w:pos="0"/>
          <w:tab w:val="left" w:pos="3165"/>
          <w:tab w:val="center" w:pos="4153"/>
        </w:tabs>
        <w:kinsoku/>
        <w:overflowPunct/>
        <w:topLinePunct w:val="0"/>
        <w:autoSpaceDE w:val="0"/>
        <w:autoSpaceDN w:val="0"/>
        <w:bidi w:val="0"/>
        <w:adjustRightInd w:val="0"/>
        <w:spacing w:before="0" w:after="0" w:line="240" w:lineRule="auto"/>
        <w:jc w:val="center"/>
        <w:textAlignment w:val="auto"/>
        <w:rPr>
          <w:rFonts w:hint="eastAsia" w:ascii="宋体" w:hAnsi="宋体" w:cs="宋体"/>
          <w:color w:val="auto"/>
          <w:highlight w:val="none"/>
        </w:rPr>
        <w:sectPr>
          <w:footerReference r:id="rId7" w:type="default"/>
          <w:pgSz w:w="11906" w:h="16838"/>
          <w:pgMar w:top="1440" w:right="1800" w:bottom="1440" w:left="1800" w:header="851" w:footer="992" w:gutter="0"/>
          <w:pgNumType w:fmt="decimal" w:start="1"/>
          <w:cols w:space="720" w:num="1"/>
          <w:docGrid w:type="lines" w:linePitch="312" w:charSpace="0"/>
        </w:sectPr>
      </w:pPr>
    </w:p>
    <w:p w14:paraId="3C60C5DD">
      <w:pPr>
        <w:pStyle w:val="3"/>
        <w:keepNext w:val="0"/>
        <w:keepLines w:val="0"/>
        <w:pageBreakBefore w:val="0"/>
        <w:tabs>
          <w:tab w:val="left" w:pos="0"/>
          <w:tab w:val="left" w:pos="3165"/>
          <w:tab w:val="center" w:pos="4153"/>
        </w:tabs>
        <w:kinsoku/>
        <w:overflowPunct/>
        <w:topLinePunct w:val="0"/>
        <w:autoSpaceDE w:val="0"/>
        <w:autoSpaceDN w:val="0"/>
        <w:bidi w:val="0"/>
        <w:adjustRightInd w:val="0"/>
        <w:spacing w:before="0" w:after="0" w:line="240" w:lineRule="auto"/>
        <w:jc w:val="center"/>
        <w:textAlignment w:val="auto"/>
        <w:rPr>
          <w:rFonts w:hint="eastAsia" w:ascii="宋体" w:hAnsi="宋体" w:cs="宋体"/>
          <w:color w:val="auto"/>
          <w:highlight w:val="none"/>
        </w:rPr>
      </w:pPr>
      <w:r>
        <w:rPr>
          <w:rFonts w:hint="eastAsia" w:ascii="宋体" w:hAnsi="宋体" w:cs="宋体"/>
          <w:color w:val="auto"/>
          <w:highlight w:val="none"/>
        </w:rPr>
        <w:fldChar w:fldCharType="end"/>
      </w:r>
      <w:bookmarkEnd w:id="5"/>
      <w:bookmarkEnd w:id="6"/>
      <w:bookmarkStart w:id="7" w:name="_Toc254970489"/>
      <w:bookmarkStart w:id="8" w:name="_Toc254970630"/>
      <w:bookmarkStart w:id="9" w:name="_Toc21030"/>
      <w:bookmarkStart w:id="10" w:name="_Toc16993"/>
      <w:bookmarkStart w:id="11" w:name="_Toc5452"/>
      <w:r>
        <w:rPr>
          <w:rFonts w:hint="eastAsia" w:ascii="宋体" w:hAnsi="宋体" w:cs="宋体"/>
          <w:color w:val="auto"/>
          <w:highlight w:val="none"/>
        </w:rPr>
        <w:t>第一章</w:t>
      </w:r>
      <w:bookmarkEnd w:id="7"/>
      <w:bookmarkEnd w:id="8"/>
      <w:bookmarkStart w:id="12" w:name="_Toc35393789"/>
      <w:bookmarkStart w:id="13" w:name="_Toc28359001"/>
      <w:r>
        <w:rPr>
          <w:rFonts w:hint="eastAsia" w:ascii="宋体" w:hAnsi="宋体" w:cs="宋体"/>
          <w:color w:val="auto"/>
          <w:highlight w:val="none"/>
        </w:rPr>
        <w:t xml:space="preserve">  招标公告</w:t>
      </w:r>
      <w:bookmarkEnd w:id="9"/>
      <w:bookmarkEnd w:id="10"/>
      <w:bookmarkEnd w:id="11"/>
      <w:bookmarkEnd w:id="12"/>
      <w:bookmarkEnd w:id="13"/>
    </w:p>
    <w:p w14:paraId="0B46F65A">
      <w:pPr>
        <w:keepNext w:val="0"/>
        <w:keepLines w:val="0"/>
        <w:pageBreakBefore w:val="0"/>
        <w:kinsoku/>
        <w:overflowPunct/>
        <w:topLinePunct w:val="0"/>
        <w:bidi w:val="0"/>
        <w:spacing w:line="400" w:lineRule="exact"/>
        <w:jc w:val="center"/>
        <w:textAlignment w:val="auto"/>
        <w:rPr>
          <w:rFonts w:hint="eastAsia" w:ascii="宋体" w:hAnsi="宋体" w:cs="宋体"/>
          <w:b/>
          <w:bCs/>
          <w:color w:val="auto"/>
          <w:sz w:val="24"/>
          <w:highlight w:val="none"/>
          <w:lang w:eastAsia="zh-CN"/>
        </w:rPr>
      </w:pPr>
      <w:r>
        <w:rPr>
          <w:rFonts w:hint="eastAsia" w:ascii="宋体" w:hAnsi="宋体" w:cs="宋体"/>
          <w:b/>
          <w:bCs/>
          <w:color w:val="auto"/>
          <w:sz w:val="24"/>
          <w:highlight w:val="none"/>
          <w:lang w:eastAsia="zh-CN"/>
        </w:rPr>
        <w:t>广西建设工程机电设备招标中心有限公司</w:t>
      </w:r>
    </w:p>
    <w:p w14:paraId="6E840DB9">
      <w:pPr>
        <w:keepNext w:val="0"/>
        <w:keepLines w:val="0"/>
        <w:pageBreakBefore w:val="0"/>
        <w:kinsoku/>
        <w:overflowPunct/>
        <w:topLinePunct w:val="0"/>
        <w:bidi w:val="0"/>
        <w:spacing w:line="400" w:lineRule="exact"/>
        <w:jc w:val="center"/>
        <w:textAlignment w:val="auto"/>
        <w:rPr>
          <w:rFonts w:hint="eastAsia" w:ascii="宋体" w:hAnsi="宋体" w:cs="宋体"/>
          <w:b/>
          <w:color w:val="auto"/>
          <w:sz w:val="24"/>
          <w:highlight w:val="none"/>
          <w:lang w:eastAsia="zh-CN"/>
        </w:rPr>
      </w:pPr>
      <w:r>
        <w:rPr>
          <w:rFonts w:hint="eastAsia" w:ascii="宋体" w:hAnsi="宋体" w:cs="宋体"/>
          <w:b/>
          <w:bCs/>
          <w:color w:val="auto"/>
          <w:sz w:val="24"/>
          <w:highlight w:val="none"/>
        </w:rPr>
        <w:t>关于</w:t>
      </w:r>
      <w:r>
        <w:rPr>
          <w:rFonts w:hint="eastAsia" w:ascii="宋体" w:hAnsi="宋体" w:cs="宋体"/>
          <w:b/>
          <w:color w:val="auto"/>
          <w:sz w:val="24"/>
          <w:highlight w:val="none"/>
          <w:lang w:eastAsia="zh-CN"/>
        </w:rPr>
        <w:t>广西壮族自治区2026年度计划生育特殊家庭综合保险项目</w:t>
      </w:r>
    </w:p>
    <w:p w14:paraId="7CBF8206">
      <w:pPr>
        <w:keepNext w:val="0"/>
        <w:keepLines w:val="0"/>
        <w:pageBreakBefore w:val="0"/>
        <w:kinsoku/>
        <w:overflowPunct/>
        <w:topLinePunct w:val="0"/>
        <w:bidi w:val="0"/>
        <w:spacing w:line="400" w:lineRule="exact"/>
        <w:jc w:val="center"/>
        <w:textAlignment w:val="auto"/>
        <w:rPr>
          <w:rFonts w:hint="eastAsia" w:ascii="宋体" w:hAnsi="宋体" w:cs="宋体"/>
          <w:color w:val="auto"/>
          <w:sz w:val="24"/>
          <w:highlight w:val="none"/>
        </w:rPr>
      </w:pPr>
      <w:r>
        <w:rPr>
          <w:rFonts w:hint="eastAsia" w:ascii="宋体" w:hAnsi="宋体" w:cs="宋体"/>
          <w:b/>
          <w:color w:val="auto"/>
          <w:sz w:val="24"/>
          <w:highlight w:val="none"/>
          <w:lang w:eastAsia="zh-CN"/>
        </w:rPr>
        <w:t>（</w:t>
      </w:r>
      <w:r>
        <w:rPr>
          <w:rFonts w:hint="eastAsia" w:ascii="宋体" w:hAnsi="宋体" w:cs="宋体"/>
          <w:b/>
          <w:bCs/>
          <w:color w:val="auto"/>
          <w:sz w:val="24"/>
          <w:highlight w:val="none"/>
        </w:rPr>
        <w:t>项目编号：</w:t>
      </w:r>
      <w:r>
        <w:rPr>
          <w:rFonts w:hint="eastAsia" w:ascii="宋体" w:hAnsi="宋体" w:cs="宋体"/>
          <w:b/>
          <w:bCs/>
          <w:color w:val="auto"/>
          <w:sz w:val="24"/>
          <w:highlight w:val="none"/>
          <w:lang w:eastAsia="zh-CN"/>
        </w:rPr>
        <w:t>GXZC2026-G3-002390-JGJD）</w:t>
      </w:r>
      <w:r>
        <w:rPr>
          <w:rFonts w:hint="eastAsia" w:ascii="宋体" w:hAnsi="宋体" w:cs="宋体"/>
          <w:b/>
          <w:bCs/>
          <w:color w:val="auto"/>
          <w:sz w:val="24"/>
          <w:highlight w:val="none"/>
        </w:rPr>
        <w:t>公开招标公告</w:t>
      </w:r>
    </w:p>
    <w:p w14:paraId="6D04BA5C">
      <w:pPr>
        <w:keepNext w:val="0"/>
        <w:keepLines w:val="0"/>
        <w:pageBreakBefore w:val="0"/>
        <w:pBdr>
          <w:top w:val="single" w:color="auto" w:sz="4" w:space="1"/>
          <w:left w:val="single" w:color="auto" w:sz="4" w:space="4"/>
          <w:bottom w:val="single" w:color="auto" w:sz="4" w:space="1"/>
          <w:right w:val="single" w:color="auto" w:sz="4" w:space="4"/>
        </w:pBdr>
        <w:kinsoku/>
        <w:wordWrap w:val="0"/>
        <w:overflowPunct/>
        <w:topLinePunct w:val="0"/>
        <w:bidi w:val="0"/>
        <w:spacing w:line="40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项目概况</w:t>
      </w:r>
    </w:p>
    <w:p w14:paraId="3154575B">
      <w:pPr>
        <w:keepNext w:val="0"/>
        <w:keepLines w:val="0"/>
        <w:pageBreakBefore w:val="0"/>
        <w:pBdr>
          <w:top w:val="single" w:color="auto" w:sz="4" w:space="1"/>
          <w:left w:val="single" w:color="auto" w:sz="4" w:space="4"/>
          <w:bottom w:val="single" w:color="auto" w:sz="4" w:space="1"/>
          <w:right w:val="single" w:color="auto" w:sz="4" w:space="4"/>
        </w:pBdr>
        <w:kinsoku/>
        <w:wordWrap w:val="0"/>
        <w:overflowPunct/>
        <w:topLinePunct w:val="0"/>
        <w:bidi w:val="0"/>
        <w:spacing w:line="40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u w:val="single"/>
          <w:lang w:eastAsia="zh-CN"/>
        </w:rPr>
        <w:t xml:space="preserve">广西壮族自治区2026年度计划生育特殊家庭综合保险项目 </w:t>
      </w:r>
      <w:r>
        <w:rPr>
          <w:rFonts w:hint="eastAsia" w:ascii="宋体" w:hAnsi="宋体" w:cs="宋体"/>
          <w:color w:val="auto"/>
          <w:szCs w:val="21"/>
          <w:highlight w:val="none"/>
        </w:rPr>
        <w:t>招标项目的潜在投标人应在广西政府采购云平台（</w:t>
      </w:r>
      <w:r>
        <w:rPr>
          <w:rFonts w:hint="eastAsia" w:ascii="宋体" w:hAnsi="宋体" w:cs="宋体"/>
          <w:bCs/>
          <w:color w:val="auto"/>
          <w:szCs w:val="21"/>
          <w:highlight w:val="none"/>
        </w:rPr>
        <w:t>https://www.gcy.zfcg.gxzf.gov.cn/</w:t>
      </w:r>
      <w:r>
        <w:rPr>
          <w:rFonts w:hint="eastAsia" w:ascii="宋体" w:hAnsi="宋体" w:cs="宋体"/>
          <w:color w:val="auto"/>
          <w:szCs w:val="21"/>
          <w:highlight w:val="none"/>
        </w:rPr>
        <w:t>）获取招标文件，并于</w:t>
      </w:r>
      <w:r>
        <w:rPr>
          <w:rFonts w:hint="eastAsia" w:ascii="宋体" w:hAnsi="宋体" w:cs="宋体"/>
          <w:color w:val="auto"/>
          <w:szCs w:val="21"/>
          <w:highlight w:val="none"/>
          <w:u w:val="single"/>
        </w:rPr>
        <w:t>202</w:t>
      </w:r>
      <w:r>
        <w:rPr>
          <w:rFonts w:hint="eastAsia" w:ascii="宋体" w:hAnsi="宋体" w:cs="宋体"/>
          <w:color w:val="auto"/>
          <w:szCs w:val="21"/>
          <w:highlight w:val="none"/>
          <w:u w:val="single"/>
          <w:lang w:val="en-US" w:eastAsia="zh-CN"/>
        </w:rPr>
        <w:t>6</w:t>
      </w:r>
      <w:r>
        <w:rPr>
          <w:rFonts w:hint="eastAsia" w:ascii="宋体" w:hAnsi="宋体" w:cs="宋体"/>
          <w:bCs/>
          <w:color w:val="auto"/>
          <w:szCs w:val="21"/>
          <w:highlight w:val="none"/>
          <w:u w:val="single"/>
        </w:rPr>
        <w:t>年</w:t>
      </w:r>
      <w:r>
        <w:rPr>
          <w:rFonts w:hint="eastAsia" w:ascii="宋体" w:hAnsi="宋体" w:cs="宋体"/>
          <w:bCs/>
          <w:color w:val="auto"/>
          <w:szCs w:val="21"/>
          <w:highlight w:val="none"/>
          <w:u w:val="single"/>
          <w:lang w:val="en-US" w:eastAsia="zh-CN"/>
        </w:rPr>
        <w:t>8</w:t>
      </w:r>
      <w:r>
        <w:rPr>
          <w:rFonts w:hint="eastAsia" w:ascii="宋体" w:hAnsi="宋体" w:cs="宋体"/>
          <w:bCs/>
          <w:color w:val="auto"/>
          <w:szCs w:val="21"/>
          <w:highlight w:val="none"/>
          <w:u w:val="single"/>
        </w:rPr>
        <w:t>月</w:t>
      </w:r>
      <w:r>
        <w:rPr>
          <w:rFonts w:hint="eastAsia" w:ascii="宋体" w:hAnsi="宋体" w:cs="宋体"/>
          <w:bCs/>
          <w:color w:val="auto"/>
          <w:szCs w:val="21"/>
          <w:highlight w:val="none"/>
          <w:u w:val="single"/>
          <w:lang w:val="en-US" w:eastAsia="zh-CN"/>
        </w:rPr>
        <w:t>21</w:t>
      </w:r>
      <w:r>
        <w:rPr>
          <w:rFonts w:hint="eastAsia" w:ascii="宋体" w:hAnsi="宋体" w:cs="宋体"/>
          <w:bCs/>
          <w:color w:val="auto"/>
          <w:szCs w:val="21"/>
          <w:highlight w:val="none"/>
          <w:u w:val="single"/>
        </w:rPr>
        <w:t>日9时30分（</w:t>
      </w:r>
      <w:r>
        <w:rPr>
          <w:rFonts w:hint="eastAsia" w:ascii="宋体" w:hAnsi="宋体" w:cs="宋体"/>
          <w:bCs/>
          <w:color w:val="auto"/>
          <w:szCs w:val="21"/>
          <w:highlight w:val="none"/>
        </w:rPr>
        <w:t>北京时间）前递交投标文件</w:t>
      </w:r>
      <w:r>
        <w:rPr>
          <w:rFonts w:hint="eastAsia" w:ascii="宋体" w:hAnsi="宋体" w:cs="宋体"/>
          <w:color w:val="auto"/>
          <w:szCs w:val="21"/>
          <w:highlight w:val="none"/>
        </w:rPr>
        <w:t>。</w:t>
      </w:r>
    </w:p>
    <w:p w14:paraId="68B08054">
      <w:pPr>
        <w:keepNext w:val="0"/>
        <w:keepLines w:val="0"/>
        <w:pageBreakBefore w:val="0"/>
        <w:kinsoku/>
        <w:overflowPunct/>
        <w:topLinePunct w:val="0"/>
        <w:bidi w:val="0"/>
        <w:spacing w:line="400" w:lineRule="exact"/>
        <w:textAlignment w:val="auto"/>
        <w:rPr>
          <w:rFonts w:hint="eastAsia" w:ascii="宋体" w:hAnsi="宋体" w:cs="宋体"/>
          <w:b/>
          <w:bCs/>
          <w:color w:val="auto"/>
          <w:sz w:val="24"/>
          <w:highlight w:val="none"/>
        </w:rPr>
      </w:pPr>
      <w:bookmarkStart w:id="14" w:name="_Toc35393790"/>
      <w:bookmarkStart w:id="15" w:name="_Toc28359002"/>
      <w:bookmarkStart w:id="16" w:name="_Toc28359079"/>
      <w:bookmarkStart w:id="17" w:name="_Toc35393621"/>
      <w:bookmarkStart w:id="18" w:name="_Hlk24379207"/>
      <w:r>
        <w:rPr>
          <w:rFonts w:hint="eastAsia" w:ascii="宋体" w:hAnsi="宋体" w:cs="宋体"/>
          <w:b/>
          <w:bCs/>
          <w:color w:val="auto"/>
          <w:sz w:val="24"/>
          <w:highlight w:val="none"/>
        </w:rPr>
        <w:t>一、项目基本情况</w:t>
      </w:r>
      <w:bookmarkEnd w:id="14"/>
      <w:bookmarkEnd w:id="15"/>
      <w:bookmarkEnd w:id="16"/>
      <w:bookmarkEnd w:id="17"/>
    </w:p>
    <w:bookmarkEnd w:id="18"/>
    <w:p w14:paraId="10E72752">
      <w:pPr>
        <w:keepNext w:val="0"/>
        <w:keepLines w:val="0"/>
        <w:pageBreakBefore w:val="0"/>
        <w:kinsoku/>
        <w:overflowPunct/>
        <w:topLinePunct w:val="0"/>
        <w:bidi w:val="0"/>
        <w:spacing w:line="400" w:lineRule="exact"/>
        <w:ind w:firstLine="420" w:firstLineChars="200"/>
        <w:textAlignment w:val="auto"/>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rPr>
        <w:t>项目编号：</w:t>
      </w:r>
      <w:r>
        <w:rPr>
          <w:rFonts w:hint="eastAsia" w:ascii="宋体" w:hAnsi="宋体" w:cs="宋体"/>
          <w:color w:val="auto"/>
          <w:szCs w:val="21"/>
          <w:highlight w:val="none"/>
          <w:lang w:val="en-US" w:eastAsia="zh-CN"/>
        </w:rPr>
        <w:t>GXZC2026-G3-002390-JGJD</w:t>
      </w:r>
    </w:p>
    <w:p w14:paraId="575D6618">
      <w:pPr>
        <w:keepNext w:val="0"/>
        <w:keepLines w:val="0"/>
        <w:pageBreakBefore w:val="0"/>
        <w:kinsoku/>
        <w:overflowPunct/>
        <w:topLinePunct w:val="0"/>
        <w:bidi w:val="0"/>
        <w:spacing w:line="400" w:lineRule="exact"/>
        <w:ind w:firstLine="420" w:firstLineChars="200"/>
        <w:textAlignment w:val="auto"/>
        <w:rPr>
          <w:rFonts w:hint="eastAsia" w:ascii="宋体" w:hAnsi="宋体" w:eastAsia="宋体" w:cs="宋体"/>
          <w:color w:val="auto"/>
          <w:highlight w:val="none"/>
          <w:lang w:eastAsia="zh-CN"/>
        </w:rPr>
      </w:pPr>
      <w:r>
        <w:rPr>
          <w:rFonts w:hint="eastAsia" w:ascii="宋体" w:hAnsi="宋体" w:cs="宋体"/>
          <w:color w:val="auto"/>
          <w:szCs w:val="21"/>
          <w:highlight w:val="none"/>
        </w:rPr>
        <w:t>项目名称：</w:t>
      </w:r>
      <w:r>
        <w:rPr>
          <w:rFonts w:hint="eastAsia" w:ascii="宋体" w:hAnsi="宋体" w:cs="宋体"/>
          <w:color w:val="auto"/>
          <w:szCs w:val="21"/>
          <w:highlight w:val="none"/>
          <w:u w:val="single"/>
          <w:lang w:eastAsia="zh-CN"/>
        </w:rPr>
        <w:t xml:space="preserve">广西壮族自治区2026年度计划生育特殊家庭综合保险项目 </w:t>
      </w:r>
    </w:p>
    <w:p w14:paraId="76B30432">
      <w:pPr>
        <w:keepNext w:val="0"/>
        <w:keepLines w:val="0"/>
        <w:pageBreakBefore w:val="0"/>
        <w:kinsoku/>
        <w:overflowPunct/>
        <w:topLinePunct w:val="0"/>
        <w:bidi w:val="0"/>
        <w:spacing w:line="400" w:lineRule="exact"/>
        <w:ind w:firstLine="420" w:firstLineChars="200"/>
        <w:textAlignment w:val="auto"/>
        <w:rPr>
          <w:rFonts w:hint="eastAsia" w:ascii="宋体" w:hAnsi="宋体" w:eastAsia="宋体" w:cs="宋体"/>
          <w:color w:val="auto"/>
          <w:szCs w:val="21"/>
          <w:highlight w:val="none"/>
          <w:u w:val="single"/>
          <w:lang w:eastAsia="zh-CN"/>
        </w:rPr>
      </w:pPr>
      <w:r>
        <w:rPr>
          <w:rFonts w:hint="eastAsia" w:ascii="宋体" w:hAnsi="宋体" w:cs="宋体"/>
          <w:color w:val="auto"/>
          <w:highlight w:val="none"/>
        </w:rPr>
        <w:t>预算总金额</w:t>
      </w: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1700万元</w:t>
      </w:r>
    </w:p>
    <w:p w14:paraId="472B458C">
      <w:pPr>
        <w:keepNext w:val="0"/>
        <w:keepLines w:val="0"/>
        <w:pageBreakBefore w:val="0"/>
        <w:kinsoku/>
        <w:overflowPunct/>
        <w:topLinePunct w:val="0"/>
        <w:bidi w:val="0"/>
        <w:spacing w:line="40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采购需求：</w:t>
      </w:r>
    </w:p>
    <w:p w14:paraId="5201F654">
      <w:pPr>
        <w:keepNext w:val="0"/>
        <w:keepLines w:val="0"/>
        <w:pageBreakBefore w:val="0"/>
        <w:kinsoku/>
        <w:overflowPunct/>
        <w:topLinePunct w:val="0"/>
        <w:bidi w:val="0"/>
        <w:spacing w:line="40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标项名称：</w:t>
      </w:r>
      <w:r>
        <w:rPr>
          <w:rFonts w:hint="eastAsia" w:ascii="宋体" w:hAnsi="宋体" w:cs="宋体"/>
          <w:color w:val="auto"/>
          <w:szCs w:val="21"/>
          <w:highlight w:val="none"/>
          <w:u w:val="single"/>
          <w:lang w:eastAsia="zh-CN"/>
        </w:rPr>
        <w:t xml:space="preserve">广西壮族自治区2026年度计划生育特殊家庭综合保险项目 </w:t>
      </w:r>
    </w:p>
    <w:p w14:paraId="25B077EE">
      <w:pPr>
        <w:keepNext w:val="0"/>
        <w:keepLines w:val="0"/>
        <w:pageBreakBefore w:val="0"/>
        <w:kinsoku/>
        <w:overflowPunct/>
        <w:topLinePunct w:val="0"/>
        <w:bidi w:val="0"/>
        <w:spacing w:line="40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数量：1</w:t>
      </w:r>
    </w:p>
    <w:p w14:paraId="5E57AE9B">
      <w:pPr>
        <w:keepNext w:val="0"/>
        <w:keepLines w:val="0"/>
        <w:pageBreakBefore w:val="0"/>
        <w:kinsoku/>
        <w:overflowPunct/>
        <w:topLinePunct w:val="0"/>
        <w:bidi w:val="0"/>
        <w:spacing w:line="400" w:lineRule="exact"/>
        <w:ind w:firstLine="420" w:firstLineChars="200"/>
        <w:textAlignment w:val="auto"/>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预算金额：</w:t>
      </w:r>
      <w:r>
        <w:rPr>
          <w:rFonts w:hint="eastAsia" w:ascii="宋体" w:hAnsi="宋体" w:cs="宋体"/>
          <w:color w:val="auto"/>
          <w:szCs w:val="21"/>
          <w:highlight w:val="none"/>
          <w:lang w:val="en-US" w:eastAsia="zh-CN"/>
        </w:rPr>
        <w:t>1700万元</w:t>
      </w:r>
    </w:p>
    <w:p w14:paraId="50FE4DDA">
      <w:pPr>
        <w:keepNext w:val="0"/>
        <w:keepLines w:val="0"/>
        <w:pageBreakBefore w:val="0"/>
        <w:kinsoku/>
        <w:overflowPunct/>
        <w:topLinePunct w:val="0"/>
        <w:bidi w:val="0"/>
        <w:spacing w:line="40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简要规格描述或项目基本概况介绍、用途：</w:t>
      </w:r>
      <w:bookmarkStart w:id="19" w:name="_Hlk199265269"/>
      <w:r>
        <w:rPr>
          <w:rFonts w:hint="eastAsia" w:ascii="宋体" w:hAnsi="宋体" w:cs="宋体"/>
          <w:color w:val="auto"/>
          <w:szCs w:val="21"/>
          <w:highlight w:val="none"/>
          <w:lang w:eastAsia="zh-CN"/>
        </w:rPr>
        <w:t xml:space="preserve">广西壮族自治区2026年度计划生育特殊家庭综合保险项目 </w:t>
      </w:r>
      <w:r>
        <w:rPr>
          <w:rFonts w:hint="eastAsia" w:ascii="宋体" w:hAnsi="宋体" w:cs="宋体"/>
          <w:color w:val="auto"/>
          <w:szCs w:val="21"/>
          <w:highlight w:val="none"/>
          <w:lang w:val="en-US" w:eastAsia="zh-CN"/>
        </w:rPr>
        <w:t>一项</w:t>
      </w:r>
      <w:bookmarkEnd w:id="19"/>
      <w:r>
        <w:rPr>
          <w:rFonts w:hint="eastAsia" w:ascii="宋体" w:hAnsi="宋体" w:cs="宋体"/>
          <w:color w:val="auto"/>
          <w:szCs w:val="21"/>
          <w:highlight w:val="none"/>
          <w:lang w:val="en-US" w:eastAsia="zh-CN"/>
        </w:rPr>
        <w:t>，具体</w:t>
      </w:r>
      <w:r>
        <w:rPr>
          <w:rFonts w:hint="eastAsia" w:ascii="宋体" w:hAnsi="宋体" w:cs="宋体"/>
          <w:color w:val="auto"/>
          <w:szCs w:val="21"/>
          <w:highlight w:val="none"/>
        </w:rPr>
        <w:t>详见招标文件第二章采购需求。</w:t>
      </w:r>
    </w:p>
    <w:p w14:paraId="1625341A">
      <w:pPr>
        <w:keepNext w:val="0"/>
        <w:keepLines w:val="0"/>
        <w:pageBreakBefore w:val="0"/>
        <w:kinsoku/>
        <w:overflowPunct/>
        <w:topLinePunct w:val="0"/>
        <w:bidi w:val="0"/>
        <w:spacing w:line="400" w:lineRule="exact"/>
        <w:ind w:firstLine="420" w:firstLineChars="200"/>
        <w:textAlignment w:val="auto"/>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最高限价（如有）：</w:t>
      </w:r>
      <w:r>
        <w:rPr>
          <w:rFonts w:hint="eastAsia" w:ascii="宋体" w:hAnsi="宋体" w:cs="宋体"/>
          <w:color w:val="auto"/>
          <w:szCs w:val="21"/>
          <w:highlight w:val="none"/>
          <w:lang w:val="en-US" w:eastAsia="zh-CN"/>
        </w:rPr>
        <w:t>1700万元</w:t>
      </w:r>
    </w:p>
    <w:p w14:paraId="5230C62D">
      <w:pPr>
        <w:keepNext w:val="0"/>
        <w:keepLines w:val="0"/>
        <w:pageBreakBefore w:val="0"/>
        <w:kinsoku/>
        <w:overflowPunct/>
        <w:topLinePunct w:val="0"/>
        <w:bidi w:val="0"/>
        <w:spacing w:line="400" w:lineRule="exact"/>
        <w:ind w:firstLine="420" w:firstLineChars="200"/>
        <w:textAlignment w:val="auto"/>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合同履约期限：</w:t>
      </w:r>
      <w:r>
        <w:rPr>
          <w:rFonts w:hint="eastAsia" w:ascii="宋体" w:hAnsi="宋体" w:cs="宋体"/>
          <w:color w:val="auto"/>
          <w:szCs w:val="21"/>
          <w:highlight w:val="none"/>
          <w:lang w:val="en-US" w:eastAsia="zh-CN"/>
        </w:rPr>
        <w:t>详见采购需求</w:t>
      </w:r>
      <w:r>
        <w:rPr>
          <w:rFonts w:hint="eastAsia" w:ascii="宋体" w:hAnsi="宋体" w:cs="宋体"/>
          <w:color w:val="auto"/>
          <w:szCs w:val="21"/>
          <w:highlight w:val="none"/>
        </w:rPr>
        <w:t>。</w:t>
      </w:r>
    </w:p>
    <w:p w14:paraId="3B6794B3">
      <w:pPr>
        <w:keepNext w:val="0"/>
        <w:keepLines w:val="0"/>
        <w:pageBreakBefore w:val="0"/>
        <w:kinsoku/>
        <w:overflowPunct/>
        <w:topLinePunct w:val="0"/>
        <w:bidi w:val="0"/>
        <w:spacing w:line="400" w:lineRule="exact"/>
        <w:ind w:firstLine="422" w:firstLineChars="200"/>
        <w:textAlignment w:val="auto"/>
        <w:rPr>
          <w:rFonts w:hint="eastAsia" w:ascii="宋体" w:hAnsi="宋体" w:cs="宋体"/>
          <w:b/>
          <w:bCs/>
          <w:color w:val="auto"/>
          <w:szCs w:val="21"/>
          <w:highlight w:val="none"/>
        </w:rPr>
      </w:pPr>
      <w:r>
        <w:rPr>
          <w:rFonts w:hint="eastAsia" w:ascii="宋体" w:hAnsi="宋体" w:cs="宋体"/>
          <w:b/>
          <w:bCs/>
          <w:color w:val="auto"/>
          <w:szCs w:val="21"/>
          <w:highlight w:val="none"/>
        </w:rPr>
        <w:t>本标项</w:t>
      </w:r>
      <w:r>
        <w:rPr>
          <w:rFonts w:hint="eastAsia" w:ascii="宋体" w:hAnsi="宋体" w:cs="宋体"/>
          <w:b/>
          <w:bCs/>
          <w:color w:val="auto"/>
          <w:szCs w:val="21"/>
          <w:highlight w:val="none"/>
          <w:lang w:eastAsia="zh-CN"/>
        </w:rPr>
        <w:t>不</w:t>
      </w:r>
      <w:r>
        <w:rPr>
          <w:rFonts w:hint="eastAsia" w:ascii="宋体" w:hAnsi="宋体" w:cs="宋体"/>
          <w:b/>
          <w:bCs/>
          <w:color w:val="auto"/>
          <w:szCs w:val="21"/>
          <w:highlight w:val="none"/>
        </w:rPr>
        <w:t>接受联合体投标。</w:t>
      </w:r>
    </w:p>
    <w:p w14:paraId="0BB1BE47">
      <w:pPr>
        <w:keepNext w:val="0"/>
        <w:keepLines w:val="0"/>
        <w:pageBreakBefore w:val="0"/>
        <w:kinsoku/>
        <w:overflowPunct/>
        <w:topLinePunct w:val="0"/>
        <w:bidi w:val="0"/>
        <w:spacing w:line="40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备注：无</w:t>
      </w:r>
    </w:p>
    <w:p w14:paraId="36AC3FA1">
      <w:pPr>
        <w:keepNext w:val="0"/>
        <w:keepLines w:val="0"/>
        <w:pageBreakBefore w:val="0"/>
        <w:kinsoku/>
        <w:overflowPunct/>
        <w:topLinePunct w:val="0"/>
        <w:bidi w:val="0"/>
        <w:spacing w:line="400" w:lineRule="exact"/>
        <w:textAlignment w:val="auto"/>
        <w:rPr>
          <w:rFonts w:hint="eastAsia" w:ascii="宋体" w:hAnsi="宋体" w:cs="宋体"/>
          <w:b/>
          <w:bCs/>
          <w:color w:val="auto"/>
          <w:sz w:val="24"/>
          <w:highlight w:val="none"/>
        </w:rPr>
      </w:pPr>
      <w:bookmarkStart w:id="20" w:name="_Toc28359003"/>
      <w:bookmarkStart w:id="21" w:name="_Toc35393622"/>
      <w:bookmarkStart w:id="22" w:name="_Toc28359080"/>
      <w:bookmarkStart w:id="23" w:name="_Toc35393791"/>
      <w:r>
        <w:rPr>
          <w:rFonts w:hint="eastAsia" w:ascii="宋体" w:hAnsi="宋体" w:cs="宋体"/>
          <w:b/>
          <w:bCs/>
          <w:color w:val="auto"/>
          <w:sz w:val="24"/>
          <w:highlight w:val="none"/>
        </w:rPr>
        <w:t>二、申请人的资格要求：</w:t>
      </w:r>
      <w:bookmarkEnd w:id="20"/>
      <w:bookmarkEnd w:id="21"/>
      <w:bookmarkEnd w:id="22"/>
      <w:bookmarkEnd w:id="23"/>
    </w:p>
    <w:p w14:paraId="054344D8">
      <w:pPr>
        <w:keepNext w:val="0"/>
        <w:keepLines w:val="0"/>
        <w:pageBreakBefore w:val="0"/>
        <w:kinsoku/>
        <w:overflowPunct/>
        <w:topLinePunct w:val="0"/>
        <w:bidi w:val="0"/>
        <w:spacing w:line="400" w:lineRule="exact"/>
        <w:ind w:firstLine="420" w:firstLineChars="200"/>
        <w:textAlignment w:val="auto"/>
        <w:rPr>
          <w:rFonts w:hint="eastAsia" w:ascii="宋体" w:hAnsi="宋体" w:cs="宋体"/>
          <w:color w:val="auto"/>
          <w:szCs w:val="21"/>
          <w:highlight w:val="none"/>
        </w:rPr>
      </w:pPr>
      <w:bookmarkStart w:id="24" w:name="_Hlk51746371"/>
      <w:bookmarkStart w:id="25" w:name="_Toc28359004"/>
      <w:bookmarkStart w:id="26" w:name="_Toc35393623"/>
      <w:bookmarkStart w:id="27" w:name="_Toc35393792"/>
      <w:bookmarkStart w:id="28" w:name="_Toc28359081"/>
      <w:r>
        <w:rPr>
          <w:rFonts w:hint="eastAsia" w:ascii="宋体" w:hAnsi="宋体" w:cs="宋体"/>
          <w:color w:val="auto"/>
          <w:szCs w:val="21"/>
          <w:highlight w:val="none"/>
        </w:rPr>
        <w:t>1.满足《中华人民共和国政府采购法》第二十二条规定；</w:t>
      </w:r>
    </w:p>
    <w:p w14:paraId="01552816">
      <w:pPr>
        <w:keepNext w:val="0"/>
        <w:keepLines w:val="0"/>
        <w:pageBreakBefore w:val="0"/>
        <w:kinsoku/>
        <w:overflowPunct/>
        <w:topLinePunct w:val="0"/>
        <w:bidi w:val="0"/>
        <w:spacing w:line="40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2.落实政府采购政策需满足的资格要求：本项目非专门面向中小企业采购的项目；</w:t>
      </w:r>
    </w:p>
    <w:p w14:paraId="05B0E7B1">
      <w:pPr>
        <w:keepNext w:val="0"/>
        <w:keepLines w:val="0"/>
        <w:pageBreakBefore w:val="0"/>
        <w:kinsoku/>
        <w:overflowPunct/>
        <w:topLinePunct w:val="0"/>
        <w:bidi w:val="0"/>
        <w:spacing w:line="40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3.本项目的特定资格要求：</w:t>
      </w:r>
    </w:p>
    <w:p w14:paraId="1BC2CF23">
      <w:pPr>
        <w:keepNext w:val="0"/>
        <w:keepLines w:val="0"/>
        <w:pageBreakBefore w:val="0"/>
        <w:kinsoku/>
        <w:overflowPunct/>
        <w:topLinePunct w:val="0"/>
        <w:bidi w:val="0"/>
        <w:spacing w:line="360" w:lineRule="exact"/>
        <w:ind w:firstLine="420" w:firstLineChars="200"/>
        <w:textAlignment w:val="auto"/>
        <w:rPr>
          <w:rFonts w:hint="eastAsia" w:ascii="宋体" w:hAnsi="宋体" w:cs="宋体"/>
          <w:color w:val="auto"/>
          <w:szCs w:val="21"/>
          <w:highlight w:val="none"/>
          <w:lang w:val="en-US" w:eastAsia="zh-CN"/>
        </w:rPr>
      </w:pPr>
      <w:r>
        <w:rPr>
          <w:rFonts w:hint="eastAsia" w:ascii="宋体" w:hAnsi="宋体"/>
          <w:color w:val="auto"/>
          <w:szCs w:val="21"/>
          <w:highlight w:val="none"/>
          <w:lang w:val="en-US" w:eastAsia="zh-CN"/>
        </w:rPr>
        <w:t>（1）</w:t>
      </w:r>
      <w:r>
        <w:rPr>
          <w:rFonts w:hint="eastAsia" w:ascii="宋体" w:hAnsi="宋体" w:cs="宋体"/>
          <w:color w:val="auto"/>
          <w:szCs w:val="21"/>
          <w:highlight w:val="none"/>
          <w:lang w:val="en-US" w:eastAsia="zh-CN"/>
        </w:rPr>
        <w:t>资质要求：具有有效的“保险许可证”或具备该项许可证的投标人授权其分公司参与项目投标。</w:t>
      </w:r>
    </w:p>
    <w:p w14:paraId="026A2A1F">
      <w:pPr>
        <w:keepNext w:val="0"/>
        <w:keepLines w:val="0"/>
        <w:pageBreakBefore w:val="0"/>
        <w:kinsoku/>
        <w:overflowPunct/>
        <w:topLinePunct w:val="0"/>
        <w:bidi w:val="0"/>
        <w:spacing w:line="360" w:lineRule="exact"/>
        <w:ind w:firstLine="420" w:firstLineChars="200"/>
        <w:textAlignment w:val="auto"/>
        <w:rPr>
          <w:rFonts w:hint="default" w:ascii="宋体" w:hAnsi="宋体" w:cs="宋体"/>
          <w:color w:val="auto"/>
          <w:szCs w:val="21"/>
          <w:highlight w:val="none"/>
          <w:lang w:val="en-US" w:eastAsia="zh-CN"/>
        </w:rPr>
      </w:pPr>
      <w:r>
        <w:rPr>
          <w:rFonts w:hint="eastAsia" w:ascii="宋体" w:hAnsi="宋体" w:cs="宋体"/>
          <w:color w:val="auto"/>
          <w:szCs w:val="21"/>
          <w:highlight w:val="none"/>
          <w:lang w:val="en-US" w:eastAsia="zh-CN"/>
        </w:rPr>
        <w:t>注：同一总公司只允许自身或授权一家分支机构参与本项目。保险公司的分支机构不得跨省、自治区、直辖市经营保险业务，国家金融监督管理总局有另行规定或法规规定特殊的情形除外。</w:t>
      </w:r>
    </w:p>
    <w:p w14:paraId="7B1FC9C8">
      <w:pPr>
        <w:adjustRightInd w:val="0"/>
        <w:snapToGrid w:val="0"/>
        <w:spacing w:line="360" w:lineRule="auto"/>
        <w:ind w:firstLine="420" w:firstLineChars="200"/>
        <w:jc w:val="left"/>
        <w:rPr>
          <w:rFonts w:ascii="Arial" w:hAnsi="Arial" w:cs="Arial"/>
          <w:color w:val="auto"/>
          <w:kern w:val="0"/>
          <w:szCs w:val="21"/>
          <w:highlight w:val="none"/>
        </w:rPr>
      </w:pPr>
      <w:r>
        <w:rPr>
          <w:rFonts w:hint="eastAsia" w:ascii="宋体" w:hAnsi="宋体"/>
          <w:color w:val="auto"/>
          <w:szCs w:val="21"/>
          <w:highlight w:val="none"/>
          <w:lang w:val="en-US" w:eastAsia="zh-CN"/>
        </w:rPr>
        <w:t>（2）</w:t>
      </w:r>
      <w:r>
        <w:rPr>
          <w:rFonts w:ascii="Arial" w:hAnsi="Arial" w:cs="Arial"/>
          <w:color w:val="auto"/>
          <w:kern w:val="0"/>
          <w:szCs w:val="21"/>
          <w:highlight w:val="none"/>
        </w:rPr>
        <w:t>单位负责人为同一人或者存在直接控股、管理关系的不同供应商，不得参加本项目同一合同项下的政府采购活动。为本项目提供整体设计、规范编制或者项目管理、监理、检测等服务的供应商，不得再参加本项目的采购活动。</w:t>
      </w:r>
    </w:p>
    <w:p w14:paraId="73FDE715">
      <w:pPr>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lang w:val="en-US" w:eastAsia="zh-CN"/>
        </w:rPr>
        <w:t>（3）</w:t>
      </w:r>
      <w:r>
        <w:rPr>
          <w:rFonts w:hint="eastAsia" w:ascii="宋体" w:hAnsi="宋体"/>
          <w:color w:val="auto"/>
          <w:szCs w:val="21"/>
          <w:highlight w:val="none"/>
        </w:rPr>
        <w:t>对在“信用中国”网站(www.creditchina.gov.cn) 、中国政府采购网(www.ccgp.gov.cn)被列入失信被执行人、重大税收违法案件当事人名单、政府采购严重违法失信行为记录名单及其他不符合《中华人民共和国政府采购法》第二十二条规定条件的供应商，不得参与政府采购活动。</w:t>
      </w:r>
    </w:p>
    <w:p w14:paraId="6412BCA3">
      <w:pPr>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w:t>
      </w:r>
      <w:r>
        <w:rPr>
          <w:rFonts w:hint="eastAsia" w:ascii="宋体" w:hAnsi="宋体"/>
          <w:color w:val="auto"/>
          <w:szCs w:val="21"/>
          <w:highlight w:val="none"/>
          <w:lang w:val="en-US" w:eastAsia="zh-CN"/>
        </w:rPr>
        <w:t>4</w:t>
      </w:r>
      <w:r>
        <w:rPr>
          <w:rFonts w:hint="eastAsia" w:ascii="宋体" w:hAnsi="宋体"/>
          <w:color w:val="auto"/>
          <w:szCs w:val="21"/>
          <w:highlight w:val="none"/>
        </w:rPr>
        <w:t>）按照招标公告规定获得招标文件。</w:t>
      </w:r>
    </w:p>
    <w:bookmarkEnd w:id="24"/>
    <w:p w14:paraId="552AE55E">
      <w:pPr>
        <w:keepNext w:val="0"/>
        <w:keepLines w:val="0"/>
        <w:pageBreakBefore w:val="0"/>
        <w:kinsoku/>
        <w:overflowPunct/>
        <w:topLinePunct w:val="0"/>
        <w:bidi w:val="0"/>
        <w:spacing w:line="400" w:lineRule="exact"/>
        <w:textAlignment w:val="auto"/>
        <w:rPr>
          <w:rFonts w:hint="eastAsia" w:ascii="宋体" w:hAnsi="宋体" w:cs="宋体"/>
          <w:b/>
          <w:bCs/>
          <w:color w:val="auto"/>
          <w:sz w:val="24"/>
          <w:highlight w:val="none"/>
        </w:rPr>
      </w:pPr>
      <w:r>
        <w:rPr>
          <w:rFonts w:hint="eastAsia" w:ascii="宋体" w:hAnsi="宋体" w:cs="宋体"/>
          <w:b/>
          <w:bCs/>
          <w:color w:val="auto"/>
          <w:sz w:val="24"/>
          <w:highlight w:val="none"/>
        </w:rPr>
        <w:t>三、获取招标文件</w:t>
      </w:r>
      <w:bookmarkEnd w:id="25"/>
      <w:bookmarkEnd w:id="26"/>
      <w:bookmarkEnd w:id="27"/>
      <w:bookmarkEnd w:id="28"/>
    </w:p>
    <w:p w14:paraId="3BC7B9E4">
      <w:pPr>
        <w:keepNext w:val="0"/>
        <w:keepLines w:val="0"/>
        <w:pageBreakBefore w:val="0"/>
        <w:kinsoku/>
        <w:overflowPunct/>
        <w:topLinePunct w:val="0"/>
        <w:bidi w:val="0"/>
        <w:spacing w:line="400" w:lineRule="exact"/>
        <w:ind w:firstLine="420" w:firstLineChars="200"/>
        <w:textAlignment w:val="auto"/>
        <w:rPr>
          <w:rFonts w:hint="eastAsia" w:ascii="宋体" w:hAnsi="宋体" w:cs="宋体"/>
          <w:bCs/>
          <w:color w:val="auto"/>
          <w:kern w:val="0"/>
          <w:szCs w:val="21"/>
          <w:highlight w:val="none"/>
        </w:rPr>
      </w:pPr>
      <w:r>
        <w:rPr>
          <w:rFonts w:hint="eastAsia" w:ascii="宋体" w:hAnsi="宋体" w:cs="宋体"/>
          <w:bCs/>
          <w:color w:val="auto"/>
          <w:kern w:val="0"/>
          <w:szCs w:val="21"/>
          <w:highlight w:val="none"/>
        </w:rPr>
        <w:t>1.时间：202</w:t>
      </w:r>
      <w:r>
        <w:rPr>
          <w:rFonts w:hint="eastAsia" w:ascii="宋体" w:hAnsi="宋体" w:cs="宋体"/>
          <w:bCs/>
          <w:color w:val="auto"/>
          <w:kern w:val="0"/>
          <w:szCs w:val="21"/>
          <w:highlight w:val="none"/>
          <w:lang w:val="en-US" w:eastAsia="zh-CN"/>
        </w:rPr>
        <w:t>6</w:t>
      </w:r>
      <w:r>
        <w:rPr>
          <w:rFonts w:hint="eastAsia" w:ascii="宋体" w:hAnsi="宋体" w:cs="宋体"/>
          <w:bCs/>
          <w:color w:val="auto"/>
          <w:kern w:val="0"/>
          <w:szCs w:val="21"/>
          <w:highlight w:val="none"/>
        </w:rPr>
        <w:t>年</w:t>
      </w:r>
      <w:r>
        <w:rPr>
          <w:rFonts w:hint="eastAsia" w:ascii="宋体" w:hAnsi="宋体" w:cs="宋体"/>
          <w:bCs/>
          <w:color w:val="auto"/>
          <w:kern w:val="0"/>
          <w:szCs w:val="21"/>
          <w:highlight w:val="none"/>
          <w:lang w:val="en-US" w:eastAsia="zh-CN"/>
        </w:rPr>
        <w:t>7</w:t>
      </w:r>
      <w:r>
        <w:rPr>
          <w:rFonts w:hint="eastAsia" w:ascii="宋体" w:hAnsi="宋体" w:cs="宋体"/>
          <w:bCs/>
          <w:color w:val="auto"/>
          <w:kern w:val="0"/>
          <w:szCs w:val="21"/>
          <w:highlight w:val="none"/>
        </w:rPr>
        <w:t>月</w:t>
      </w:r>
      <w:r>
        <w:rPr>
          <w:rFonts w:hint="eastAsia" w:ascii="宋体" w:hAnsi="宋体" w:cs="宋体"/>
          <w:bCs/>
          <w:color w:val="auto"/>
          <w:kern w:val="0"/>
          <w:szCs w:val="21"/>
          <w:highlight w:val="none"/>
          <w:lang w:val="en-US" w:eastAsia="zh-CN"/>
        </w:rPr>
        <w:t>29</w:t>
      </w:r>
      <w:r>
        <w:rPr>
          <w:rFonts w:hint="eastAsia" w:ascii="宋体" w:hAnsi="宋体" w:cs="宋体"/>
          <w:bCs/>
          <w:color w:val="auto"/>
          <w:kern w:val="0"/>
          <w:szCs w:val="21"/>
          <w:highlight w:val="none"/>
        </w:rPr>
        <w:t>日至202</w:t>
      </w:r>
      <w:r>
        <w:rPr>
          <w:rFonts w:hint="eastAsia" w:ascii="宋体" w:hAnsi="宋体" w:cs="宋体"/>
          <w:bCs/>
          <w:color w:val="auto"/>
          <w:kern w:val="0"/>
          <w:szCs w:val="21"/>
          <w:highlight w:val="none"/>
          <w:lang w:val="en-US" w:eastAsia="zh-CN"/>
        </w:rPr>
        <w:t>6</w:t>
      </w:r>
      <w:r>
        <w:rPr>
          <w:rFonts w:hint="eastAsia" w:ascii="宋体" w:hAnsi="宋体" w:cs="宋体"/>
          <w:bCs/>
          <w:color w:val="auto"/>
          <w:kern w:val="0"/>
          <w:szCs w:val="21"/>
          <w:highlight w:val="none"/>
        </w:rPr>
        <w:t>年</w:t>
      </w:r>
      <w:r>
        <w:rPr>
          <w:rFonts w:hint="eastAsia" w:ascii="宋体" w:hAnsi="宋体" w:cs="宋体"/>
          <w:bCs/>
          <w:color w:val="auto"/>
          <w:kern w:val="0"/>
          <w:szCs w:val="21"/>
          <w:highlight w:val="none"/>
          <w:lang w:val="en-US" w:eastAsia="zh-CN"/>
        </w:rPr>
        <w:t>8</w:t>
      </w:r>
      <w:r>
        <w:rPr>
          <w:rFonts w:hint="eastAsia" w:ascii="宋体" w:hAnsi="宋体" w:cs="宋体"/>
          <w:bCs/>
          <w:color w:val="auto"/>
          <w:kern w:val="0"/>
          <w:szCs w:val="21"/>
          <w:highlight w:val="none"/>
        </w:rPr>
        <w:t>月</w:t>
      </w:r>
      <w:r>
        <w:rPr>
          <w:rFonts w:hint="eastAsia" w:ascii="宋体" w:hAnsi="宋体" w:cs="宋体"/>
          <w:bCs/>
          <w:color w:val="auto"/>
          <w:kern w:val="0"/>
          <w:szCs w:val="21"/>
          <w:highlight w:val="none"/>
          <w:lang w:val="en-US" w:eastAsia="zh-CN"/>
        </w:rPr>
        <w:t>5</w:t>
      </w:r>
      <w:r>
        <w:rPr>
          <w:rFonts w:hint="eastAsia" w:ascii="宋体" w:hAnsi="宋体" w:cs="宋体"/>
          <w:bCs/>
          <w:color w:val="auto"/>
          <w:kern w:val="0"/>
          <w:szCs w:val="21"/>
          <w:highlight w:val="none"/>
        </w:rPr>
        <w:t>日，每天上午00:00至12:00，下午12:00至23:59（北京时间，法定节假日除外）</w:t>
      </w:r>
    </w:p>
    <w:p w14:paraId="7287CB5D">
      <w:pPr>
        <w:keepNext w:val="0"/>
        <w:keepLines w:val="0"/>
        <w:pageBreakBefore w:val="0"/>
        <w:kinsoku/>
        <w:overflowPunct/>
        <w:topLinePunct w:val="0"/>
        <w:bidi w:val="0"/>
        <w:spacing w:line="400" w:lineRule="exact"/>
        <w:ind w:firstLine="420" w:firstLineChars="200"/>
        <w:textAlignment w:val="auto"/>
        <w:rPr>
          <w:rFonts w:hint="eastAsia" w:ascii="宋体" w:hAnsi="宋体" w:cs="宋体"/>
          <w:color w:val="auto"/>
          <w:szCs w:val="21"/>
          <w:highlight w:val="none"/>
        </w:rPr>
      </w:pPr>
      <w:r>
        <w:rPr>
          <w:rFonts w:hint="eastAsia" w:ascii="宋体" w:hAnsi="宋体" w:cs="宋体"/>
          <w:bCs/>
          <w:color w:val="auto"/>
          <w:kern w:val="0"/>
          <w:szCs w:val="21"/>
          <w:highlight w:val="none"/>
        </w:rPr>
        <w:t>2.地点：</w:t>
      </w:r>
      <w:r>
        <w:rPr>
          <w:rFonts w:hint="eastAsia" w:ascii="宋体" w:hAnsi="宋体" w:cs="宋体"/>
          <w:color w:val="auto"/>
          <w:szCs w:val="21"/>
          <w:highlight w:val="none"/>
        </w:rPr>
        <w:t>广西政府采购云平台（</w:t>
      </w:r>
      <w:r>
        <w:rPr>
          <w:rFonts w:hint="eastAsia" w:ascii="宋体" w:hAnsi="宋体" w:cs="宋体"/>
          <w:bCs/>
          <w:color w:val="auto"/>
          <w:szCs w:val="21"/>
          <w:highlight w:val="none"/>
        </w:rPr>
        <w:t>https://www.gcy.zfcg.gxzf.gov.cn/</w:t>
      </w:r>
      <w:r>
        <w:rPr>
          <w:rFonts w:hint="eastAsia" w:ascii="宋体" w:hAnsi="宋体" w:cs="宋体"/>
          <w:color w:val="auto"/>
          <w:szCs w:val="21"/>
          <w:highlight w:val="none"/>
        </w:rPr>
        <w:t>）</w:t>
      </w:r>
    </w:p>
    <w:p w14:paraId="5067784D">
      <w:pPr>
        <w:widowControl/>
        <w:spacing w:line="360" w:lineRule="exact"/>
        <w:ind w:firstLine="420" w:firstLineChars="200"/>
        <w:jc w:val="left"/>
        <w:rPr>
          <w:rFonts w:hint="eastAsia" w:ascii="宋体" w:hAnsi="宋体" w:cs="宋体"/>
          <w:bCs/>
          <w:color w:val="auto"/>
          <w:kern w:val="0"/>
          <w:szCs w:val="21"/>
          <w:highlight w:val="none"/>
        </w:rPr>
      </w:pPr>
      <w:r>
        <w:rPr>
          <w:rFonts w:hint="eastAsia" w:ascii="宋体" w:hAnsi="宋体" w:cs="宋体"/>
          <w:bCs/>
          <w:color w:val="auto"/>
          <w:kern w:val="0"/>
          <w:szCs w:val="21"/>
          <w:highlight w:val="none"/>
        </w:rPr>
        <w:t>3.方式：网上下载。本项目不提供纸质文件，潜在供应商需在</w:t>
      </w:r>
      <w:r>
        <w:rPr>
          <w:rFonts w:hint="eastAsia" w:ascii="宋体" w:hAnsi="宋体" w:cs="宋体"/>
          <w:color w:val="auto"/>
          <w:szCs w:val="21"/>
          <w:highlight w:val="none"/>
        </w:rPr>
        <w:t>广西政府采购云平台（</w:t>
      </w:r>
      <w:r>
        <w:rPr>
          <w:rFonts w:hint="eastAsia" w:ascii="宋体" w:hAnsi="宋体" w:cs="宋体"/>
          <w:bCs/>
          <w:color w:val="auto"/>
          <w:szCs w:val="21"/>
          <w:highlight w:val="none"/>
        </w:rPr>
        <w:t>https://www.gcy.zfcg.gxzf.gov.cn/</w:t>
      </w:r>
      <w:r>
        <w:rPr>
          <w:rFonts w:hint="eastAsia" w:ascii="宋体" w:hAnsi="宋体" w:cs="宋体"/>
          <w:color w:val="auto"/>
          <w:szCs w:val="21"/>
          <w:highlight w:val="none"/>
        </w:rPr>
        <w:t>）</w:t>
      </w:r>
      <w:r>
        <w:rPr>
          <w:rFonts w:hint="eastAsia" w:ascii="宋体" w:hAnsi="宋体" w:cs="宋体"/>
          <w:bCs/>
          <w:color w:val="auto"/>
          <w:kern w:val="0"/>
          <w:szCs w:val="21"/>
          <w:highlight w:val="none"/>
        </w:rPr>
        <w:t>-进入“项目采购”应用，在获取采购文件菜单中选择项目，获取招标文件。</w:t>
      </w:r>
      <w:r>
        <w:rPr>
          <w:rFonts w:hint="eastAsia" w:ascii="宋体" w:hAnsi="宋体" w:cs="宋体"/>
          <w:color w:val="auto"/>
          <w:szCs w:val="21"/>
          <w:highlight w:val="none"/>
        </w:rPr>
        <w:t>电子投标文件制作需要基于广西政府采购云平台获取的招标文件编制，</w:t>
      </w:r>
      <w:r>
        <w:rPr>
          <w:rFonts w:hint="eastAsia" w:ascii="宋体" w:hAnsi="宋体" w:cs="宋体"/>
          <w:bCs/>
          <w:color w:val="auto"/>
          <w:kern w:val="0"/>
          <w:szCs w:val="21"/>
          <w:highlight w:val="none"/>
        </w:rPr>
        <w:t>通过其他方式获取招标文件的，将有可能导致供应商无法在</w:t>
      </w:r>
      <w:r>
        <w:rPr>
          <w:rFonts w:hint="eastAsia" w:ascii="宋体" w:hAnsi="宋体" w:cs="宋体"/>
          <w:color w:val="auto"/>
          <w:szCs w:val="21"/>
          <w:highlight w:val="none"/>
        </w:rPr>
        <w:t>广西政府采购云平台</w:t>
      </w:r>
      <w:r>
        <w:rPr>
          <w:rFonts w:hint="eastAsia" w:ascii="宋体" w:hAnsi="宋体" w:cs="宋体"/>
          <w:bCs/>
          <w:color w:val="auto"/>
          <w:kern w:val="0"/>
          <w:szCs w:val="21"/>
          <w:highlight w:val="none"/>
        </w:rPr>
        <w:t>编制及上传投标文件。</w:t>
      </w:r>
    </w:p>
    <w:p w14:paraId="280EE82C">
      <w:pPr>
        <w:keepNext w:val="0"/>
        <w:keepLines w:val="0"/>
        <w:pageBreakBefore w:val="0"/>
        <w:kinsoku/>
        <w:overflowPunct/>
        <w:topLinePunct w:val="0"/>
        <w:bidi w:val="0"/>
        <w:spacing w:line="400" w:lineRule="exact"/>
        <w:ind w:firstLine="420" w:firstLineChars="200"/>
        <w:textAlignment w:val="auto"/>
        <w:rPr>
          <w:rFonts w:hint="eastAsia" w:ascii="宋体" w:hAnsi="宋体" w:cs="宋体"/>
          <w:color w:val="auto"/>
          <w:szCs w:val="21"/>
          <w:highlight w:val="none"/>
        </w:rPr>
      </w:pPr>
      <w:r>
        <w:rPr>
          <w:rFonts w:hint="eastAsia" w:ascii="宋体" w:hAnsi="宋体" w:cs="宋体"/>
          <w:bCs/>
          <w:color w:val="auto"/>
          <w:kern w:val="0"/>
          <w:szCs w:val="21"/>
          <w:highlight w:val="none"/>
        </w:rPr>
        <w:t>4.售价（元）：</w:t>
      </w:r>
      <w:r>
        <w:rPr>
          <w:rFonts w:hint="eastAsia" w:ascii="宋体" w:hAnsi="宋体" w:cs="宋体"/>
          <w:color w:val="auto"/>
          <w:szCs w:val="21"/>
          <w:highlight w:val="none"/>
        </w:rPr>
        <w:t>0</w:t>
      </w:r>
    </w:p>
    <w:p w14:paraId="6A986920">
      <w:pPr>
        <w:keepNext w:val="0"/>
        <w:keepLines w:val="0"/>
        <w:pageBreakBefore w:val="0"/>
        <w:kinsoku/>
        <w:overflowPunct/>
        <w:topLinePunct w:val="0"/>
        <w:bidi w:val="0"/>
        <w:spacing w:line="400" w:lineRule="exact"/>
        <w:textAlignment w:val="auto"/>
        <w:rPr>
          <w:rFonts w:hint="eastAsia" w:ascii="宋体" w:hAnsi="宋体" w:cs="宋体"/>
          <w:b/>
          <w:bCs/>
          <w:color w:val="auto"/>
          <w:sz w:val="24"/>
          <w:highlight w:val="none"/>
        </w:rPr>
      </w:pPr>
      <w:bookmarkStart w:id="29" w:name="_Toc28359082"/>
      <w:bookmarkStart w:id="30" w:name="_Toc28359005"/>
      <w:bookmarkStart w:id="31" w:name="_Toc35393793"/>
      <w:bookmarkStart w:id="32" w:name="_Toc35393624"/>
      <w:r>
        <w:rPr>
          <w:rFonts w:hint="eastAsia" w:ascii="宋体" w:hAnsi="宋体" w:cs="宋体"/>
          <w:b/>
          <w:bCs/>
          <w:color w:val="auto"/>
          <w:sz w:val="24"/>
          <w:highlight w:val="none"/>
        </w:rPr>
        <w:t>四、提交投标文件</w:t>
      </w:r>
      <w:bookmarkEnd w:id="29"/>
      <w:bookmarkEnd w:id="30"/>
      <w:r>
        <w:rPr>
          <w:rFonts w:hint="eastAsia" w:ascii="宋体" w:hAnsi="宋体" w:cs="宋体"/>
          <w:b/>
          <w:bCs/>
          <w:color w:val="auto"/>
          <w:sz w:val="24"/>
          <w:highlight w:val="none"/>
        </w:rPr>
        <w:t>截止时间、开标时间和地点</w:t>
      </w:r>
      <w:bookmarkEnd w:id="31"/>
      <w:bookmarkEnd w:id="32"/>
    </w:p>
    <w:p w14:paraId="06038D0B">
      <w:pPr>
        <w:keepNext w:val="0"/>
        <w:keepLines w:val="0"/>
        <w:pageBreakBefore w:val="0"/>
        <w:kinsoku/>
        <w:overflowPunct/>
        <w:topLinePunct w:val="0"/>
        <w:bidi w:val="0"/>
        <w:spacing w:line="400" w:lineRule="exact"/>
        <w:ind w:firstLine="420" w:firstLineChars="200"/>
        <w:textAlignment w:val="auto"/>
        <w:rPr>
          <w:rFonts w:hint="eastAsia" w:ascii="宋体" w:hAnsi="宋体" w:cs="宋体"/>
          <w:bCs/>
          <w:color w:val="auto"/>
          <w:kern w:val="0"/>
          <w:szCs w:val="21"/>
          <w:highlight w:val="none"/>
        </w:rPr>
      </w:pPr>
      <w:bookmarkStart w:id="33" w:name="_Toc35393794"/>
      <w:bookmarkStart w:id="34" w:name="_Toc35393625"/>
      <w:bookmarkStart w:id="35" w:name="_Toc28359084"/>
      <w:bookmarkStart w:id="36" w:name="_Toc28359007"/>
      <w:r>
        <w:rPr>
          <w:rFonts w:hint="eastAsia" w:ascii="宋体" w:hAnsi="宋体" w:cs="宋体"/>
          <w:bCs/>
          <w:color w:val="auto"/>
          <w:kern w:val="0"/>
          <w:szCs w:val="21"/>
          <w:highlight w:val="none"/>
        </w:rPr>
        <w:t>1.提交投标文件截止时间：202</w:t>
      </w:r>
      <w:r>
        <w:rPr>
          <w:rFonts w:hint="eastAsia" w:ascii="宋体" w:hAnsi="宋体" w:cs="宋体"/>
          <w:bCs/>
          <w:color w:val="auto"/>
          <w:kern w:val="0"/>
          <w:szCs w:val="21"/>
          <w:highlight w:val="none"/>
          <w:lang w:val="en-US" w:eastAsia="zh-CN"/>
        </w:rPr>
        <w:t>6</w:t>
      </w:r>
      <w:r>
        <w:rPr>
          <w:rFonts w:hint="eastAsia" w:ascii="宋体" w:hAnsi="宋体" w:cs="宋体"/>
          <w:bCs/>
          <w:color w:val="auto"/>
          <w:kern w:val="0"/>
          <w:szCs w:val="21"/>
          <w:highlight w:val="none"/>
        </w:rPr>
        <w:t>年</w:t>
      </w:r>
      <w:r>
        <w:rPr>
          <w:rFonts w:hint="eastAsia" w:ascii="宋体" w:hAnsi="宋体" w:cs="宋体"/>
          <w:bCs/>
          <w:color w:val="auto"/>
          <w:kern w:val="0"/>
          <w:szCs w:val="21"/>
          <w:highlight w:val="none"/>
          <w:lang w:val="en-US" w:eastAsia="zh-CN"/>
        </w:rPr>
        <w:t>8</w:t>
      </w:r>
      <w:r>
        <w:rPr>
          <w:rFonts w:hint="eastAsia" w:ascii="宋体" w:hAnsi="宋体" w:cs="宋体"/>
          <w:bCs/>
          <w:color w:val="auto"/>
          <w:kern w:val="0"/>
          <w:szCs w:val="21"/>
          <w:highlight w:val="none"/>
        </w:rPr>
        <w:t>月</w:t>
      </w:r>
      <w:r>
        <w:rPr>
          <w:rFonts w:hint="eastAsia" w:ascii="宋体" w:hAnsi="宋体" w:cs="宋体"/>
          <w:bCs/>
          <w:color w:val="auto"/>
          <w:kern w:val="0"/>
          <w:szCs w:val="21"/>
          <w:highlight w:val="none"/>
          <w:lang w:val="en-US" w:eastAsia="zh-CN"/>
        </w:rPr>
        <w:t>21</w:t>
      </w:r>
      <w:r>
        <w:rPr>
          <w:rFonts w:hint="eastAsia" w:ascii="宋体" w:hAnsi="宋体" w:cs="宋体"/>
          <w:bCs/>
          <w:color w:val="auto"/>
          <w:kern w:val="0"/>
          <w:szCs w:val="21"/>
          <w:highlight w:val="none"/>
        </w:rPr>
        <w:t>日9时30分（北京时间）</w:t>
      </w:r>
    </w:p>
    <w:p w14:paraId="4EBADBDB">
      <w:pPr>
        <w:keepNext w:val="0"/>
        <w:keepLines w:val="0"/>
        <w:pageBreakBefore w:val="0"/>
        <w:kinsoku/>
        <w:overflowPunct/>
        <w:topLinePunct w:val="0"/>
        <w:bidi w:val="0"/>
        <w:spacing w:line="400" w:lineRule="exact"/>
        <w:ind w:firstLine="420" w:firstLineChars="200"/>
        <w:textAlignment w:val="auto"/>
        <w:rPr>
          <w:rFonts w:hint="eastAsia" w:ascii="宋体" w:hAnsi="宋体" w:cs="宋体"/>
          <w:bCs/>
          <w:color w:val="auto"/>
          <w:szCs w:val="21"/>
          <w:highlight w:val="none"/>
        </w:rPr>
      </w:pPr>
      <w:r>
        <w:rPr>
          <w:rFonts w:hint="eastAsia" w:ascii="宋体" w:hAnsi="宋体" w:cs="宋体"/>
          <w:bCs/>
          <w:color w:val="auto"/>
          <w:szCs w:val="21"/>
          <w:highlight w:val="none"/>
        </w:rPr>
        <w:t>2.投标地点（网址）：广西政府采购云平台（https://www.gcy.zfcg.gxzf.gov.cn/）</w:t>
      </w:r>
    </w:p>
    <w:p w14:paraId="121B9480">
      <w:pPr>
        <w:keepNext w:val="0"/>
        <w:keepLines w:val="0"/>
        <w:pageBreakBefore w:val="0"/>
        <w:kinsoku/>
        <w:overflowPunct/>
        <w:topLinePunct w:val="0"/>
        <w:bidi w:val="0"/>
        <w:spacing w:line="400" w:lineRule="exact"/>
        <w:ind w:firstLine="420" w:firstLineChars="200"/>
        <w:textAlignment w:val="auto"/>
        <w:rPr>
          <w:rFonts w:hint="eastAsia" w:ascii="宋体" w:hAnsi="宋体" w:cs="宋体"/>
          <w:bCs/>
          <w:color w:val="auto"/>
          <w:szCs w:val="21"/>
          <w:highlight w:val="none"/>
        </w:rPr>
      </w:pPr>
      <w:r>
        <w:rPr>
          <w:rFonts w:hint="eastAsia" w:ascii="宋体" w:hAnsi="宋体" w:cs="宋体"/>
          <w:bCs/>
          <w:color w:val="auto"/>
          <w:szCs w:val="21"/>
          <w:highlight w:val="none"/>
        </w:rPr>
        <w:t>3.开标时间：</w:t>
      </w:r>
      <w:r>
        <w:rPr>
          <w:rFonts w:hint="eastAsia" w:ascii="宋体" w:hAnsi="宋体" w:cs="宋体"/>
          <w:bCs/>
          <w:color w:val="auto"/>
          <w:kern w:val="0"/>
          <w:szCs w:val="21"/>
          <w:highlight w:val="none"/>
        </w:rPr>
        <w:t>202</w:t>
      </w:r>
      <w:r>
        <w:rPr>
          <w:rFonts w:hint="eastAsia" w:ascii="宋体" w:hAnsi="宋体" w:cs="宋体"/>
          <w:bCs/>
          <w:color w:val="auto"/>
          <w:kern w:val="0"/>
          <w:szCs w:val="21"/>
          <w:highlight w:val="none"/>
          <w:lang w:val="en-US" w:eastAsia="zh-CN"/>
        </w:rPr>
        <w:t>6</w:t>
      </w:r>
      <w:r>
        <w:rPr>
          <w:rFonts w:hint="eastAsia" w:ascii="宋体" w:hAnsi="宋体" w:cs="宋体"/>
          <w:bCs/>
          <w:color w:val="auto"/>
          <w:kern w:val="0"/>
          <w:szCs w:val="21"/>
          <w:highlight w:val="none"/>
        </w:rPr>
        <w:t>年</w:t>
      </w:r>
      <w:r>
        <w:rPr>
          <w:rFonts w:hint="eastAsia" w:ascii="宋体" w:hAnsi="宋体" w:cs="宋体"/>
          <w:bCs/>
          <w:color w:val="auto"/>
          <w:kern w:val="0"/>
          <w:szCs w:val="21"/>
          <w:highlight w:val="none"/>
          <w:lang w:val="en-US" w:eastAsia="zh-CN"/>
        </w:rPr>
        <w:t>8</w:t>
      </w:r>
      <w:r>
        <w:rPr>
          <w:rFonts w:hint="eastAsia" w:ascii="宋体" w:hAnsi="宋体" w:cs="宋体"/>
          <w:bCs/>
          <w:color w:val="auto"/>
          <w:kern w:val="0"/>
          <w:szCs w:val="21"/>
          <w:highlight w:val="none"/>
        </w:rPr>
        <w:t>月</w:t>
      </w:r>
      <w:r>
        <w:rPr>
          <w:rFonts w:hint="eastAsia" w:ascii="宋体" w:hAnsi="宋体" w:cs="宋体"/>
          <w:bCs/>
          <w:color w:val="auto"/>
          <w:kern w:val="0"/>
          <w:szCs w:val="21"/>
          <w:highlight w:val="none"/>
          <w:lang w:val="en-US" w:eastAsia="zh-CN"/>
        </w:rPr>
        <w:t>21</w:t>
      </w:r>
      <w:r>
        <w:rPr>
          <w:rFonts w:hint="eastAsia" w:ascii="宋体" w:hAnsi="宋体" w:cs="宋体"/>
          <w:bCs/>
          <w:color w:val="auto"/>
          <w:kern w:val="0"/>
          <w:szCs w:val="21"/>
          <w:highlight w:val="none"/>
        </w:rPr>
        <w:t>日</w:t>
      </w:r>
      <w:r>
        <w:rPr>
          <w:rFonts w:hint="eastAsia" w:ascii="宋体" w:hAnsi="宋体" w:cs="宋体"/>
          <w:bCs/>
          <w:color w:val="auto"/>
          <w:szCs w:val="21"/>
          <w:highlight w:val="none"/>
        </w:rPr>
        <w:t>9时30分</w:t>
      </w:r>
    </w:p>
    <w:p w14:paraId="6E989B77">
      <w:pPr>
        <w:keepNext w:val="0"/>
        <w:keepLines w:val="0"/>
        <w:pageBreakBefore w:val="0"/>
        <w:kinsoku/>
        <w:overflowPunct/>
        <w:topLinePunct w:val="0"/>
        <w:bidi w:val="0"/>
        <w:spacing w:line="400" w:lineRule="exact"/>
        <w:ind w:firstLine="420" w:firstLineChars="200"/>
        <w:textAlignment w:val="auto"/>
        <w:rPr>
          <w:rFonts w:hint="eastAsia" w:ascii="宋体" w:hAnsi="宋体" w:cs="宋体"/>
          <w:color w:val="auto"/>
          <w:szCs w:val="21"/>
          <w:highlight w:val="none"/>
        </w:rPr>
      </w:pPr>
      <w:r>
        <w:rPr>
          <w:rFonts w:hint="eastAsia" w:ascii="宋体" w:hAnsi="宋体" w:cs="宋体"/>
          <w:bCs/>
          <w:color w:val="auto"/>
          <w:szCs w:val="21"/>
          <w:highlight w:val="none"/>
        </w:rPr>
        <w:t>4.开标地点：广西政府采购云平台电子开标大厅开标。</w:t>
      </w:r>
    </w:p>
    <w:p w14:paraId="63ED0720">
      <w:pPr>
        <w:keepNext w:val="0"/>
        <w:keepLines w:val="0"/>
        <w:pageBreakBefore w:val="0"/>
        <w:kinsoku/>
        <w:overflowPunct/>
        <w:topLinePunct w:val="0"/>
        <w:bidi w:val="0"/>
        <w:spacing w:line="400" w:lineRule="exact"/>
        <w:textAlignment w:val="auto"/>
        <w:rPr>
          <w:rFonts w:hint="eastAsia" w:ascii="宋体" w:hAnsi="宋体" w:cs="宋体"/>
          <w:b/>
          <w:bCs/>
          <w:color w:val="auto"/>
          <w:sz w:val="24"/>
          <w:highlight w:val="none"/>
        </w:rPr>
      </w:pPr>
      <w:r>
        <w:rPr>
          <w:rFonts w:hint="eastAsia" w:ascii="宋体" w:hAnsi="宋体" w:cs="宋体"/>
          <w:b/>
          <w:bCs/>
          <w:color w:val="auto"/>
          <w:sz w:val="24"/>
          <w:highlight w:val="none"/>
        </w:rPr>
        <w:t>五、公告期限</w:t>
      </w:r>
      <w:bookmarkEnd w:id="33"/>
      <w:bookmarkEnd w:id="34"/>
      <w:bookmarkEnd w:id="35"/>
      <w:bookmarkEnd w:id="36"/>
    </w:p>
    <w:p w14:paraId="49020609">
      <w:pPr>
        <w:keepNext w:val="0"/>
        <w:keepLines w:val="0"/>
        <w:pageBreakBefore w:val="0"/>
        <w:kinsoku/>
        <w:overflowPunct/>
        <w:topLinePunct w:val="0"/>
        <w:bidi w:val="0"/>
        <w:spacing w:line="400" w:lineRule="exact"/>
        <w:ind w:firstLine="420" w:firstLineChars="200"/>
        <w:textAlignment w:val="auto"/>
        <w:rPr>
          <w:rFonts w:hint="eastAsia" w:ascii="宋体" w:hAnsi="宋体" w:cs="宋体"/>
          <w:color w:val="auto"/>
          <w:kern w:val="0"/>
          <w:szCs w:val="21"/>
          <w:highlight w:val="none"/>
        </w:rPr>
      </w:pPr>
      <w:r>
        <w:rPr>
          <w:rFonts w:hint="eastAsia" w:ascii="宋体" w:hAnsi="宋体" w:cs="宋体"/>
          <w:color w:val="auto"/>
          <w:kern w:val="0"/>
          <w:szCs w:val="21"/>
          <w:highlight w:val="none"/>
        </w:rPr>
        <w:t>自本公告发布之日起5个工作日。</w:t>
      </w:r>
    </w:p>
    <w:p w14:paraId="2FB6471E">
      <w:pPr>
        <w:keepNext w:val="0"/>
        <w:keepLines w:val="0"/>
        <w:pageBreakBefore w:val="0"/>
        <w:kinsoku/>
        <w:overflowPunct/>
        <w:topLinePunct w:val="0"/>
        <w:bidi w:val="0"/>
        <w:spacing w:line="400" w:lineRule="exact"/>
        <w:textAlignment w:val="auto"/>
        <w:rPr>
          <w:rFonts w:hint="eastAsia" w:ascii="宋体" w:hAnsi="宋体" w:cs="宋体"/>
          <w:b/>
          <w:bCs/>
          <w:color w:val="auto"/>
          <w:sz w:val="24"/>
          <w:highlight w:val="none"/>
        </w:rPr>
      </w:pPr>
      <w:bookmarkStart w:id="37" w:name="_Toc35393795"/>
      <w:bookmarkStart w:id="38" w:name="_Toc35393626"/>
      <w:r>
        <w:rPr>
          <w:rFonts w:hint="eastAsia" w:ascii="宋体" w:hAnsi="宋体" w:cs="宋体"/>
          <w:b/>
          <w:bCs/>
          <w:color w:val="auto"/>
          <w:sz w:val="24"/>
          <w:highlight w:val="none"/>
        </w:rPr>
        <w:t>六、其他补充事宜</w:t>
      </w:r>
      <w:bookmarkEnd w:id="37"/>
      <w:bookmarkEnd w:id="38"/>
    </w:p>
    <w:p w14:paraId="03E8438A">
      <w:pPr>
        <w:keepNext w:val="0"/>
        <w:keepLines w:val="0"/>
        <w:pageBreakBefore w:val="0"/>
        <w:kinsoku/>
        <w:overflowPunct/>
        <w:topLinePunct w:val="0"/>
        <w:bidi w:val="0"/>
        <w:spacing w:line="400" w:lineRule="exact"/>
        <w:ind w:firstLine="420" w:firstLineChars="200"/>
        <w:textAlignment w:val="auto"/>
        <w:rPr>
          <w:rFonts w:hint="eastAsia" w:ascii="宋体" w:hAnsi="宋体" w:cs="宋体"/>
          <w:color w:val="auto"/>
          <w:kern w:val="0"/>
          <w:szCs w:val="21"/>
          <w:highlight w:val="none"/>
        </w:rPr>
      </w:pPr>
      <w:bookmarkStart w:id="39" w:name="_Hlk37429585"/>
      <w:bookmarkStart w:id="40" w:name="_Hlk37429595"/>
      <w:bookmarkStart w:id="41" w:name="_Toc35393627"/>
      <w:bookmarkStart w:id="42" w:name="_Toc35393796"/>
      <w:bookmarkStart w:id="43" w:name="_Toc28359008"/>
      <w:bookmarkStart w:id="44" w:name="_Toc28359085"/>
      <w:r>
        <w:rPr>
          <w:rFonts w:hint="eastAsia" w:ascii="宋体" w:hAnsi="宋体" w:cs="宋体"/>
          <w:color w:val="auto"/>
          <w:kern w:val="0"/>
          <w:szCs w:val="21"/>
          <w:highlight w:val="none"/>
        </w:rPr>
        <w:t>1.投标保证金（人民币）：</w:t>
      </w:r>
      <w:r>
        <w:rPr>
          <w:rFonts w:hint="eastAsia" w:ascii="宋体" w:hAnsi="宋体" w:cs="宋体"/>
          <w:color w:val="auto"/>
          <w:kern w:val="0"/>
          <w:szCs w:val="21"/>
          <w:highlight w:val="none"/>
          <w:lang w:val="en-US" w:eastAsia="zh-CN"/>
        </w:rPr>
        <w:t>17万</w:t>
      </w:r>
      <w:r>
        <w:rPr>
          <w:rFonts w:hint="eastAsia" w:ascii="宋体" w:hAnsi="宋体" w:cs="宋体"/>
          <w:color w:val="auto"/>
          <w:kern w:val="0"/>
          <w:szCs w:val="21"/>
          <w:highlight w:val="none"/>
        </w:rPr>
        <w:t>元。</w:t>
      </w:r>
    </w:p>
    <w:p w14:paraId="73E5FEA3">
      <w:pPr>
        <w:keepNext w:val="0"/>
        <w:keepLines w:val="0"/>
        <w:pageBreakBefore w:val="0"/>
        <w:kinsoku/>
        <w:overflowPunct/>
        <w:topLinePunct w:val="0"/>
        <w:bidi w:val="0"/>
        <w:spacing w:line="400" w:lineRule="exact"/>
        <w:ind w:firstLine="420" w:firstLineChars="200"/>
        <w:textAlignment w:val="auto"/>
        <w:rPr>
          <w:rFonts w:hint="eastAsia" w:ascii="宋体" w:hAnsi="宋体" w:cs="宋体"/>
          <w:color w:val="auto"/>
          <w:kern w:val="0"/>
          <w:szCs w:val="21"/>
          <w:highlight w:val="none"/>
        </w:rPr>
      </w:pPr>
      <w:r>
        <w:rPr>
          <w:rFonts w:hint="eastAsia" w:ascii="宋体" w:hAnsi="宋体" w:cs="宋体"/>
          <w:color w:val="auto"/>
          <w:kern w:val="0"/>
          <w:szCs w:val="21"/>
          <w:highlight w:val="none"/>
        </w:rPr>
        <w:t>投标保证金的缴纳方式：以银行转账、支票、汇票、本票或者金融机构、担保机构出具的保函等非现金形式提交。采用银行转账方式的，在投标截止时间前交至采购代理机构指定账户并且到账。汇款时投标人的汇款单据应注明“</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lang w:val="en-US" w:eastAsia="zh-CN"/>
        </w:rPr>
        <w:t>项目编号）</w:t>
      </w:r>
      <w:r>
        <w:rPr>
          <w:rFonts w:hint="eastAsia" w:ascii="宋体" w:hAnsi="宋体" w:cs="宋体"/>
          <w:color w:val="auto"/>
          <w:kern w:val="0"/>
          <w:szCs w:val="21"/>
          <w:highlight w:val="none"/>
        </w:rPr>
        <w:t>投标保证金”。</w:t>
      </w:r>
    </w:p>
    <w:p w14:paraId="43A4BDB2">
      <w:pPr>
        <w:keepNext w:val="0"/>
        <w:keepLines w:val="0"/>
        <w:pageBreakBefore w:val="0"/>
        <w:kinsoku/>
        <w:overflowPunct/>
        <w:topLinePunct w:val="0"/>
        <w:bidi w:val="0"/>
        <w:spacing w:line="400" w:lineRule="exact"/>
        <w:ind w:firstLine="420" w:firstLineChars="200"/>
        <w:textAlignment w:val="auto"/>
        <w:rPr>
          <w:rFonts w:hint="eastAsia" w:ascii="宋体" w:hAnsi="宋体" w:cs="宋体"/>
          <w:color w:val="auto"/>
          <w:kern w:val="0"/>
          <w:szCs w:val="21"/>
          <w:highlight w:val="none"/>
        </w:rPr>
      </w:pPr>
      <w:r>
        <w:rPr>
          <w:rFonts w:hint="eastAsia" w:ascii="宋体" w:hAnsi="宋体" w:cs="宋体"/>
          <w:color w:val="auto"/>
          <w:kern w:val="0"/>
          <w:szCs w:val="21"/>
          <w:highlight w:val="none"/>
        </w:rPr>
        <w:t>2.网上查询地址</w:t>
      </w:r>
    </w:p>
    <w:bookmarkEnd w:id="39"/>
    <w:p w14:paraId="50221001">
      <w:pPr>
        <w:keepNext w:val="0"/>
        <w:keepLines w:val="0"/>
        <w:pageBreakBefore w:val="0"/>
        <w:kinsoku/>
        <w:wordWrap w:val="0"/>
        <w:overflowPunct/>
        <w:topLinePunct w:val="0"/>
        <w:bidi w:val="0"/>
        <w:spacing w:line="400" w:lineRule="exact"/>
        <w:ind w:firstLine="424" w:firstLineChars="202"/>
        <w:textAlignment w:val="auto"/>
        <w:rPr>
          <w:rFonts w:hint="eastAsia" w:ascii="宋体" w:hAnsi="宋体" w:cs="宋体"/>
          <w:i/>
          <w:color w:val="auto"/>
          <w:kern w:val="0"/>
          <w:szCs w:val="21"/>
          <w:highlight w:val="none"/>
        </w:rPr>
      </w:pPr>
      <w:r>
        <w:rPr>
          <w:rFonts w:hint="eastAsia" w:ascii="宋体" w:hAnsi="宋体" w:cs="宋体"/>
          <w:color w:val="auto"/>
          <w:kern w:val="0"/>
          <w:szCs w:val="21"/>
          <w:highlight w:val="none"/>
        </w:rPr>
        <w:t>http://www.ccgp.gov.cn（中国政府采购网）、http://zfcg.gxzf.gov.cn（广西壮族自治区政府采购网）、http://gxggzy.gxzf.gov.cn/（广西壮族自治区公共资源交易中心）</w:t>
      </w:r>
      <w:r>
        <w:rPr>
          <w:rFonts w:hint="eastAsia" w:ascii="宋体" w:hAnsi="宋体" w:cs="宋体"/>
          <w:color w:val="auto"/>
          <w:kern w:val="0"/>
          <w:szCs w:val="21"/>
          <w:highlight w:val="none"/>
          <w:lang w:eastAsia="zh-CN"/>
        </w:rPr>
        <w:t>、http://www.guangxibid.com.cn/</w:t>
      </w:r>
      <w:r>
        <w:rPr>
          <w:rFonts w:hint="eastAsia" w:ascii="宋体" w:hAnsi="宋体" w:cs="宋体"/>
          <w:color w:val="auto"/>
          <w:kern w:val="0"/>
          <w:szCs w:val="21"/>
          <w:highlight w:val="none"/>
          <w:lang w:val="en-US" w:eastAsia="zh-CN"/>
        </w:rPr>
        <w:t>（广西招标网）</w:t>
      </w:r>
      <w:r>
        <w:rPr>
          <w:rFonts w:hint="eastAsia" w:ascii="宋体" w:hAnsi="宋体" w:cs="宋体"/>
          <w:color w:val="auto"/>
          <w:kern w:val="0"/>
          <w:szCs w:val="21"/>
          <w:highlight w:val="none"/>
        </w:rPr>
        <w:t>。</w:t>
      </w:r>
    </w:p>
    <w:bookmarkEnd w:id="40"/>
    <w:p w14:paraId="0F2EC7B1">
      <w:pPr>
        <w:keepNext w:val="0"/>
        <w:keepLines w:val="0"/>
        <w:pageBreakBefore w:val="0"/>
        <w:kinsoku/>
        <w:overflowPunct/>
        <w:topLinePunct w:val="0"/>
        <w:bidi w:val="0"/>
        <w:spacing w:line="400" w:lineRule="exact"/>
        <w:ind w:firstLine="424" w:firstLineChars="202"/>
        <w:textAlignment w:val="auto"/>
        <w:rPr>
          <w:rFonts w:hint="eastAsia" w:ascii="宋体" w:hAnsi="宋体" w:cs="宋体"/>
          <w:color w:val="auto"/>
          <w:kern w:val="0"/>
          <w:szCs w:val="21"/>
          <w:highlight w:val="none"/>
        </w:rPr>
      </w:pPr>
      <w:bookmarkStart w:id="45" w:name="_Hlk37429674"/>
      <w:r>
        <w:rPr>
          <w:rFonts w:hint="eastAsia" w:ascii="宋体" w:hAnsi="宋体" w:cs="宋体"/>
          <w:color w:val="auto"/>
          <w:szCs w:val="21"/>
          <w:highlight w:val="none"/>
        </w:rPr>
        <w:t>3.</w:t>
      </w:r>
      <w:r>
        <w:rPr>
          <w:rFonts w:hint="eastAsia" w:ascii="宋体" w:hAnsi="宋体" w:cs="宋体"/>
          <w:color w:val="auto"/>
          <w:kern w:val="0"/>
          <w:szCs w:val="21"/>
          <w:highlight w:val="none"/>
        </w:rPr>
        <w:t>本项目需要落实的政府采购政策</w:t>
      </w:r>
    </w:p>
    <w:bookmarkEnd w:id="45"/>
    <w:p w14:paraId="38255521">
      <w:pPr>
        <w:keepNext w:val="0"/>
        <w:keepLines w:val="0"/>
        <w:pageBreakBefore w:val="0"/>
        <w:widowControl/>
        <w:kinsoku/>
        <w:overflowPunct/>
        <w:topLinePunct w:val="0"/>
        <w:bidi w:val="0"/>
        <w:spacing w:line="400" w:lineRule="exact"/>
        <w:ind w:firstLine="420" w:firstLineChars="200"/>
        <w:jc w:val="left"/>
        <w:textAlignment w:val="auto"/>
        <w:rPr>
          <w:rFonts w:hint="eastAsia" w:ascii="宋体" w:hAnsi="宋体" w:cs="宋体"/>
          <w:color w:val="auto"/>
          <w:kern w:val="0"/>
          <w:szCs w:val="21"/>
          <w:highlight w:val="none"/>
        </w:rPr>
      </w:pPr>
      <w:r>
        <w:rPr>
          <w:rFonts w:hint="eastAsia" w:ascii="宋体" w:hAnsi="宋体" w:cs="宋体"/>
          <w:color w:val="auto"/>
          <w:kern w:val="0"/>
          <w:szCs w:val="21"/>
          <w:highlight w:val="none"/>
        </w:rPr>
        <w:t>（1）政府采购促进中小企业发展。</w:t>
      </w:r>
    </w:p>
    <w:p w14:paraId="20B8F498">
      <w:pPr>
        <w:keepNext w:val="0"/>
        <w:keepLines w:val="0"/>
        <w:pageBreakBefore w:val="0"/>
        <w:widowControl/>
        <w:kinsoku/>
        <w:overflowPunct/>
        <w:topLinePunct w:val="0"/>
        <w:bidi w:val="0"/>
        <w:spacing w:line="400" w:lineRule="exact"/>
        <w:ind w:firstLine="420" w:firstLineChars="200"/>
        <w:jc w:val="left"/>
        <w:textAlignment w:val="auto"/>
        <w:rPr>
          <w:rFonts w:hint="eastAsia" w:ascii="宋体" w:hAnsi="宋体" w:cs="宋体"/>
          <w:color w:val="auto"/>
          <w:kern w:val="0"/>
          <w:szCs w:val="21"/>
          <w:highlight w:val="none"/>
        </w:rPr>
      </w:pPr>
      <w:r>
        <w:rPr>
          <w:rFonts w:hint="eastAsia" w:ascii="宋体" w:hAnsi="宋体" w:cs="宋体"/>
          <w:color w:val="auto"/>
          <w:kern w:val="0"/>
          <w:szCs w:val="21"/>
          <w:highlight w:val="none"/>
        </w:rPr>
        <w:t>（2）政府采购促进残疾人就业政策。</w:t>
      </w:r>
    </w:p>
    <w:p w14:paraId="5380DDE4">
      <w:pPr>
        <w:keepNext w:val="0"/>
        <w:keepLines w:val="0"/>
        <w:pageBreakBefore w:val="0"/>
        <w:widowControl/>
        <w:kinsoku/>
        <w:overflowPunct/>
        <w:topLinePunct w:val="0"/>
        <w:bidi w:val="0"/>
        <w:spacing w:line="400" w:lineRule="exact"/>
        <w:ind w:firstLine="420" w:firstLineChars="200"/>
        <w:jc w:val="left"/>
        <w:textAlignment w:val="auto"/>
        <w:rPr>
          <w:rFonts w:hint="eastAsia" w:ascii="宋体" w:hAnsi="宋体" w:cs="宋体"/>
          <w:color w:val="auto"/>
          <w:kern w:val="0"/>
          <w:szCs w:val="21"/>
          <w:highlight w:val="none"/>
        </w:rPr>
      </w:pPr>
      <w:r>
        <w:rPr>
          <w:rFonts w:hint="eastAsia" w:ascii="宋体" w:hAnsi="宋体" w:cs="宋体"/>
          <w:color w:val="auto"/>
          <w:kern w:val="0"/>
          <w:szCs w:val="21"/>
          <w:highlight w:val="none"/>
        </w:rPr>
        <w:t>（3）政府采购支持监狱企业发展。</w:t>
      </w:r>
    </w:p>
    <w:p w14:paraId="278E918D">
      <w:pPr>
        <w:keepNext w:val="0"/>
        <w:keepLines w:val="0"/>
        <w:pageBreakBefore w:val="0"/>
        <w:widowControl/>
        <w:kinsoku/>
        <w:overflowPunct/>
        <w:topLinePunct w:val="0"/>
        <w:bidi w:val="0"/>
        <w:spacing w:line="400" w:lineRule="exact"/>
        <w:ind w:firstLine="420" w:firstLineChars="200"/>
        <w:jc w:val="left"/>
        <w:textAlignment w:val="auto"/>
        <w:rPr>
          <w:rFonts w:hint="eastAsia" w:ascii="宋体" w:hAnsi="宋体" w:cs="宋体"/>
          <w:color w:val="auto"/>
          <w:kern w:val="0"/>
          <w:szCs w:val="21"/>
          <w:highlight w:val="none"/>
        </w:rPr>
      </w:pPr>
      <w:r>
        <w:rPr>
          <w:rFonts w:hint="eastAsia" w:ascii="宋体" w:hAnsi="宋体" w:cs="宋体"/>
          <w:color w:val="auto"/>
          <w:kern w:val="0"/>
          <w:szCs w:val="21"/>
          <w:highlight w:val="none"/>
        </w:rPr>
        <w:t>（4）强制采购节能产品；优先采购节能产品、环境标志产品。</w:t>
      </w:r>
    </w:p>
    <w:p w14:paraId="4A95189A">
      <w:pPr>
        <w:keepNext w:val="0"/>
        <w:keepLines w:val="0"/>
        <w:pageBreakBefore w:val="0"/>
        <w:widowControl/>
        <w:kinsoku/>
        <w:overflowPunct/>
        <w:topLinePunct w:val="0"/>
        <w:bidi w:val="0"/>
        <w:spacing w:line="400" w:lineRule="exact"/>
        <w:ind w:firstLine="420" w:firstLineChars="200"/>
        <w:jc w:val="left"/>
        <w:textAlignment w:val="auto"/>
        <w:rPr>
          <w:rFonts w:hint="eastAsia" w:ascii="宋体" w:hAnsi="宋体" w:cs="宋体"/>
          <w:color w:val="auto"/>
          <w:kern w:val="0"/>
          <w:szCs w:val="21"/>
          <w:highlight w:val="none"/>
        </w:rPr>
      </w:pPr>
      <w:r>
        <w:rPr>
          <w:rFonts w:hint="eastAsia" w:ascii="宋体" w:hAnsi="宋体" w:cs="宋体"/>
          <w:color w:val="auto"/>
          <w:kern w:val="0"/>
          <w:szCs w:val="21"/>
          <w:highlight w:val="none"/>
        </w:rPr>
        <w:t>（5）扶持不发达地区和少数民族地区政策。</w:t>
      </w:r>
    </w:p>
    <w:p w14:paraId="075910E0">
      <w:pPr>
        <w:keepNext w:val="0"/>
        <w:keepLines w:val="0"/>
        <w:pageBreakBefore w:val="0"/>
        <w:widowControl/>
        <w:kinsoku/>
        <w:overflowPunct/>
        <w:topLinePunct w:val="0"/>
        <w:bidi w:val="0"/>
        <w:spacing w:line="400" w:lineRule="exact"/>
        <w:ind w:firstLine="420" w:firstLineChars="200"/>
        <w:jc w:val="left"/>
        <w:textAlignment w:val="auto"/>
        <w:rPr>
          <w:rFonts w:hint="eastAsia" w:ascii="宋体" w:hAnsi="宋体" w:cs="宋体"/>
          <w:color w:val="auto"/>
          <w:kern w:val="0"/>
          <w:szCs w:val="21"/>
          <w:highlight w:val="none"/>
        </w:rPr>
      </w:pPr>
      <w:r>
        <w:rPr>
          <w:rFonts w:hint="eastAsia" w:ascii="宋体" w:hAnsi="宋体" w:cs="宋体"/>
          <w:color w:val="auto"/>
          <w:kern w:val="0"/>
          <w:szCs w:val="21"/>
          <w:highlight w:val="none"/>
        </w:rPr>
        <w:t>4.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580F10A6">
      <w:pPr>
        <w:keepNext w:val="0"/>
        <w:keepLines w:val="0"/>
        <w:pageBreakBefore w:val="0"/>
        <w:widowControl/>
        <w:kinsoku/>
        <w:overflowPunct/>
        <w:topLinePunct w:val="0"/>
        <w:bidi w:val="0"/>
        <w:spacing w:line="400" w:lineRule="exact"/>
        <w:ind w:firstLine="420" w:firstLineChars="200"/>
        <w:jc w:val="left"/>
        <w:textAlignment w:val="auto"/>
        <w:rPr>
          <w:rFonts w:hint="eastAsia" w:ascii="宋体" w:hAnsi="宋体" w:cs="宋体"/>
          <w:color w:val="auto"/>
          <w:kern w:val="0"/>
          <w:szCs w:val="21"/>
          <w:highlight w:val="none"/>
        </w:rPr>
      </w:pPr>
      <w:r>
        <w:rPr>
          <w:rFonts w:hint="eastAsia" w:ascii="宋体" w:hAnsi="宋体" w:cs="宋体"/>
          <w:color w:val="auto"/>
          <w:kern w:val="0"/>
          <w:szCs w:val="21"/>
          <w:highlight w:val="none"/>
        </w:rPr>
        <w:t>5.根据财政部《关于在政府采购活动中查询及使用信用记录有关问题的通知》（财库〔2016〕125号）的规定，对在“信用中国”网站（www.creditchina.gov.cn） 、中国政府采购网（www.ccgp.gov.cn）被列入失信被执行人、重大税收违法失信主体、政府采购严重违法失信行为记录名单及其他不符合《中华人民共和国政府采购法》第二十二条规定条件的供应商，不得参与政府采购活动。</w:t>
      </w:r>
    </w:p>
    <w:p w14:paraId="27B2D37A">
      <w:pPr>
        <w:keepNext w:val="0"/>
        <w:keepLines w:val="0"/>
        <w:pageBreakBefore w:val="0"/>
        <w:widowControl/>
        <w:kinsoku/>
        <w:overflowPunct/>
        <w:topLinePunct w:val="0"/>
        <w:bidi w:val="0"/>
        <w:spacing w:line="4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kern w:val="0"/>
          <w:szCs w:val="21"/>
          <w:highlight w:val="none"/>
        </w:rPr>
        <w:t>6.投标人</w:t>
      </w:r>
      <w:r>
        <w:rPr>
          <w:rFonts w:hint="eastAsia" w:ascii="宋体" w:hAnsi="宋体" w:cs="宋体"/>
          <w:color w:val="auto"/>
          <w:szCs w:val="21"/>
          <w:highlight w:val="none"/>
        </w:rPr>
        <w:t>投标注意事项</w:t>
      </w:r>
    </w:p>
    <w:p w14:paraId="50E07744">
      <w:pPr>
        <w:keepNext w:val="0"/>
        <w:keepLines w:val="0"/>
        <w:pageBreakBefore w:val="0"/>
        <w:widowControl/>
        <w:kinsoku/>
        <w:wordWrap w:val="0"/>
        <w:overflowPunct/>
        <w:topLinePunct w:val="0"/>
        <w:bidi w:val="0"/>
        <w:spacing w:line="4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（1）本项目为全流程电子化采购项目，通过广西政府采购云平台（</w:t>
      </w:r>
      <w:r>
        <w:rPr>
          <w:rFonts w:hint="eastAsia" w:ascii="宋体" w:hAnsi="宋体" w:cs="宋体"/>
          <w:bCs/>
          <w:color w:val="auto"/>
          <w:szCs w:val="21"/>
          <w:highlight w:val="none"/>
        </w:rPr>
        <w:t>https://www.gcy.zfcg.gxzf.gov.cn/</w:t>
      </w:r>
      <w:r>
        <w:rPr>
          <w:rFonts w:hint="eastAsia" w:ascii="宋体" w:hAnsi="宋体" w:cs="宋体"/>
          <w:color w:val="auto"/>
          <w:szCs w:val="21"/>
          <w:highlight w:val="none"/>
        </w:rPr>
        <w:t>）实行在线电子投标，投标人应按照本项目招标文件和广西政府采购云平台的要求编制、加密后在投标截止时间前通过网络上传至广西政府采购云平台（加密的电子投标文件是指</w:t>
      </w:r>
      <w:r>
        <w:rPr>
          <w:rFonts w:hint="eastAsia" w:ascii="宋体" w:hAnsi="宋体" w:cs="宋体"/>
          <w:color w:val="auto"/>
          <w:highlight w:val="none"/>
        </w:rPr>
        <w:t>后缀名为“jmbs”的文件</w:t>
      </w:r>
      <w:r>
        <w:rPr>
          <w:rFonts w:hint="eastAsia" w:ascii="宋体" w:hAnsi="宋体" w:cs="宋体"/>
          <w:color w:val="auto"/>
          <w:szCs w:val="21"/>
          <w:highlight w:val="none"/>
        </w:rPr>
        <w:t>），</w:t>
      </w:r>
      <w:r>
        <w:rPr>
          <w:rFonts w:hint="eastAsia" w:ascii="宋体" w:hAnsi="宋体" w:cs="宋体"/>
          <w:b/>
          <w:color w:val="auto"/>
          <w:szCs w:val="21"/>
          <w:highlight w:val="none"/>
        </w:rPr>
        <w:t>投标人在</w:t>
      </w:r>
      <w:r>
        <w:rPr>
          <w:rFonts w:hint="eastAsia" w:ascii="宋体" w:hAnsi="宋体" w:cs="宋体"/>
          <w:color w:val="auto"/>
          <w:szCs w:val="21"/>
          <w:highlight w:val="none"/>
        </w:rPr>
        <w:t>广西政府采购云平台</w:t>
      </w:r>
      <w:r>
        <w:rPr>
          <w:rFonts w:hint="eastAsia" w:ascii="宋体" w:hAnsi="宋体" w:cs="宋体"/>
          <w:b/>
          <w:color w:val="auto"/>
          <w:szCs w:val="21"/>
          <w:highlight w:val="none"/>
        </w:rPr>
        <w:t>提交电子投标文件时，请填写参加远程开标活动经办人联系方式。</w:t>
      </w:r>
      <w:r>
        <w:rPr>
          <w:rFonts w:hint="eastAsia" w:ascii="宋体" w:hAnsi="宋体" w:cs="宋体"/>
          <w:color w:val="auto"/>
          <w:szCs w:val="21"/>
          <w:highlight w:val="none"/>
        </w:rPr>
        <w:t>投标人登录广西政府采购云平台，依次进入“服务中心</w:t>
      </w:r>
      <w:r>
        <w:rPr>
          <w:rFonts w:hint="eastAsia" w:ascii="宋体" w:hAnsi="宋体" w:cs="宋体"/>
          <w:color w:val="auto"/>
          <w:szCs w:val="21"/>
          <w:highlight w:val="none"/>
          <w:lang w:eastAsia="zh-CN"/>
        </w:rPr>
        <w:t>－</w:t>
      </w:r>
      <w:r>
        <w:rPr>
          <w:rFonts w:hint="eastAsia" w:ascii="宋体" w:hAnsi="宋体" w:cs="宋体"/>
          <w:color w:val="auto"/>
          <w:szCs w:val="21"/>
          <w:highlight w:val="none"/>
        </w:rPr>
        <w:t>项目采购</w:t>
      </w:r>
      <w:r>
        <w:rPr>
          <w:rFonts w:hint="eastAsia" w:ascii="宋体" w:hAnsi="宋体" w:cs="宋体"/>
          <w:color w:val="auto"/>
          <w:szCs w:val="21"/>
          <w:highlight w:val="none"/>
          <w:lang w:eastAsia="zh-CN"/>
        </w:rPr>
        <w:t>－</w:t>
      </w:r>
      <w:r>
        <w:rPr>
          <w:rFonts w:hint="eastAsia" w:ascii="宋体" w:hAnsi="宋体" w:cs="宋体"/>
          <w:color w:val="auto"/>
          <w:szCs w:val="21"/>
          <w:highlight w:val="none"/>
        </w:rPr>
        <w:t>操作流程</w:t>
      </w:r>
      <w:r>
        <w:rPr>
          <w:rFonts w:hint="eastAsia" w:ascii="宋体" w:hAnsi="宋体" w:cs="宋体"/>
          <w:color w:val="auto"/>
          <w:szCs w:val="21"/>
          <w:highlight w:val="none"/>
          <w:lang w:eastAsia="zh-CN"/>
        </w:rPr>
        <w:t>－</w:t>
      </w:r>
      <w:r>
        <w:rPr>
          <w:rFonts w:hint="eastAsia" w:ascii="宋体" w:hAnsi="宋体" w:cs="宋体"/>
          <w:color w:val="auto"/>
          <w:szCs w:val="21"/>
          <w:highlight w:val="none"/>
        </w:rPr>
        <w:t>电子招投标</w:t>
      </w:r>
      <w:r>
        <w:rPr>
          <w:rFonts w:hint="eastAsia" w:ascii="宋体" w:hAnsi="宋体" w:cs="宋体"/>
          <w:color w:val="auto"/>
          <w:szCs w:val="21"/>
          <w:highlight w:val="none"/>
          <w:lang w:eastAsia="zh-CN"/>
        </w:rPr>
        <w:t>－</w:t>
      </w:r>
      <w:r>
        <w:rPr>
          <w:rFonts w:hint="eastAsia" w:ascii="宋体" w:hAnsi="宋体" w:cs="宋体"/>
          <w:color w:val="auto"/>
          <w:highlight w:val="none"/>
        </w:rPr>
        <w:t>政府采购项目电子交易管理操作指南</w:t>
      </w:r>
      <w:r>
        <w:rPr>
          <w:rFonts w:hint="eastAsia" w:ascii="宋体" w:hAnsi="宋体" w:cs="宋体"/>
          <w:color w:val="auto"/>
          <w:highlight w:val="none"/>
          <w:lang w:eastAsia="zh-CN"/>
        </w:rPr>
        <w:t>－</w:t>
      </w:r>
      <w:r>
        <w:rPr>
          <w:rFonts w:hint="eastAsia" w:ascii="宋体" w:hAnsi="宋体" w:cs="宋体"/>
          <w:color w:val="auto"/>
          <w:highlight w:val="none"/>
        </w:rPr>
        <w:t>供应商</w:t>
      </w:r>
      <w:r>
        <w:rPr>
          <w:rFonts w:hint="eastAsia" w:ascii="宋体" w:hAnsi="宋体" w:cs="宋体"/>
          <w:color w:val="auto"/>
          <w:szCs w:val="21"/>
          <w:highlight w:val="none"/>
        </w:rPr>
        <w:t>”查看电子投标具体操作流程。</w:t>
      </w:r>
    </w:p>
    <w:p w14:paraId="30A2DB33">
      <w:pPr>
        <w:keepNext w:val="0"/>
        <w:keepLines w:val="0"/>
        <w:pageBreakBefore w:val="0"/>
        <w:widowControl/>
        <w:kinsoku/>
        <w:overflowPunct/>
        <w:topLinePunct w:val="0"/>
        <w:bidi w:val="0"/>
        <w:spacing w:line="4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2）未进行网上注册并办理数字证书（CA认证）的投标人将无法参与本项目政府采购活动，投标人应当在投标截止时间前，完成电子交易平台上的CA数字证书办理及投标文件的提交（投标人可登录“广西政府采购网”，依次进入“办事服务</w:t>
      </w:r>
      <w:r>
        <w:rPr>
          <w:rFonts w:hint="eastAsia" w:ascii="宋体" w:hAnsi="宋体" w:cs="宋体"/>
          <w:color w:val="auto"/>
          <w:szCs w:val="21"/>
          <w:highlight w:val="none"/>
          <w:lang w:eastAsia="zh-CN"/>
        </w:rPr>
        <w:t>－</w:t>
      </w:r>
      <w:r>
        <w:rPr>
          <w:rFonts w:hint="eastAsia" w:ascii="宋体" w:hAnsi="宋体" w:cs="宋体"/>
          <w:color w:val="auto"/>
          <w:szCs w:val="21"/>
          <w:highlight w:val="none"/>
        </w:rPr>
        <w:t>下载专区”或者登录广西政府采购云平台</w:t>
      </w:r>
      <w:r>
        <w:rPr>
          <w:rFonts w:hint="eastAsia" w:ascii="宋体" w:hAnsi="宋体" w:cs="宋体"/>
          <w:color w:val="auto"/>
          <w:kern w:val="0"/>
          <w:szCs w:val="21"/>
          <w:highlight w:val="none"/>
        </w:rPr>
        <w:t>，</w:t>
      </w:r>
      <w:r>
        <w:rPr>
          <w:rFonts w:hint="eastAsia" w:ascii="宋体" w:hAnsi="宋体" w:cs="宋体"/>
          <w:color w:val="auto"/>
          <w:szCs w:val="21"/>
          <w:highlight w:val="none"/>
        </w:rPr>
        <w:t>依次进入“服务中心</w:t>
      </w:r>
      <w:r>
        <w:rPr>
          <w:rFonts w:hint="eastAsia" w:ascii="宋体" w:hAnsi="宋体" w:cs="宋体"/>
          <w:color w:val="auto"/>
          <w:szCs w:val="21"/>
          <w:highlight w:val="none"/>
          <w:lang w:eastAsia="zh-CN"/>
        </w:rPr>
        <w:t>－</w:t>
      </w:r>
      <w:r>
        <w:rPr>
          <w:rFonts w:hint="eastAsia" w:ascii="宋体" w:hAnsi="宋体" w:cs="宋体"/>
          <w:color w:val="auto"/>
          <w:szCs w:val="21"/>
          <w:highlight w:val="none"/>
        </w:rPr>
        <w:t>入驻与配置”中查看CA数字证书办理操作流程。</w:t>
      </w:r>
      <w:r>
        <w:rPr>
          <w:rFonts w:hint="eastAsia" w:ascii="宋体" w:hAnsi="宋体" w:cs="宋体"/>
          <w:bCs/>
          <w:color w:val="auto"/>
          <w:kern w:val="0"/>
          <w:szCs w:val="21"/>
          <w:highlight w:val="none"/>
        </w:rPr>
        <w:t>如在操作过程中遇到问题或者需要技术支持，请致电客服热线：95763</w:t>
      </w:r>
      <w:r>
        <w:rPr>
          <w:rFonts w:hint="eastAsia" w:ascii="宋体" w:hAnsi="宋体" w:cs="宋体"/>
          <w:color w:val="auto"/>
          <w:szCs w:val="21"/>
          <w:highlight w:val="none"/>
        </w:rPr>
        <w:t>）。</w:t>
      </w:r>
    </w:p>
    <w:p w14:paraId="63B6264B">
      <w:pPr>
        <w:keepNext w:val="0"/>
        <w:keepLines w:val="0"/>
        <w:pageBreakBefore w:val="0"/>
        <w:kinsoku/>
        <w:overflowPunct/>
        <w:topLinePunct w:val="0"/>
        <w:bidi w:val="0"/>
        <w:snapToGrid w:val="0"/>
        <w:spacing w:line="400" w:lineRule="exact"/>
        <w:ind w:firstLine="420" w:firstLineChars="200"/>
        <w:textAlignment w:val="auto"/>
        <w:rPr>
          <w:rFonts w:hint="eastAsia" w:ascii="宋体" w:hAnsi="宋体" w:cs="宋体"/>
          <w:color w:val="auto"/>
          <w:kern w:val="0"/>
          <w:szCs w:val="21"/>
          <w:highlight w:val="none"/>
        </w:rPr>
      </w:pPr>
      <w:r>
        <w:rPr>
          <w:rFonts w:hint="eastAsia" w:ascii="宋体" w:hAnsi="宋体" w:cs="宋体"/>
          <w:color w:val="auto"/>
          <w:kern w:val="0"/>
          <w:szCs w:val="21"/>
          <w:highlight w:val="none"/>
        </w:rPr>
        <w:t>（3）CA证书在线解密：投标人投标时，需凭制作投标文件时用来加密的有效数字证书（CA认证）登录</w:t>
      </w:r>
      <w:r>
        <w:rPr>
          <w:rFonts w:hint="eastAsia" w:ascii="宋体" w:hAnsi="宋体" w:cs="宋体"/>
          <w:color w:val="auto"/>
          <w:szCs w:val="21"/>
          <w:highlight w:val="none"/>
        </w:rPr>
        <w:t>广西政府采购云平台</w:t>
      </w:r>
      <w:r>
        <w:rPr>
          <w:rFonts w:hint="eastAsia" w:ascii="宋体" w:hAnsi="宋体" w:cs="宋体"/>
          <w:color w:val="auto"/>
          <w:kern w:val="0"/>
          <w:szCs w:val="21"/>
          <w:highlight w:val="none"/>
        </w:rPr>
        <w:t>电子开标大厅现场按规定时间对加密的投标文件进行解密，否则后果自负。</w:t>
      </w:r>
    </w:p>
    <w:p w14:paraId="415E5A89">
      <w:pPr>
        <w:keepNext w:val="0"/>
        <w:keepLines w:val="0"/>
        <w:pageBreakBefore w:val="0"/>
        <w:kinsoku/>
        <w:wordWrap w:val="0"/>
        <w:overflowPunct/>
        <w:topLinePunct w:val="0"/>
        <w:bidi w:val="0"/>
        <w:spacing w:line="400" w:lineRule="exact"/>
        <w:ind w:firstLine="424" w:firstLineChars="202"/>
        <w:textAlignment w:val="auto"/>
        <w:rPr>
          <w:rFonts w:hint="eastAsia" w:ascii="宋体" w:hAnsi="宋体" w:cs="宋体"/>
          <w:bCs/>
          <w:color w:val="auto"/>
          <w:szCs w:val="21"/>
          <w:highlight w:val="none"/>
        </w:rPr>
      </w:pPr>
      <w:r>
        <w:rPr>
          <w:rFonts w:hint="eastAsia" w:ascii="宋体" w:hAnsi="宋体" w:cs="宋体"/>
          <w:color w:val="auto"/>
          <w:szCs w:val="21"/>
          <w:highlight w:val="none"/>
        </w:rPr>
        <w:t>注：1）为确保网上操作合法、有效和安全，请投标人确保在电子投标过程中能够对相关数据电文进行加密和使用电子签章，妥善保管CA数字证书并使用有效的CA数字证书参与整个招标活动。2）</w:t>
      </w:r>
      <w:r>
        <w:rPr>
          <w:rFonts w:hint="eastAsia" w:ascii="宋体" w:hAnsi="宋体" w:cs="宋体"/>
          <w:bCs/>
          <w:color w:val="auto"/>
          <w:szCs w:val="21"/>
          <w:highlight w:val="none"/>
        </w:rPr>
        <w:t>投标人应当在投标截止时间前完成电子投标文件的上传、提交，投标截止时间前可以补充、修改或者撤回投标文件。补充或者修改投标文件的，应当先行撤回原投标文件，补充、修改后重新上传、提交，投标截止时间前未完成上传、提交的，视为撤回投标文件。投标截止时间以后上传递交的投标文件，</w:t>
      </w:r>
      <w:r>
        <w:rPr>
          <w:rFonts w:hint="eastAsia" w:ascii="宋体" w:hAnsi="宋体" w:cs="宋体"/>
          <w:color w:val="auto"/>
          <w:szCs w:val="21"/>
          <w:highlight w:val="none"/>
        </w:rPr>
        <w:t>广西政府采购云平台</w:t>
      </w:r>
      <w:r>
        <w:rPr>
          <w:rFonts w:hint="eastAsia" w:ascii="宋体" w:hAnsi="宋体" w:cs="宋体"/>
          <w:bCs/>
          <w:color w:val="auto"/>
          <w:szCs w:val="21"/>
          <w:highlight w:val="none"/>
        </w:rPr>
        <w:t>将予以拒收。</w:t>
      </w:r>
    </w:p>
    <w:p w14:paraId="46821A7E">
      <w:pPr>
        <w:keepNext w:val="0"/>
        <w:keepLines w:val="0"/>
        <w:pageBreakBefore w:val="0"/>
        <w:kinsoku/>
        <w:wordWrap w:val="0"/>
        <w:overflowPunct/>
        <w:topLinePunct w:val="0"/>
        <w:bidi w:val="0"/>
        <w:spacing w:line="400" w:lineRule="exact"/>
        <w:ind w:firstLine="424" w:firstLineChars="202"/>
        <w:textAlignment w:val="auto"/>
        <w:rPr>
          <w:rFonts w:ascii="宋体" w:hAnsi="宋体" w:cs="宋体"/>
          <w:bCs/>
          <w:color w:val="auto"/>
          <w:szCs w:val="21"/>
          <w:highlight w:val="none"/>
        </w:rPr>
      </w:pPr>
      <w:r>
        <w:rPr>
          <w:rFonts w:hint="eastAsia" w:ascii="宋体" w:hAnsi="宋体" w:cs="宋体"/>
          <w:bCs/>
          <w:color w:val="auto"/>
          <w:szCs w:val="21"/>
          <w:highlight w:val="none"/>
        </w:rPr>
        <w:t>7.采购意向公开链接：https://zfcg.gxzf.gov.cn/site/detail?parentId=66485&amp;articleId=3Mnz7N3yKLqdCPKTYF7zKQ==</w:t>
      </w:r>
    </w:p>
    <w:p w14:paraId="666AB75D">
      <w:pPr>
        <w:keepNext w:val="0"/>
        <w:keepLines w:val="0"/>
        <w:pageBreakBefore w:val="0"/>
        <w:kinsoku/>
        <w:overflowPunct/>
        <w:topLinePunct w:val="0"/>
        <w:bidi w:val="0"/>
        <w:spacing w:line="400" w:lineRule="exact"/>
        <w:textAlignment w:val="auto"/>
        <w:rPr>
          <w:rFonts w:hint="eastAsia" w:ascii="宋体" w:hAnsi="宋体" w:cs="宋体"/>
          <w:b/>
          <w:bCs/>
          <w:color w:val="auto"/>
          <w:sz w:val="24"/>
          <w:highlight w:val="none"/>
        </w:rPr>
      </w:pPr>
      <w:r>
        <w:rPr>
          <w:rFonts w:hint="eastAsia" w:ascii="宋体" w:hAnsi="宋体" w:cs="宋体"/>
          <w:b/>
          <w:bCs/>
          <w:color w:val="auto"/>
          <w:sz w:val="24"/>
          <w:highlight w:val="none"/>
        </w:rPr>
        <w:t>七、对本次招标提出询问，请按以下方式联系。</w:t>
      </w:r>
      <w:bookmarkEnd w:id="41"/>
      <w:bookmarkEnd w:id="42"/>
      <w:bookmarkEnd w:id="43"/>
      <w:bookmarkEnd w:id="44"/>
    </w:p>
    <w:p w14:paraId="4D3B56F7">
      <w:pPr>
        <w:keepNext w:val="0"/>
        <w:keepLines w:val="0"/>
        <w:pageBreakBefore w:val="0"/>
        <w:kinsoku/>
        <w:overflowPunct/>
        <w:topLinePunct w:val="0"/>
        <w:bidi w:val="0"/>
        <w:spacing w:line="400" w:lineRule="exact"/>
        <w:ind w:firstLine="424" w:firstLineChars="202"/>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1.采购人信息</w:t>
      </w:r>
    </w:p>
    <w:p w14:paraId="59A7A395">
      <w:pPr>
        <w:keepNext w:val="0"/>
        <w:keepLines w:val="0"/>
        <w:pageBreakBefore w:val="0"/>
        <w:kinsoku/>
        <w:overflowPunct/>
        <w:topLinePunct w:val="0"/>
        <w:bidi w:val="0"/>
        <w:spacing w:line="400" w:lineRule="exact"/>
        <w:ind w:firstLine="424" w:firstLineChars="202"/>
        <w:jc w:val="left"/>
        <w:textAlignment w:val="auto"/>
        <w:rPr>
          <w:rFonts w:hint="eastAsia" w:ascii="宋体" w:hAnsi="宋体" w:eastAsia="宋体" w:cs="宋体"/>
          <w:color w:val="auto"/>
          <w:szCs w:val="21"/>
          <w:highlight w:val="none"/>
          <w:lang w:eastAsia="zh-CN"/>
        </w:rPr>
      </w:pPr>
      <w:bookmarkStart w:id="46" w:name="_Toc28359086"/>
      <w:bookmarkStart w:id="47" w:name="_Toc28359009"/>
      <w:r>
        <w:rPr>
          <w:rFonts w:hint="eastAsia" w:ascii="宋体" w:hAnsi="宋体" w:cs="宋体"/>
          <w:color w:val="auto"/>
          <w:szCs w:val="21"/>
          <w:highlight w:val="none"/>
        </w:rPr>
        <w:t>名 称：</w:t>
      </w:r>
      <w:r>
        <w:rPr>
          <w:rFonts w:hint="eastAsia" w:ascii="宋体" w:hAnsi="宋体" w:cs="宋体"/>
          <w:color w:val="auto"/>
          <w:szCs w:val="21"/>
          <w:highlight w:val="none"/>
          <w:lang w:eastAsia="zh-CN"/>
        </w:rPr>
        <w:t>广西壮族自治区计划生育协会</w:t>
      </w:r>
    </w:p>
    <w:p w14:paraId="381E8881">
      <w:pPr>
        <w:keepNext w:val="0"/>
        <w:keepLines w:val="0"/>
        <w:pageBreakBefore w:val="0"/>
        <w:kinsoku/>
        <w:overflowPunct/>
        <w:topLinePunct w:val="0"/>
        <w:bidi w:val="0"/>
        <w:spacing w:line="400" w:lineRule="exact"/>
        <w:ind w:firstLine="424" w:firstLineChars="202"/>
        <w:jc w:val="left"/>
        <w:textAlignment w:val="auto"/>
        <w:rPr>
          <w:rFonts w:hint="eastAsia" w:ascii="宋体" w:hAnsi="宋体" w:cs="宋体"/>
          <w:color w:val="auto"/>
          <w:szCs w:val="21"/>
          <w:highlight w:val="none"/>
          <w:lang w:eastAsia="zh-CN"/>
        </w:rPr>
      </w:pPr>
      <w:r>
        <w:rPr>
          <w:rFonts w:hint="eastAsia" w:ascii="宋体" w:hAnsi="宋体" w:cs="宋体"/>
          <w:color w:val="auto"/>
          <w:szCs w:val="21"/>
          <w:highlight w:val="none"/>
        </w:rPr>
        <w:t>地 址：</w:t>
      </w:r>
      <w:r>
        <w:rPr>
          <w:rFonts w:hint="eastAsia" w:ascii="宋体" w:hAnsi="宋体" w:cs="宋体"/>
          <w:color w:val="auto"/>
          <w:szCs w:val="21"/>
          <w:highlight w:val="none"/>
          <w:lang w:eastAsia="zh-CN"/>
        </w:rPr>
        <w:t>南宁市桃源路3号</w:t>
      </w:r>
    </w:p>
    <w:p w14:paraId="54A755A5">
      <w:pPr>
        <w:keepNext w:val="0"/>
        <w:keepLines w:val="0"/>
        <w:pageBreakBefore w:val="0"/>
        <w:kinsoku/>
        <w:overflowPunct/>
        <w:topLinePunct w:val="0"/>
        <w:bidi w:val="0"/>
        <w:spacing w:line="400" w:lineRule="exact"/>
        <w:ind w:firstLine="424" w:firstLineChars="202"/>
        <w:jc w:val="left"/>
        <w:textAlignment w:val="auto"/>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rPr>
        <w:t>联系人：</w:t>
      </w:r>
      <w:r>
        <w:rPr>
          <w:rFonts w:hint="eastAsia" w:ascii="宋体" w:hAnsi="宋体" w:cs="宋体"/>
          <w:color w:val="auto"/>
          <w:szCs w:val="21"/>
          <w:highlight w:val="none"/>
          <w:lang w:eastAsia="zh-CN"/>
        </w:rPr>
        <w:t>卢华</w:t>
      </w:r>
    </w:p>
    <w:p w14:paraId="53B61A5A">
      <w:pPr>
        <w:keepNext w:val="0"/>
        <w:keepLines w:val="0"/>
        <w:pageBreakBefore w:val="0"/>
        <w:kinsoku/>
        <w:overflowPunct/>
        <w:topLinePunct w:val="0"/>
        <w:bidi w:val="0"/>
        <w:spacing w:line="400" w:lineRule="exact"/>
        <w:ind w:firstLine="424" w:firstLineChars="202"/>
        <w:jc w:val="left"/>
        <w:textAlignment w:val="auto"/>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rPr>
        <w:t>联系方式：</w:t>
      </w:r>
      <w:r>
        <w:rPr>
          <w:rFonts w:hint="eastAsia" w:ascii="宋体" w:hAnsi="宋体" w:cs="宋体"/>
          <w:color w:val="auto"/>
          <w:szCs w:val="21"/>
          <w:highlight w:val="none"/>
          <w:lang w:val="en-US" w:eastAsia="zh-CN"/>
        </w:rPr>
        <w:t>0771-5865080</w:t>
      </w:r>
    </w:p>
    <w:bookmarkEnd w:id="46"/>
    <w:bookmarkEnd w:id="47"/>
    <w:p w14:paraId="3E76A5FF">
      <w:pPr>
        <w:keepNext w:val="0"/>
        <w:keepLines w:val="0"/>
        <w:pageBreakBefore w:val="0"/>
        <w:kinsoku/>
        <w:overflowPunct/>
        <w:topLinePunct w:val="0"/>
        <w:bidi w:val="0"/>
        <w:spacing w:line="400" w:lineRule="exact"/>
        <w:ind w:firstLine="424" w:firstLineChars="202"/>
        <w:textAlignment w:val="auto"/>
        <w:rPr>
          <w:rFonts w:hint="eastAsia" w:ascii="宋体" w:hAnsi="宋体" w:cs="宋体"/>
          <w:color w:val="auto"/>
          <w:szCs w:val="21"/>
          <w:highlight w:val="none"/>
        </w:rPr>
      </w:pPr>
      <w:r>
        <w:rPr>
          <w:rFonts w:hint="eastAsia" w:ascii="宋体" w:hAnsi="宋体" w:cs="宋体"/>
          <w:color w:val="auto"/>
          <w:szCs w:val="21"/>
          <w:highlight w:val="none"/>
        </w:rPr>
        <w:t>2.采购代理机构信息</w:t>
      </w:r>
    </w:p>
    <w:p w14:paraId="5ECA2F2D">
      <w:pPr>
        <w:keepNext w:val="0"/>
        <w:keepLines w:val="0"/>
        <w:pageBreakBefore w:val="0"/>
        <w:kinsoku/>
        <w:overflowPunct/>
        <w:topLinePunct w:val="0"/>
        <w:bidi w:val="0"/>
        <w:spacing w:line="400" w:lineRule="exact"/>
        <w:ind w:firstLine="424" w:firstLineChars="202"/>
        <w:textAlignment w:val="auto"/>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名 称：</w:t>
      </w:r>
      <w:r>
        <w:rPr>
          <w:rFonts w:hint="eastAsia" w:ascii="宋体" w:hAnsi="宋体" w:cs="宋体"/>
          <w:color w:val="auto"/>
          <w:szCs w:val="21"/>
          <w:highlight w:val="none"/>
          <w:lang w:eastAsia="zh-CN"/>
        </w:rPr>
        <w:t>广西建设工程机电设备招标中心有限公司</w:t>
      </w:r>
    </w:p>
    <w:p w14:paraId="0022C391">
      <w:pPr>
        <w:keepNext w:val="0"/>
        <w:keepLines w:val="0"/>
        <w:pageBreakBefore w:val="0"/>
        <w:kinsoku/>
        <w:overflowPunct/>
        <w:topLinePunct w:val="0"/>
        <w:bidi w:val="0"/>
        <w:spacing w:line="400" w:lineRule="exact"/>
        <w:ind w:firstLine="424" w:firstLineChars="202"/>
        <w:textAlignment w:val="auto"/>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地 址：</w:t>
      </w:r>
      <w:r>
        <w:rPr>
          <w:rFonts w:hint="eastAsia" w:ascii="宋体" w:hAnsi="宋体" w:cs="宋体"/>
          <w:color w:val="auto"/>
          <w:szCs w:val="21"/>
          <w:highlight w:val="none"/>
          <w:lang w:eastAsia="zh-CN"/>
        </w:rPr>
        <w:t>广西南宁市青秀区枫林路18号广西国控大厦（枫林路办公区）裙楼三楼</w:t>
      </w:r>
    </w:p>
    <w:p w14:paraId="62F90C43">
      <w:pPr>
        <w:keepNext w:val="0"/>
        <w:keepLines w:val="0"/>
        <w:pageBreakBefore w:val="0"/>
        <w:kinsoku/>
        <w:overflowPunct/>
        <w:topLinePunct w:val="0"/>
        <w:bidi w:val="0"/>
        <w:spacing w:line="400" w:lineRule="exact"/>
        <w:ind w:firstLine="424" w:firstLineChars="202"/>
        <w:textAlignment w:val="auto"/>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rPr>
        <w:t>联系方式：</w:t>
      </w:r>
      <w:r>
        <w:rPr>
          <w:rFonts w:hint="eastAsia" w:ascii="宋体" w:hAnsi="宋体" w:cs="宋体"/>
          <w:color w:val="auto"/>
          <w:szCs w:val="21"/>
          <w:highlight w:val="none"/>
          <w:lang w:eastAsia="zh-CN"/>
        </w:rPr>
        <w:t>0771-</w:t>
      </w:r>
      <w:r>
        <w:rPr>
          <w:rFonts w:hint="eastAsia" w:ascii="宋体" w:hAnsi="宋体" w:cs="宋体"/>
          <w:color w:val="auto"/>
          <w:szCs w:val="21"/>
          <w:highlight w:val="none"/>
          <w:lang w:val="en-US" w:eastAsia="zh-CN"/>
        </w:rPr>
        <w:t>2807659</w:t>
      </w:r>
    </w:p>
    <w:p w14:paraId="3FEB6BB8">
      <w:pPr>
        <w:keepNext w:val="0"/>
        <w:keepLines w:val="0"/>
        <w:pageBreakBefore w:val="0"/>
        <w:kinsoku/>
        <w:overflowPunct/>
        <w:topLinePunct w:val="0"/>
        <w:bidi w:val="0"/>
        <w:spacing w:line="400" w:lineRule="exact"/>
        <w:ind w:firstLine="424" w:firstLineChars="202"/>
        <w:textAlignment w:val="auto"/>
        <w:rPr>
          <w:rFonts w:hint="eastAsia" w:ascii="宋体" w:hAnsi="宋体" w:cs="宋体"/>
          <w:color w:val="auto"/>
          <w:szCs w:val="21"/>
          <w:highlight w:val="none"/>
        </w:rPr>
      </w:pPr>
      <w:r>
        <w:rPr>
          <w:rFonts w:hint="eastAsia" w:ascii="宋体" w:hAnsi="宋体" w:cs="宋体"/>
          <w:color w:val="auto"/>
          <w:szCs w:val="21"/>
          <w:highlight w:val="none"/>
        </w:rPr>
        <w:t>3.项目联系方式</w:t>
      </w:r>
    </w:p>
    <w:p w14:paraId="3E71B93B">
      <w:pPr>
        <w:keepNext w:val="0"/>
        <w:keepLines w:val="0"/>
        <w:pageBreakBefore w:val="0"/>
        <w:kinsoku/>
        <w:overflowPunct/>
        <w:topLinePunct w:val="0"/>
        <w:bidi w:val="0"/>
        <w:spacing w:line="400" w:lineRule="exact"/>
        <w:ind w:firstLine="424" w:firstLineChars="202"/>
        <w:textAlignment w:val="auto"/>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rPr>
        <w:t>项目联系人：</w:t>
      </w:r>
      <w:r>
        <w:rPr>
          <w:rFonts w:hint="eastAsia" w:ascii="宋体" w:hAnsi="宋体" w:cs="宋体"/>
          <w:color w:val="auto"/>
          <w:szCs w:val="21"/>
          <w:highlight w:val="none"/>
          <w:lang w:val="en-US" w:eastAsia="zh-CN"/>
        </w:rPr>
        <w:t>黄天懿、吴兴红、刘风、黄振宁</w:t>
      </w:r>
    </w:p>
    <w:p w14:paraId="211F60F7">
      <w:pPr>
        <w:keepNext w:val="0"/>
        <w:keepLines w:val="0"/>
        <w:pageBreakBefore w:val="0"/>
        <w:kinsoku/>
        <w:overflowPunct/>
        <w:topLinePunct w:val="0"/>
        <w:bidi w:val="0"/>
        <w:spacing w:line="400" w:lineRule="exact"/>
        <w:ind w:firstLine="424" w:firstLineChars="202"/>
        <w:textAlignment w:val="auto"/>
        <w:rPr>
          <w:rFonts w:hint="default" w:ascii="宋体" w:hAnsi="宋体" w:eastAsia="宋体" w:cs="宋体"/>
          <w:color w:val="auto"/>
          <w:szCs w:val="21"/>
          <w:highlight w:val="none"/>
          <w:u w:val="single"/>
          <w:lang w:val="en-US" w:eastAsia="zh-CN"/>
        </w:rPr>
      </w:pPr>
      <w:r>
        <w:rPr>
          <w:rFonts w:hint="eastAsia" w:ascii="宋体" w:hAnsi="宋体" w:cs="宋体"/>
          <w:color w:val="auto"/>
          <w:szCs w:val="21"/>
          <w:highlight w:val="none"/>
        </w:rPr>
        <w:t>电　话：</w:t>
      </w:r>
      <w:r>
        <w:rPr>
          <w:rFonts w:hint="eastAsia" w:ascii="宋体" w:hAnsi="宋体" w:cs="宋体"/>
          <w:color w:val="auto"/>
          <w:szCs w:val="21"/>
          <w:highlight w:val="none"/>
          <w:lang w:eastAsia="zh-CN"/>
        </w:rPr>
        <w:t>0771-</w:t>
      </w:r>
      <w:r>
        <w:rPr>
          <w:rFonts w:hint="eastAsia" w:ascii="宋体" w:hAnsi="宋体" w:cs="宋体"/>
          <w:color w:val="auto"/>
          <w:szCs w:val="21"/>
          <w:highlight w:val="none"/>
          <w:lang w:val="en-US" w:eastAsia="zh-CN"/>
        </w:rPr>
        <w:t>2807659</w:t>
      </w:r>
    </w:p>
    <w:p w14:paraId="29E62B32">
      <w:pPr>
        <w:keepNext w:val="0"/>
        <w:keepLines w:val="0"/>
        <w:pageBreakBefore w:val="0"/>
        <w:kinsoku/>
        <w:overflowPunct/>
        <w:topLinePunct w:val="0"/>
        <w:bidi w:val="0"/>
        <w:spacing w:line="400" w:lineRule="exact"/>
        <w:textAlignment w:val="auto"/>
        <w:rPr>
          <w:rFonts w:hint="eastAsia" w:ascii="宋体" w:hAnsi="宋体" w:cs="宋体"/>
          <w:color w:val="auto"/>
          <w:szCs w:val="21"/>
          <w:highlight w:val="none"/>
        </w:rPr>
      </w:pPr>
    </w:p>
    <w:p w14:paraId="459F2C0C">
      <w:pPr>
        <w:keepNext w:val="0"/>
        <w:keepLines w:val="0"/>
        <w:pageBreakBefore w:val="0"/>
        <w:kinsoku/>
        <w:overflowPunct/>
        <w:topLinePunct w:val="0"/>
        <w:bidi w:val="0"/>
        <w:spacing w:line="400" w:lineRule="exact"/>
        <w:jc w:val="right"/>
        <w:textAlignment w:val="auto"/>
        <w:rPr>
          <w:rFonts w:hint="eastAsia" w:ascii="宋体" w:hAnsi="宋体" w:cs="宋体"/>
          <w:b/>
          <w:bCs/>
          <w:color w:val="auto"/>
          <w:highlight w:val="none"/>
        </w:rPr>
      </w:pPr>
      <w:r>
        <w:rPr>
          <w:rFonts w:hint="eastAsia" w:ascii="宋体" w:hAnsi="宋体" w:cs="宋体"/>
          <w:color w:val="auto"/>
          <w:szCs w:val="21"/>
          <w:highlight w:val="none"/>
        </w:rPr>
        <w:t>采购代理机构：</w:t>
      </w:r>
      <w:r>
        <w:rPr>
          <w:rFonts w:hint="eastAsia" w:ascii="宋体" w:hAnsi="宋体" w:cs="宋体"/>
          <w:color w:val="auto"/>
          <w:szCs w:val="21"/>
          <w:highlight w:val="none"/>
          <w:lang w:eastAsia="zh-CN"/>
        </w:rPr>
        <w:t>广西建设工程机电设备招标中心有限公司</w:t>
      </w:r>
      <w:r>
        <w:rPr>
          <w:rFonts w:hint="eastAsia" w:ascii="宋体" w:hAnsi="宋体" w:cs="宋体"/>
          <w:b/>
          <w:bCs/>
          <w:color w:val="auto"/>
          <w:highlight w:val="none"/>
        </w:rPr>
        <w:t xml:space="preserve"> </w:t>
      </w:r>
    </w:p>
    <w:p w14:paraId="1D5D10AD">
      <w:pPr>
        <w:keepNext w:val="0"/>
        <w:keepLines w:val="0"/>
        <w:pageBreakBefore w:val="0"/>
        <w:kinsoku/>
        <w:overflowPunct/>
        <w:topLinePunct w:val="0"/>
        <w:bidi w:val="0"/>
        <w:spacing w:line="400" w:lineRule="exact"/>
        <w:ind w:firstLine="4095" w:firstLineChars="1950"/>
        <w:jc w:val="right"/>
        <w:textAlignment w:val="auto"/>
        <w:rPr>
          <w:rFonts w:hint="eastAsia" w:ascii="宋体" w:hAnsi="宋体" w:cs="宋体"/>
          <w:b/>
          <w:bCs/>
          <w:color w:val="auto"/>
          <w:highlight w:val="none"/>
        </w:rPr>
      </w:pPr>
      <w:r>
        <w:rPr>
          <w:rFonts w:hint="eastAsia" w:ascii="宋体" w:hAnsi="宋体" w:cs="宋体"/>
          <w:bCs/>
          <w:color w:val="auto"/>
          <w:kern w:val="0"/>
          <w:szCs w:val="21"/>
          <w:highlight w:val="none"/>
        </w:rPr>
        <w:t>202</w:t>
      </w:r>
      <w:r>
        <w:rPr>
          <w:rFonts w:hint="eastAsia" w:ascii="宋体" w:hAnsi="宋体" w:cs="宋体"/>
          <w:bCs/>
          <w:color w:val="auto"/>
          <w:kern w:val="0"/>
          <w:szCs w:val="21"/>
          <w:highlight w:val="none"/>
          <w:lang w:val="en-US" w:eastAsia="zh-CN"/>
        </w:rPr>
        <w:t>6</w:t>
      </w:r>
      <w:r>
        <w:rPr>
          <w:rFonts w:hint="eastAsia" w:ascii="宋体" w:hAnsi="宋体" w:cs="宋体"/>
          <w:bCs/>
          <w:color w:val="auto"/>
          <w:kern w:val="0"/>
          <w:szCs w:val="21"/>
          <w:highlight w:val="none"/>
        </w:rPr>
        <w:t>年</w:t>
      </w:r>
      <w:r>
        <w:rPr>
          <w:rFonts w:hint="eastAsia" w:ascii="宋体" w:hAnsi="宋体" w:cs="宋体"/>
          <w:bCs/>
          <w:color w:val="auto"/>
          <w:kern w:val="0"/>
          <w:szCs w:val="21"/>
          <w:highlight w:val="none"/>
          <w:lang w:val="en-US" w:eastAsia="zh-CN"/>
        </w:rPr>
        <w:t>7</w:t>
      </w:r>
      <w:r>
        <w:rPr>
          <w:rFonts w:hint="eastAsia" w:ascii="宋体" w:hAnsi="宋体" w:cs="宋体"/>
          <w:bCs/>
          <w:color w:val="auto"/>
          <w:kern w:val="0"/>
          <w:szCs w:val="21"/>
          <w:highlight w:val="none"/>
        </w:rPr>
        <w:t>月</w:t>
      </w:r>
      <w:r>
        <w:rPr>
          <w:rFonts w:hint="eastAsia" w:ascii="宋体" w:hAnsi="宋体" w:cs="宋体"/>
          <w:bCs/>
          <w:color w:val="auto"/>
          <w:kern w:val="0"/>
          <w:szCs w:val="21"/>
          <w:highlight w:val="none"/>
          <w:lang w:val="en-US" w:eastAsia="zh-CN"/>
        </w:rPr>
        <w:t>29</w:t>
      </w:r>
      <w:r>
        <w:rPr>
          <w:rFonts w:hint="eastAsia" w:ascii="宋体" w:hAnsi="宋体" w:cs="宋体"/>
          <w:bCs/>
          <w:color w:val="auto"/>
          <w:kern w:val="0"/>
          <w:szCs w:val="21"/>
          <w:highlight w:val="none"/>
        </w:rPr>
        <w:t>日</w:t>
      </w:r>
    </w:p>
    <w:p w14:paraId="383FDB68">
      <w:pPr>
        <w:pStyle w:val="3"/>
        <w:keepNext w:val="0"/>
        <w:keepLines w:val="0"/>
        <w:tabs>
          <w:tab w:val="left" w:pos="0"/>
          <w:tab w:val="left" w:pos="3165"/>
          <w:tab w:val="center" w:pos="4153"/>
        </w:tabs>
        <w:autoSpaceDE w:val="0"/>
        <w:autoSpaceDN w:val="0"/>
        <w:adjustRightInd w:val="0"/>
        <w:spacing w:before="0" w:after="0" w:line="360" w:lineRule="auto"/>
        <w:jc w:val="center"/>
        <w:rPr>
          <w:rFonts w:hint="eastAsia" w:ascii="宋体" w:hAnsi="宋体" w:cs="宋体"/>
          <w:color w:val="auto"/>
          <w:highlight w:val="none"/>
        </w:rPr>
      </w:pPr>
      <w:r>
        <w:rPr>
          <w:rFonts w:hint="eastAsia" w:ascii="宋体" w:hAnsi="宋体" w:cs="宋体"/>
          <w:color w:val="auto"/>
          <w:sz w:val="24"/>
          <w:szCs w:val="20"/>
          <w:highlight w:val="none"/>
        </w:rPr>
        <w:br w:type="page"/>
      </w:r>
      <w:bookmarkStart w:id="48" w:name="_Toc29892"/>
      <w:bookmarkStart w:id="49" w:name="_Toc12941"/>
      <w:bookmarkStart w:id="50" w:name="_Toc28054"/>
      <w:r>
        <w:rPr>
          <w:rFonts w:hint="eastAsia" w:ascii="宋体" w:hAnsi="宋体" w:cs="宋体"/>
          <w:color w:val="auto"/>
          <w:highlight w:val="none"/>
        </w:rPr>
        <w:t>第二章  采购需求</w:t>
      </w:r>
      <w:bookmarkEnd w:id="48"/>
      <w:bookmarkEnd w:id="49"/>
      <w:bookmarkEnd w:id="50"/>
    </w:p>
    <w:p w14:paraId="01BAD59F">
      <w:pPr>
        <w:keepNext w:val="0"/>
        <w:keepLines w:val="0"/>
        <w:pageBreakBefore w:val="0"/>
        <w:widowControl w:val="0"/>
        <w:kinsoku/>
        <w:wordWrap/>
        <w:overflowPunct/>
        <w:topLinePunct w:val="0"/>
        <w:autoSpaceDE/>
        <w:autoSpaceDN/>
        <w:bidi w:val="0"/>
        <w:adjustRightInd/>
        <w:snapToGrid/>
        <w:spacing w:line="400" w:lineRule="exact"/>
        <w:ind w:firstLine="422" w:firstLineChars="200"/>
        <w:textAlignment w:val="auto"/>
        <w:rPr>
          <w:rFonts w:hint="eastAsia" w:ascii="宋体" w:hAnsi="宋体" w:cs="宋体"/>
          <w:b/>
          <w:color w:val="auto"/>
          <w:szCs w:val="21"/>
          <w:highlight w:val="none"/>
        </w:rPr>
      </w:pPr>
      <w:r>
        <w:rPr>
          <w:rFonts w:hint="eastAsia" w:ascii="宋体" w:hAnsi="宋体" w:cs="宋体"/>
          <w:b/>
          <w:color w:val="auto"/>
          <w:szCs w:val="21"/>
          <w:highlight w:val="none"/>
        </w:rPr>
        <w:t>一、说明：</w:t>
      </w:r>
    </w:p>
    <w:p w14:paraId="3F051409">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1.为落实政府采购政策需满足的要求</w:t>
      </w:r>
    </w:p>
    <w:p w14:paraId="6EBEBD11">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本招标文件所称中小企业必须符合《政府采购促进中小企业发展管理办法》（财库〔2020〕46号）的规定。</w:t>
      </w:r>
    </w:p>
    <w:p w14:paraId="18A20EA4">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2.“实质性要求”是指招标文件中已经指明不满足则投标无效的条款，或者不能负偏离的条款，或者采购需求中带“▲”的条款。</w:t>
      </w:r>
    </w:p>
    <w:p w14:paraId="3651CD29">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3.投标人必须自行为其投标产品侵犯他人的知识产权或者专利成果的行为承担相应法律责任。</w:t>
      </w:r>
    </w:p>
    <w:p w14:paraId="5534B392">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4</w:t>
      </w:r>
      <w:r>
        <w:rPr>
          <w:rFonts w:hint="eastAsia" w:ascii="宋体" w:hAnsi="宋体" w:eastAsia="宋体" w:cs="宋体"/>
          <w:color w:val="auto"/>
          <w:szCs w:val="21"/>
          <w:highlight w:val="none"/>
        </w:rPr>
        <w:t>.采购需求要求未尽事宜由采购人与中标供应商在采购合同中约定。</w:t>
      </w:r>
    </w:p>
    <w:p w14:paraId="2D9C0899">
      <w:pPr>
        <w:keepNext w:val="0"/>
        <w:keepLines w:val="0"/>
        <w:pageBreakBefore w:val="0"/>
        <w:widowControl w:val="0"/>
        <w:kinsoku/>
        <w:wordWrap/>
        <w:overflowPunct/>
        <w:topLinePunct w:val="0"/>
        <w:autoSpaceDE/>
        <w:autoSpaceDN/>
        <w:bidi w:val="0"/>
        <w:adjustRightInd/>
        <w:snapToGrid/>
        <w:spacing w:line="400" w:lineRule="exact"/>
        <w:ind w:firstLine="422" w:firstLineChars="200"/>
        <w:textAlignment w:val="auto"/>
        <w:rPr>
          <w:rFonts w:hint="eastAsia" w:ascii="宋体" w:hAnsi="宋体" w:eastAsia="宋体" w:cs="宋体"/>
          <w:b/>
          <w:bCs/>
          <w:color w:val="auto"/>
          <w:szCs w:val="21"/>
          <w:highlight w:val="none"/>
        </w:rPr>
      </w:pPr>
      <w:r>
        <w:rPr>
          <w:rFonts w:hint="eastAsia" w:ascii="宋体" w:hAnsi="宋体" w:cs="宋体"/>
          <w:b/>
          <w:bCs/>
          <w:color w:val="auto"/>
          <w:szCs w:val="21"/>
          <w:highlight w:val="none"/>
          <w:lang w:val="en-US" w:eastAsia="zh-CN"/>
        </w:rPr>
        <w:t>5</w:t>
      </w:r>
      <w:r>
        <w:rPr>
          <w:rFonts w:hint="eastAsia" w:ascii="宋体" w:hAnsi="宋体" w:eastAsia="宋体" w:cs="宋体"/>
          <w:b/>
          <w:bCs/>
          <w:color w:val="auto"/>
          <w:szCs w:val="21"/>
          <w:highlight w:val="none"/>
          <w:lang w:val="en-US" w:eastAsia="zh-CN"/>
        </w:rPr>
        <w:t>.</w:t>
      </w:r>
      <w:r>
        <w:rPr>
          <w:rFonts w:hint="eastAsia" w:ascii="宋体" w:hAnsi="宋体" w:cs="宋体"/>
          <w:b/>
          <w:bCs w:val="0"/>
          <w:color w:val="auto"/>
          <w:kern w:val="0"/>
          <w:szCs w:val="21"/>
          <w:highlight w:val="none"/>
          <w:lang w:val="en-US" w:eastAsia="zh-CN"/>
        </w:rPr>
        <w:t>投标人的报价出现《财政部关于推动解决政府采购异常低价问题的通知》（财库〔2026〕2号）规定的异常低价情形（具体详见招标文件第四章评标方法及评标标准二、评标程序6.异常低价审查），有可能影响服务质量或者不能诚信履约的，其应当在评标现场合理时间内（不少于30分钟）对报价作出解释，提供项目具体成本测算等与报价合理性相关的书面说明及必要证明材料；投标人不能提供相关说明、证明材料，或提供的材料无法证明其报价合理性的，评标委员会将其作为无效投标处理。</w:t>
      </w:r>
      <w:r>
        <w:rPr>
          <w:rFonts w:hint="eastAsia" w:ascii="宋体" w:hAnsi="宋体" w:eastAsia="宋体" w:cs="宋体"/>
          <w:b/>
          <w:bCs/>
          <w:color w:val="auto"/>
          <w:szCs w:val="21"/>
          <w:highlight w:val="none"/>
          <w:lang w:val="en-US" w:eastAsia="zh-CN"/>
        </w:rPr>
        <w:t xml:space="preserve"> </w:t>
      </w:r>
    </w:p>
    <w:p w14:paraId="58F4C26A">
      <w:pPr>
        <w:pStyle w:val="15"/>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color w:val="auto"/>
          <w:highlight w:val="none"/>
        </w:rPr>
      </w:pPr>
    </w:p>
    <w:p w14:paraId="49BBBF0A">
      <w:pPr>
        <w:keepNext w:val="0"/>
        <w:keepLines w:val="0"/>
        <w:pageBreakBefore w:val="0"/>
        <w:widowControl w:val="0"/>
        <w:tabs>
          <w:tab w:val="left" w:pos="180"/>
          <w:tab w:val="left" w:pos="1620"/>
        </w:tabs>
        <w:kinsoku/>
        <w:wordWrap/>
        <w:overflowPunct/>
        <w:topLinePunct w:val="0"/>
        <w:autoSpaceDE/>
        <w:autoSpaceDN/>
        <w:bidi w:val="0"/>
        <w:adjustRightInd/>
        <w:snapToGrid/>
        <w:spacing w:line="400" w:lineRule="exact"/>
        <w:ind w:firstLine="422" w:firstLineChars="200"/>
        <w:textAlignment w:val="auto"/>
        <w:rPr>
          <w:rFonts w:hint="eastAsia" w:ascii="宋体" w:hAnsi="宋体" w:cs="宋体"/>
          <w:b/>
          <w:color w:val="auto"/>
          <w:sz w:val="24"/>
          <w:highlight w:val="none"/>
        </w:rPr>
      </w:pPr>
      <w:r>
        <w:rPr>
          <w:rFonts w:hint="eastAsia" w:ascii="宋体" w:hAnsi="宋体" w:cs="宋体"/>
          <w:b/>
          <w:color w:val="auto"/>
          <w:szCs w:val="21"/>
          <w:highlight w:val="none"/>
        </w:rPr>
        <w:t>二、技术及商务要求：</w:t>
      </w:r>
    </w:p>
    <w:tbl>
      <w:tblPr>
        <w:tblStyle w:val="39"/>
        <w:tblW w:w="9771"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576"/>
        <w:gridCol w:w="983"/>
        <w:gridCol w:w="577"/>
        <w:gridCol w:w="605"/>
        <w:gridCol w:w="5893"/>
        <w:gridCol w:w="1137"/>
      </w:tblGrid>
      <w:tr w14:paraId="3DD79AC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6" w:hRule="atLeast"/>
          <w:jc w:val="center"/>
        </w:trPr>
        <w:tc>
          <w:tcPr>
            <w:tcW w:w="9771" w:type="dxa"/>
            <w:gridSpan w:val="6"/>
            <w:tcBorders>
              <w:top w:val="single" w:color="auto" w:sz="4" w:space="0"/>
              <w:left w:val="single" w:color="auto" w:sz="4" w:space="0"/>
              <w:right w:val="single" w:color="auto" w:sz="4" w:space="0"/>
            </w:tcBorders>
            <w:noWrap w:val="0"/>
            <w:vAlign w:val="center"/>
          </w:tcPr>
          <w:p w14:paraId="1A87C44A">
            <w:pPr>
              <w:keepNext w:val="0"/>
              <w:keepLines w:val="0"/>
              <w:suppressLineNumbers w:val="0"/>
              <w:spacing w:before="0" w:beforeAutospacing="0" w:after="0" w:afterAutospacing="0" w:line="360" w:lineRule="exact"/>
              <w:ind w:left="0" w:right="0"/>
              <w:jc w:val="center"/>
              <w:rPr>
                <w:rFonts w:hint="eastAsia" w:ascii="宋体" w:hAnsi="宋体" w:cs="宋体"/>
                <w:b/>
                <w:color w:val="auto"/>
                <w:szCs w:val="21"/>
                <w:highlight w:val="none"/>
              </w:rPr>
            </w:pPr>
            <w:r>
              <w:rPr>
                <w:rFonts w:hint="eastAsia" w:ascii="宋体" w:hAnsi="宋体" w:cs="宋体"/>
                <w:b/>
                <w:color w:val="auto"/>
                <w:szCs w:val="21"/>
                <w:highlight w:val="none"/>
              </w:rPr>
              <w:t>服务需求一览表</w:t>
            </w:r>
          </w:p>
        </w:tc>
      </w:tr>
      <w:tr w14:paraId="1B3744D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6" w:hRule="atLeast"/>
          <w:jc w:val="center"/>
        </w:trPr>
        <w:tc>
          <w:tcPr>
            <w:tcW w:w="1753" w:type="dxa"/>
            <w:gridSpan w:val="2"/>
            <w:tcBorders>
              <w:top w:val="single" w:color="auto" w:sz="4" w:space="0"/>
              <w:left w:val="single" w:color="auto" w:sz="4" w:space="0"/>
              <w:right w:val="single" w:color="auto" w:sz="4" w:space="0"/>
            </w:tcBorders>
            <w:noWrap w:val="0"/>
            <w:vAlign w:val="center"/>
          </w:tcPr>
          <w:p w14:paraId="784BB389">
            <w:pPr>
              <w:keepNext w:val="0"/>
              <w:keepLines w:val="0"/>
              <w:suppressLineNumbers w:val="0"/>
              <w:spacing w:before="0" w:beforeAutospacing="0" w:after="0" w:afterAutospacing="0" w:line="360" w:lineRule="exact"/>
              <w:ind w:left="0" w:right="0"/>
              <w:jc w:val="center"/>
              <w:rPr>
                <w:rFonts w:hint="default" w:ascii="宋体" w:hAnsi="宋体" w:cs="Arial"/>
                <w:color w:val="auto"/>
                <w:szCs w:val="21"/>
                <w:highlight w:val="none"/>
              </w:rPr>
            </w:pPr>
            <w:r>
              <w:rPr>
                <w:rFonts w:hint="eastAsia" w:ascii="宋体" w:hAnsi="宋体" w:cs="Arial"/>
                <w:color w:val="auto"/>
                <w:szCs w:val="21"/>
                <w:highlight w:val="none"/>
              </w:rPr>
              <w:t>标段</w:t>
            </w:r>
          </w:p>
        </w:tc>
        <w:tc>
          <w:tcPr>
            <w:tcW w:w="8018" w:type="dxa"/>
            <w:gridSpan w:val="4"/>
            <w:tcBorders>
              <w:top w:val="single" w:color="auto" w:sz="4" w:space="0"/>
              <w:left w:val="single" w:color="auto" w:sz="4" w:space="0"/>
              <w:right w:val="single" w:color="auto" w:sz="4" w:space="0"/>
            </w:tcBorders>
            <w:noWrap w:val="0"/>
            <w:vAlign w:val="center"/>
          </w:tcPr>
          <w:p w14:paraId="608A49E0">
            <w:pPr>
              <w:keepNext w:val="0"/>
              <w:keepLines w:val="0"/>
              <w:suppressLineNumbers w:val="0"/>
              <w:spacing w:before="0" w:beforeAutospacing="0" w:after="0" w:afterAutospacing="0" w:line="360" w:lineRule="exact"/>
              <w:ind w:left="0" w:right="0"/>
              <w:jc w:val="left"/>
              <w:rPr>
                <w:rFonts w:hint="eastAsia" w:ascii="宋体" w:hAnsi="宋体" w:eastAsia="宋体"/>
                <w:color w:val="auto"/>
                <w:szCs w:val="21"/>
                <w:highlight w:val="none"/>
                <w:lang w:val="en-US" w:eastAsia="zh-CN"/>
              </w:rPr>
            </w:pPr>
            <w:r>
              <w:rPr>
                <w:rFonts w:hint="eastAsia" w:ascii="宋体" w:hAnsi="宋体"/>
                <w:color w:val="auto"/>
                <w:szCs w:val="21"/>
                <w:highlight w:val="none"/>
                <w:lang w:val="en-US" w:eastAsia="zh-CN"/>
              </w:rPr>
              <w:t>/</w:t>
            </w:r>
          </w:p>
        </w:tc>
      </w:tr>
      <w:tr w14:paraId="1E8109E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6" w:hRule="atLeast"/>
          <w:jc w:val="center"/>
        </w:trPr>
        <w:tc>
          <w:tcPr>
            <w:tcW w:w="635" w:type="dxa"/>
            <w:tcBorders>
              <w:top w:val="single" w:color="auto" w:sz="4" w:space="0"/>
              <w:left w:val="single" w:color="auto" w:sz="4" w:space="0"/>
              <w:right w:val="single" w:color="auto" w:sz="4" w:space="0"/>
            </w:tcBorders>
            <w:noWrap w:val="0"/>
            <w:vAlign w:val="center"/>
          </w:tcPr>
          <w:p w14:paraId="14FAFC26">
            <w:pPr>
              <w:keepNext w:val="0"/>
              <w:keepLines w:val="0"/>
              <w:suppressLineNumbers w:val="0"/>
              <w:spacing w:before="0" w:beforeAutospacing="0" w:after="0" w:afterAutospacing="0" w:line="360" w:lineRule="exact"/>
              <w:ind w:left="0" w:right="0"/>
              <w:jc w:val="center"/>
              <w:rPr>
                <w:rFonts w:hint="eastAsia" w:ascii="宋体" w:hAnsi="宋体" w:cs="Arial"/>
                <w:color w:val="auto"/>
                <w:szCs w:val="21"/>
                <w:highlight w:val="none"/>
              </w:rPr>
            </w:pPr>
            <w:r>
              <w:rPr>
                <w:rFonts w:hint="eastAsia" w:ascii="宋体" w:hAnsi="宋体" w:cs="宋体"/>
                <w:color w:val="auto"/>
                <w:szCs w:val="21"/>
                <w:highlight w:val="none"/>
              </w:rPr>
              <w:t>序号</w:t>
            </w:r>
          </w:p>
        </w:tc>
        <w:tc>
          <w:tcPr>
            <w:tcW w:w="1118" w:type="dxa"/>
            <w:tcBorders>
              <w:top w:val="single" w:color="auto" w:sz="4" w:space="0"/>
              <w:left w:val="single" w:color="auto" w:sz="4" w:space="0"/>
              <w:right w:val="single" w:color="auto" w:sz="4" w:space="0"/>
            </w:tcBorders>
            <w:noWrap w:val="0"/>
            <w:vAlign w:val="center"/>
          </w:tcPr>
          <w:p w14:paraId="78D30B4F">
            <w:pPr>
              <w:keepNext w:val="0"/>
              <w:keepLines w:val="0"/>
              <w:suppressLineNumbers w:val="0"/>
              <w:spacing w:before="0" w:beforeAutospacing="0" w:after="0" w:afterAutospacing="0" w:line="360" w:lineRule="exact"/>
              <w:ind w:left="0" w:right="0"/>
              <w:jc w:val="center"/>
              <w:rPr>
                <w:rFonts w:hint="eastAsia" w:ascii="宋体" w:hAnsi="宋体" w:cs="Arial"/>
                <w:color w:val="auto"/>
                <w:szCs w:val="21"/>
                <w:highlight w:val="none"/>
              </w:rPr>
            </w:pPr>
            <w:r>
              <w:rPr>
                <w:rFonts w:hint="eastAsia" w:ascii="宋体" w:hAnsi="宋体" w:cs="宋体"/>
                <w:color w:val="auto"/>
                <w:szCs w:val="21"/>
                <w:highlight w:val="none"/>
              </w:rPr>
              <w:t>标的名称</w:t>
            </w:r>
          </w:p>
        </w:tc>
        <w:tc>
          <w:tcPr>
            <w:tcW w:w="636" w:type="dxa"/>
            <w:tcBorders>
              <w:top w:val="single" w:color="auto" w:sz="4" w:space="0"/>
              <w:left w:val="single" w:color="auto" w:sz="4" w:space="0"/>
              <w:right w:val="single" w:color="auto" w:sz="4" w:space="0"/>
            </w:tcBorders>
            <w:noWrap w:val="0"/>
            <w:vAlign w:val="center"/>
          </w:tcPr>
          <w:p w14:paraId="1E2BB720">
            <w:pPr>
              <w:keepNext w:val="0"/>
              <w:keepLines w:val="0"/>
              <w:suppressLineNumbers w:val="0"/>
              <w:spacing w:before="0" w:beforeAutospacing="0" w:after="0" w:afterAutospacing="0" w:line="360" w:lineRule="exact"/>
              <w:ind w:left="0" w:right="0"/>
              <w:jc w:val="center"/>
              <w:rPr>
                <w:rFonts w:hint="eastAsia" w:ascii="宋体" w:hAnsi="宋体"/>
                <w:color w:val="auto"/>
                <w:szCs w:val="21"/>
                <w:highlight w:val="none"/>
              </w:rPr>
            </w:pPr>
            <w:r>
              <w:rPr>
                <w:rFonts w:hint="eastAsia" w:ascii="宋体" w:hAnsi="宋体" w:cs="宋体"/>
                <w:color w:val="auto"/>
                <w:szCs w:val="21"/>
                <w:highlight w:val="none"/>
              </w:rPr>
              <w:t>单位</w:t>
            </w:r>
          </w:p>
        </w:tc>
        <w:tc>
          <w:tcPr>
            <w:tcW w:w="675" w:type="dxa"/>
            <w:tcBorders>
              <w:top w:val="single" w:color="auto" w:sz="4" w:space="0"/>
              <w:left w:val="single" w:color="auto" w:sz="4" w:space="0"/>
              <w:right w:val="single" w:color="auto" w:sz="4" w:space="0"/>
            </w:tcBorders>
            <w:noWrap w:val="0"/>
            <w:vAlign w:val="center"/>
          </w:tcPr>
          <w:p w14:paraId="310A3643">
            <w:pPr>
              <w:keepNext w:val="0"/>
              <w:keepLines w:val="0"/>
              <w:suppressLineNumbers w:val="0"/>
              <w:spacing w:before="0" w:beforeAutospacing="0" w:after="0" w:afterAutospacing="0" w:line="360" w:lineRule="exact"/>
              <w:ind w:left="0" w:right="0"/>
              <w:jc w:val="center"/>
              <w:rPr>
                <w:rFonts w:hint="eastAsia" w:ascii="宋体" w:hAnsi="宋体"/>
                <w:color w:val="auto"/>
                <w:szCs w:val="21"/>
                <w:highlight w:val="none"/>
              </w:rPr>
            </w:pPr>
            <w:r>
              <w:rPr>
                <w:rFonts w:hint="eastAsia" w:ascii="宋体" w:hAnsi="宋体" w:cs="宋体"/>
                <w:color w:val="auto"/>
                <w:szCs w:val="21"/>
                <w:highlight w:val="none"/>
              </w:rPr>
              <w:t>数量</w:t>
            </w:r>
          </w:p>
        </w:tc>
        <w:tc>
          <w:tcPr>
            <w:tcW w:w="5293" w:type="dxa"/>
            <w:tcBorders>
              <w:top w:val="single" w:color="auto" w:sz="4" w:space="0"/>
              <w:left w:val="single" w:color="auto" w:sz="4" w:space="0"/>
              <w:right w:val="single" w:color="auto" w:sz="4" w:space="0"/>
            </w:tcBorders>
            <w:noWrap w:val="0"/>
            <w:vAlign w:val="center"/>
          </w:tcPr>
          <w:p w14:paraId="5D02190F">
            <w:pPr>
              <w:keepNext w:val="0"/>
              <w:keepLines w:val="0"/>
              <w:suppressLineNumbers w:val="0"/>
              <w:spacing w:before="0" w:beforeAutospacing="0" w:after="0" w:afterAutospacing="0" w:line="360" w:lineRule="exact"/>
              <w:ind w:left="0" w:right="0"/>
              <w:jc w:val="center"/>
              <w:rPr>
                <w:rFonts w:hint="eastAsia" w:ascii="宋体" w:hAnsi="宋体"/>
                <w:color w:val="auto"/>
                <w:szCs w:val="21"/>
                <w:highlight w:val="none"/>
              </w:rPr>
            </w:pPr>
            <w:r>
              <w:rPr>
                <w:rFonts w:hint="eastAsia" w:ascii="宋体" w:hAnsi="宋体" w:cs="宋体"/>
                <w:color w:val="auto"/>
                <w:szCs w:val="21"/>
                <w:highlight w:val="none"/>
              </w:rPr>
              <w:t>服务参数</w:t>
            </w:r>
          </w:p>
        </w:tc>
        <w:tc>
          <w:tcPr>
            <w:tcW w:w="1408" w:type="dxa"/>
            <w:tcBorders>
              <w:top w:val="single" w:color="auto" w:sz="4" w:space="0"/>
              <w:left w:val="single" w:color="auto" w:sz="4" w:space="0"/>
              <w:right w:val="single" w:color="auto" w:sz="4" w:space="0"/>
            </w:tcBorders>
            <w:noWrap w:val="0"/>
            <w:vAlign w:val="center"/>
          </w:tcPr>
          <w:p w14:paraId="7DB12CA2">
            <w:pPr>
              <w:keepNext w:val="0"/>
              <w:keepLines w:val="0"/>
              <w:suppressLineNumbers w:val="0"/>
              <w:spacing w:before="0" w:beforeAutospacing="0" w:after="0" w:afterAutospacing="0" w:line="360" w:lineRule="exact"/>
              <w:ind w:left="0" w:right="0"/>
              <w:jc w:val="center"/>
              <w:rPr>
                <w:rFonts w:hint="eastAsia" w:ascii="宋体" w:hAnsi="宋体"/>
                <w:color w:val="auto"/>
                <w:szCs w:val="21"/>
                <w:highlight w:val="none"/>
              </w:rPr>
            </w:pPr>
            <w:r>
              <w:rPr>
                <w:rFonts w:hint="eastAsia" w:ascii="宋体" w:hAnsi="宋体"/>
                <w:color w:val="auto"/>
                <w:szCs w:val="21"/>
                <w:highlight w:val="none"/>
              </w:rPr>
              <w:t>采购标的对应的中小企业划准所属行业</w:t>
            </w:r>
          </w:p>
        </w:tc>
      </w:tr>
      <w:tr w14:paraId="17BE71A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6" w:hRule="atLeast"/>
          <w:jc w:val="center"/>
        </w:trPr>
        <w:tc>
          <w:tcPr>
            <w:tcW w:w="635" w:type="dxa"/>
            <w:tcBorders>
              <w:top w:val="single" w:color="auto" w:sz="4" w:space="0"/>
              <w:left w:val="single" w:color="auto" w:sz="4" w:space="0"/>
              <w:right w:val="single" w:color="auto" w:sz="4" w:space="0"/>
            </w:tcBorders>
            <w:noWrap w:val="0"/>
            <w:vAlign w:val="center"/>
          </w:tcPr>
          <w:p w14:paraId="2CAAC0C2">
            <w:pPr>
              <w:keepNext w:val="0"/>
              <w:keepLines w:val="0"/>
              <w:suppressLineNumbers w:val="0"/>
              <w:spacing w:before="0" w:beforeAutospacing="0" w:after="0" w:afterAutospacing="0" w:line="360" w:lineRule="exact"/>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1</w:t>
            </w:r>
          </w:p>
        </w:tc>
        <w:tc>
          <w:tcPr>
            <w:tcW w:w="1118" w:type="dxa"/>
            <w:tcBorders>
              <w:top w:val="single" w:color="auto" w:sz="4" w:space="0"/>
              <w:left w:val="single" w:color="auto" w:sz="4" w:space="0"/>
              <w:right w:val="single" w:color="auto" w:sz="4" w:space="0"/>
            </w:tcBorders>
            <w:noWrap w:val="0"/>
            <w:vAlign w:val="center"/>
          </w:tcPr>
          <w:p w14:paraId="5F485C49">
            <w:pPr>
              <w:keepNext w:val="0"/>
              <w:keepLines w:val="0"/>
              <w:suppressLineNumbers w:val="0"/>
              <w:spacing w:before="0" w:beforeAutospacing="0" w:after="0" w:afterAutospacing="0" w:line="360" w:lineRule="exact"/>
              <w:ind w:left="0" w:right="0"/>
              <w:jc w:val="center"/>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eastAsia="zh-CN"/>
              </w:rPr>
              <w:t xml:space="preserve">广西壮族自治区2026年度计划生育特殊家庭综合保险项目 </w:t>
            </w:r>
          </w:p>
        </w:tc>
        <w:tc>
          <w:tcPr>
            <w:tcW w:w="636" w:type="dxa"/>
            <w:tcBorders>
              <w:top w:val="single" w:color="auto" w:sz="4" w:space="0"/>
              <w:left w:val="single" w:color="auto" w:sz="4" w:space="0"/>
              <w:right w:val="single" w:color="auto" w:sz="4" w:space="0"/>
            </w:tcBorders>
            <w:noWrap w:val="0"/>
            <w:vAlign w:val="center"/>
          </w:tcPr>
          <w:p w14:paraId="6ADD9F77">
            <w:pPr>
              <w:keepNext w:val="0"/>
              <w:keepLines w:val="0"/>
              <w:suppressLineNumbers w:val="0"/>
              <w:spacing w:before="0" w:beforeAutospacing="0" w:after="0" w:afterAutospacing="0" w:line="360" w:lineRule="exact"/>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1</w:t>
            </w:r>
          </w:p>
        </w:tc>
        <w:tc>
          <w:tcPr>
            <w:tcW w:w="675" w:type="dxa"/>
            <w:tcBorders>
              <w:top w:val="single" w:color="auto" w:sz="4" w:space="0"/>
              <w:left w:val="single" w:color="auto" w:sz="4" w:space="0"/>
              <w:right w:val="single" w:color="auto" w:sz="4" w:space="0"/>
            </w:tcBorders>
            <w:noWrap w:val="0"/>
            <w:vAlign w:val="center"/>
          </w:tcPr>
          <w:p w14:paraId="0D29692F">
            <w:pPr>
              <w:keepNext w:val="0"/>
              <w:keepLines w:val="0"/>
              <w:suppressLineNumbers w:val="0"/>
              <w:spacing w:before="0" w:beforeAutospacing="0" w:after="0" w:afterAutospacing="0" w:line="360" w:lineRule="exact"/>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项</w:t>
            </w:r>
          </w:p>
        </w:tc>
        <w:tc>
          <w:tcPr>
            <w:tcW w:w="5293" w:type="dxa"/>
            <w:tcBorders>
              <w:top w:val="single" w:color="auto" w:sz="4" w:space="0"/>
              <w:left w:val="single" w:color="auto" w:sz="4" w:space="0"/>
              <w:right w:val="single" w:color="auto" w:sz="4" w:space="0"/>
            </w:tcBorders>
            <w:noWrap w:val="0"/>
            <w:vAlign w:val="top"/>
          </w:tcPr>
          <w:p w14:paraId="5E7DAF1C">
            <w:pPr>
              <w:keepNext w:val="0"/>
              <w:keepLines w:val="0"/>
              <w:suppressLineNumbers w:val="0"/>
              <w:spacing w:before="0" w:beforeAutospacing="0" w:after="0" w:afterAutospacing="0" w:line="360" w:lineRule="exact"/>
              <w:ind w:left="0" w:right="0"/>
              <w:jc w:val="left"/>
              <w:rPr>
                <w:rFonts w:hint="eastAsia" w:ascii="宋体" w:hAnsi="宋体" w:cs="宋体"/>
                <w:color w:val="auto"/>
                <w:szCs w:val="21"/>
                <w:highlight w:val="none"/>
              </w:rPr>
            </w:pPr>
            <w:r>
              <w:rPr>
                <w:rFonts w:hint="eastAsia" w:ascii="宋体" w:hAnsi="宋体" w:cs="宋体"/>
                <w:b/>
                <w:bCs/>
                <w:color w:val="auto"/>
                <w:szCs w:val="21"/>
                <w:highlight w:val="none"/>
              </w:rPr>
              <w:t>一</w:t>
            </w:r>
            <w:r>
              <w:rPr>
                <w:rFonts w:hint="eastAsia" w:ascii="宋体" w:hAnsi="宋体" w:cs="宋体"/>
                <w:b/>
                <w:bCs/>
                <w:color w:val="auto"/>
                <w:szCs w:val="21"/>
                <w:highlight w:val="none"/>
                <w:lang w:eastAsia="zh-CN"/>
              </w:rPr>
              <w:t>、</w:t>
            </w:r>
            <w:r>
              <w:rPr>
                <w:rFonts w:hint="eastAsia" w:ascii="宋体" w:hAnsi="宋体" w:cs="宋体"/>
                <w:b/>
                <w:bCs/>
                <w:color w:val="auto"/>
                <w:szCs w:val="21"/>
                <w:highlight w:val="none"/>
              </w:rPr>
              <w:t>项目概况</w:t>
            </w:r>
          </w:p>
          <w:p w14:paraId="724A7CEE">
            <w:pPr>
              <w:keepNext w:val="0"/>
              <w:keepLines w:val="0"/>
              <w:suppressLineNumbers w:val="0"/>
              <w:spacing w:before="0" w:beforeAutospacing="0" w:after="0" w:afterAutospacing="0" w:line="360" w:lineRule="exact"/>
              <w:ind w:left="0" w:right="0" w:firstLine="420" w:firstLineChars="200"/>
              <w:rPr>
                <w:rFonts w:hint="eastAsia" w:ascii="宋体" w:hAnsi="宋体" w:eastAsia="宋体" w:cs="宋体"/>
                <w:color w:val="auto"/>
                <w:sz w:val="21"/>
                <w:szCs w:val="21"/>
                <w:highlight w:val="none"/>
                <w:u w:val="none"/>
                <w:lang w:val="en-US" w:eastAsia="zh-CN"/>
              </w:rPr>
            </w:pPr>
            <w:r>
              <w:rPr>
                <w:rFonts w:hint="eastAsia" w:ascii="宋体" w:hAnsi="宋体" w:eastAsia="宋体" w:cs="宋体"/>
                <w:color w:val="auto"/>
                <w:sz w:val="21"/>
                <w:szCs w:val="21"/>
                <w:highlight w:val="none"/>
                <w:u w:val="none"/>
                <w:lang w:val="en-US" w:eastAsia="zh-CN"/>
              </w:rPr>
              <w:t>为构建失独家庭、独生子女伤残家庭全面保障体系，促进社会和谐稳定,广西壮族自治区计划生育协会从2017年9月起连续9年每年为全区符合条件的计划生育特殊家庭购买计划生育特殊家庭综合保险。</w:t>
            </w:r>
          </w:p>
          <w:p w14:paraId="3E0CDDA8">
            <w:pPr>
              <w:keepNext w:val="0"/>
              <w:keepLines w:val="0"/>
              <w:suppressLineNumbers w:val="0"/>
              <w:spacing w:before="0" w:beforeAutospacing="0" w:after="0" w:afterAutospacing="0" w:line="360" w:lineRule="exact"/>
              <w:ind w:left="0" w:right="0" w:firstLine="422" w:firstLineChars="200"/>
              <w:jc w:val="left"/>
              <w:rPr>
                <w:rFonts w:hint="eastAsia" w:ascii="宋体" w:hAnsi="宋体" w:cs="宋体"/>
                <w:b/>
                <w:bCs/>
                <w:color w:val="auto"/>
                <w:szCs w:val="21"/>
                <w:highlight w:val="none"/>
              </w:rPr>
            </w:pPr>
            <w:r>
              <w:rPr>
                <w:rFonts w:hint="eastAsia" w:ascii="宋体" w:hAnsi="宋体" w:cs="宋体"/>
                <w:b/>
                <w:bCs/>
                <w:color w:val="auto"/>
                <w:szCs w:val="21"/>
                <w:highlight w:val="none"/>
              </w:rPr>
              <w:t>项目覆盖的设区市、县（市、区）如下：</w:t>
            </w:r>
          </w:p>
          <w:p w14:paraId="5C2F43DA">
            <w:pPr>
              <w:keepNext w:val="0"/>
              <w:keepLines w:val="0"/>
              <w:suppressLineNumbers w:val="0"/>
              <w:spacing w:before="0" w:beforeAutospacing="0" w:after="0" w:afterAutospacing="0" w:line="360" w:lineRule="exact"/>
              <w:ind w:left="0" w:right="0" w:firstLine="420" w:firstLineChars="200"/>
              <w:jc w:val="left"/>
              <w:rPr>
                <w:rFonts w:hint="eastAsia" w:ascii="宋体" w:hAnsi="宋体" w:cs="宋体"/>
                <w:b w:val="0"/>
                <w:bCs w:val="0"/>
                <w:color w:val="auto"/>
                <w:szCs w:val="21"/>
                <w:highlight w:val="none"/>
              </w:rPr>
            </w:pPr>
            <w:r>
              <w:rPr>
                <w:rFonts w:hint="eastAsia" w:ascii="宋体" w:hAnsi="宋体" w:cs="宋体"/>
                <w:b w:val="0"/>
                <w:bCs w:val="0"/>
                <w:color w:val="auto"/>
                <w:szCs w:val="21"/>
                <w:highlight w:val="none"/>
              </w:rPr>
              <w:t>广西壮族自治区设区市是指南宁市、柳州市、桂林市、梧州市、北海市、防城港市、钦州市、贵港市、玉林市、百色市、河池市、贺州市、来宾市、崇左市14个。</w:t>
            </w:r>
          </w:p>
          <w:p w14:paraId="38E0F531">
            <w:pPr>
              <w:keepNext w:val="0"/>
              <w:keepLines w:val="0"/>
              <w:suppressLineNumbers w:val="0"/>
              <w:spacing w:before="0" w:beforeAutospacing="0" w:after="0" w:afterAutospacing="0" w:line="360" w:lineRule="exact"/>
              <w:ind w:left="0" w:right="0"/>
              <w:jc w:val="left"/>
              <w:rPr>
                <w:rFonts w:hint="eastAsia" w:ascii="宋体" w:hAnsi="宋体" w:cs="宋体"/>
                <w:b w:val="0"/>
                <w:bCs w:val="0"/>
                <w:color w:val="auto"/>
                <w:szCs w:val="21"/>
                <w:highlight w:val="none"/>
              </w:rPr>
            </w:pPr>
            <w:r>
              <w:rPr>
                <w:rFonts w:hint="eastAsia" w:ascii="宋体" w:hAnsi="宋体" w:cs="宋体"/>
                <w:b w:val="0"/>
                <w:bCs w:val="0"/>
                <w:color w:val="auto"/>
                <w:szCs w:val="21"/>
                <w:highlight w:val="none"/>
              </w:rPr>
              <w:t>南宁市——兴宁区、江南区、青秀区、西乡塘区、邕宁区、良庆区、武鸣区7个市辖区和横州市、宾阳县、上林县、马山县、隆安县5个县（市、区），建有南宁高新技术产业开发区、南宁经济技术开发区、广西—东盟经济技术开发区3个国家级开发区；共15个。</w:t>
            </w:r>
          </w:p>
          <w:p w14:paraId="42FC8748">
            <w:pPr>
              <w:keepNext w:val="0"/>
              <w:keepLines w:val="0"/>
              <w:suppressLineNumbers w:val="0"/>
              <w:spacing w:before="0" w:beforeAutospacing="0" w:after="0" w:afterAutospacing="0" w:line="360" w:lineRule="exact"/>
              <w:ind w:left="0" w:right="0"/>
              <w:jc w:val="left"/>
              <w:rPr>
                <w:rFonts w:hint="eastAsia" w:ascii="宋体" w:hAnsi="宋体" w:cs="宋体"/>
                <w:b w:val="0"/>
                <w:bCs w:val="0"/>
                <w:color w:val="auto"/>
                <w:szCs w:val="21"/>
                <w:highlight w:val="none"/>
              </w:rPr>
            </w:pPr>
            <w:r>
              <w:rPr>
                <w:rFonts w:hint="eastAsia" w:ascii="宋体" w:hAnsi="宋体" w:cs="宋体"/>
                <w:b w:val="0"/>
                <w:bCs w:val="0"/>
                <w:color w:val="auto"/>
                <w:szCs w:val="21"/>
                <w:highlight w:val="none"/>
              </w:rPr>
              <w:t>柳州市——城中区、鱼峰区、柳南区、柳北区、柳江区5个市辖区，柳城县、鹿寨县、融安县、融水县、三江县5个县（市、区）；共10个。</w:t>
            </w:r>
          </w:p>
          <w:p w14:paraId="552F296E">
            <w:pPr>
              <w:keepNext w:val="0"/>
              <w:keepLines w:val="0"/>
              <w:suppressLineNumbers w:val="0"/>
              <w:spacing w:before="0" w:beforeAutospacing="0" w:after="0" w:afterAutospacing="0" w:line="360" w:lineRule="exact"/>
              <w:ind w:left="0" w:right="0"/>
              <w:jc w:val="left"/>
              <w:rPr>
                <w:rFonts w:hint="eastAsia" w:ascii="宋体" w:hAnsi="宋体" w:cs="宋体"/>
                <w:b w:val="0"/>
                <w:bCs w:val="0"/>
                <w:color w:val="auto"/>
                <w:szCs w:val="21"/>
                <w:highlight w:val="none"/>
              </w:rPr>
            </w:pPr>
            <w:r>
              <w:rPr>
                <w:rFonts w:hint="eastAsia" w:ascii="宋体" w:hAnsi="宋体" w:cs="宋体"/>
                <w:b w:val="0"/>
                <w:bCs w:val="0"/>
                <w:color w:val="auto"/>
                <w:szCs w:val="21"/>
                <w:highlight w:val="none"/>
              </w:rPr>
              <w:t>桂林市——秀峰区、七星区、象山区、叠彩区、雁山区、临桂区6个市辖区，阳朔县、灵川县、全州县、兴安县、永福县、灌阳县、龙胜县、资源县、平乐县、荔浦市、恭城县11个县（市、区）；共17个。</w:t>
            </w:r>
          </w:p>
          <w:p w14:paraId="1F6FF1F2">
            <w:pPr>
              <w:keepNext w:val="0"/>
              <w:keepLines w:val="0"/>
              <w:suppressLineNumbers w:val="0"/>
              <w:spacing w:before="0" w:beforeAutospacing="0" w:after="0" w:afterAutospacing="0" w:line="360" w:lineRule="exact"/>
              <w:ind w:left="0" w:right="0"/>
              <w:jc w:val="left"/>
              <w:rPr>
                <w:rFonts w:hint="eastAsia" w:ascii="宋体" w:hAnsi="宋体" w:cs="宋体"/>
                <w:b w:val="0"/>
                <w:bCs w:val="0"/>
                <w:color w:val="auto"/>
                <w:szCs w:val="21"/>
                <w:highlight w:val="none"/>
              </w:rPr>
            </w:pPr>
            <w:r>
              <w:rPr>
                <w:rFonts w:hint="eastAsia" w:ascii="宋体" w:hAnsi="宋体" w:cs="宋体"/>
                <w:b w:val="0"/>
                <w:bCs w:val="0"/>
                <w:color w:val="auto"/>
                <w:szCs w:val="21"/>
                <w:highlight w:val="none"/>
              </w:rPr>
              <w:t>梧州市——万秀区、长洲区、龙圩区3个市辖区，藤县、岑溪市、苍梧县、蒙山县4个县（市、区）；共7个。</w:t>
            </w:r>
          </w:p>
          <w:p w14:paraId="173B0F44">
            <w:pPr>
              <w:keepNext w:val="0"/>
              <w:keepLines w:val="0"/>
              <w:suppressLineNumbers w:val="0"/>
              <w:spacing w:before="0" w:beforeAutospacing="0" w:after="0" w:afterAutospacing="0" w:line="360" w:lineRule="exact"/>
              <w:ind w:left="0" w:right="0"/>
              <w:jc w:val="left"/>
              <w:rPr>
                <w:rFonts w:hint="eastAsia" w:ascii="宋体" w:hAnsi="宋体" w:cs="宋体"/>
                <w:b w:val="0"/>
                <w:bCs w:val="0"/>
                <w:color w:val="auto"/>
                <w:szCs w:val="21"/>
                <w:highlight w:val="none"/>
              </w:rPr>
            </w:pPr>
            <w:r>
              <w:rPr>
                <w:rFonts w:hint="eastAsia" w:ascii="宋体" w:hAnsi="宋体" w:cs="宋体"/>
                <w:b w:val="0"/>
                <w:bCs w:val="0"/>
                <w:color w:val="auto"/>
                <w:szCs w:val="21"/>
                <w:highlight w:val="none"/>
              </w:rPr>
              <w:t>北海市——海城区、银海区、铁山港区3个市辖区，合浦县1个县（市、区）；共4个。</w:t>
            </w:r>
          </w:p>
          <w:p w14:paraId="3DEABA5D">
            <w:pPr>
              <w:keepNext w:val="0"/>
              <w:keepLines w:val="0"/>
              <w:suppressLineNumbers w:val="0"/>
              <w:spacing w:before="0" w:beforeAutospacing="0" w:after="0" w:afterAutospacing="0" w:line="360" w:lineRule="exact"/>
              <w:ind w:left="0" w:right="0"/>
              <w:jc w:val="left"/>
              <w:rPr>
                <w:rFonts w:hint="eastAsia" w:ascii="宋体" w:hAnsi="宋体" w:cs="宋体"/>
                <w:b w:val="0"/>
                <w:bCs w:val="0"/>
                <w:color w:val="auto"/>
                <w:szCs w:val="21"/>
                <w:highlight w:val="none"/>
              </w:rPr>
            </w:pPr>
            <w:r>
              <w:rPr>
                <w:rFonts w:hint="eastAsia" w:ascii="宋体" w:hAnsi="宋体" w:cs="宋体"/>
                <w:b w:val="0"/>
                <w:bCs w:val="0"/>
                <w:color w:val="auto"/>
                <w:szCs w:val="21"/>
                <w:highlight w:val="none"/>
              </w:rPr>
              <w:t>防城港市——港口区、防城区2个市辖区，上思县、东兴市2个县（市、区）；共4个。</w:t>
            </w:r>
          </w:p>
          <w:p w14:paraId="1FDDACAD">
            <w:pPr>
              <w:keepNext w:val="0"/>
              <w:keepLines w:val="0"/>
              <w:suppressLineNumbers w:val="0"/>
              <w:spacing w:before="0" w:beforeAutospacing="0" w:after="0" w:afterAutospacing="0" w:line="360" w:lineRule="exact"/>
              <w:ind w:left="0" w:right="0"/>
              <w:jc w:val="left"/>
              <w:rPr>
                <w:rFonts w:hint="eastAsia" w:ascii="宋体" w:hAnsi="宋体" w:cs="宋体"/>
                <w:b w:val="0"/>
                <w:bCs w:val="0"/>
                <w:color w:val="auto"/>
                <w:szCs w:val="21"/>
                <w:highlight w:val="none"/>
              </w:rPr>
            </w:pPr>
            <w:r>
              <w:rPr>
                <w:rFonts w:hint="eastAsia" w:ascii="宋体" w:hAnsi="宋体" w:cs="宋体"/>
                <w:b w:val="0"/>
                <w:bCs w:val="0"/>
                <w:color w:val="auto"/>
                <w:szCs w:val="21"/>
                <w:highlight w:val="none"/>
              </w:rPr>
              <w:t>钦州市——钦南区、钦北2个市辖区、灵山县、浦北县2个县（市、区）；共4个。</w:t>
            </w:r>
          </w:p>
          <w:p w14:paraId="043BB4EF">
            <w:pPr>
              <w:keepNext w:val="0"/>
              <w:keepLines w:val="0"/>
              <w:suppressLineNumbers w:val="0"/>
              <w:spacing w:before="0" w:beforeAutospacing="0" w:after="0" w:afterAutospacing="0" w:line="360" w:lineRule="exact"/>
              <w:ind w:left="0" w:right="0"/>
              <w:jc w:val="left"/>
              <w:rPr>
                <w:rFonts w:hint="eastAsia" w:ascii="宋体" w:hAnsi="宋体" w:cs="宋体"/>
                <w:b w:val="0"/>
                <w:bCs w:val="0"/>
                <w:color w:val="auto"/>
                <w:szCs w:val="21"/>
                <w:highlight w:val="none"/>
              </w:rPr>
            </w:pPr>
            <w:r>
              <w:rPr>
                <w:rFonts w:hint="eastAsia" w:ascii="宋体" w:hAnsi="宋体" w:cs="宋体"/>
                <w:b w:val="0"/>
                <w:bCs w:val="0"/>
                <w:color w:val="auto"/>
                <w:szCs w:val="21"/>
                <w:highlight w:val="none"/>
              </w:rPr>
              <w:t>贵港市——港北区、港南区、覃塘区3个市辖区，平南县、桂平市2个县（市、区）；共5个。</w:t>
            </w:r>
          </w:p>
          <w:p w14:paraId="0660D7EB">
            <w:pPr>
              <w:keepNext w:val="0"/>
              <w:keepLines w:val="0"/>
              <w:suppressLineNumbers w:val="0"/>
              <w:spacing w:before="0" w:beforeAutospacing="0" w:after="0" w:afterAutospacing="0" w:line="360" w:lineRule="exact"/>
              <w:ind w:left="0" w:right="0"/>
              <w:jc w:val="left"/>
              <w:rPr>
                <w:rFonts w:hint="eastAsia" w:ascii="宋体" w:hAnsi="宋体" w:cs="宋体"/>
                <w:b w:val="0"/>
                <w:bCs w:val="0"/>
                <w:color w:val="auto"/>
                <w:szCs w:val="21"/>
                <w:highlight w:val="none"/>
              </w:rPr>
            </w:pPr>
            <w:r>
              <w:rPr>
                <w:rFonts w:hint="eastAsia" w:ascii="宋体" w:hAnsi="宋体" w:cs="宋体"/>
                <w:b w:val="0"/>
                <w:bCs w:val="0"/>
                <w:color w:val="auto"/>
                <w:szCs w:val="21"/>
                <w:highlight w:val="none"/>
              </w:rPr>
              <w:t>玉林市——玉州区、福绵区2个市辖区，容县、陆川县、博白县、兴业县、北流市5个县（市、区）；共7个。</w:t>
            </w:r>
          </w:p>
          <w:p w14:paraId="549D1EAB">
            <w:pPr>
              <w:keepNext w:val="0"/>
              <w:keepLines w:val="0"/>
              <w:suppressLineNumbers w:val="0"/>
              <w:spacing w:before="0" w:beforeAutospacing="0" w:after="0" w:afterAutospacing="0" w:line="360" w:lineRule="exact"/>
              <w:ind w:left="0" w:right="0"/>
              <w:jc w:val="left"/>
              <w:rPr>
                <w:rFonts w:hint="eastAsia" w:ascii="宋体" w:hAnsi="宋体" w:cs="宋体"/>
                <w:b w:val="0"/>
                <w:bCs w:val="0"/>
                <w:color w:val="auto"/>
                <w:szCs w:val="21"/>
                <w:highlight w:val="none"/>
              </w:rPr>
            </w:pPr>
            <w:r>
              <w:rPr>
                <w:rFonts w:hint="eastAsia" w:ascii="宋体" w:hAnsi="宋体" w:cs="宋体"/>
                <w:b w:val="0"/>
                <w:bCs w:val="0"/>
                <w:color w:val="auto"/>
                <w:szCs w:val="21"/>
                <w:highlight w:val="none"/>
              </w:rPr>
              <w:t>百色市——右江区、田阳区2个市辖区，田东县、平果县、德保县、靖西市、那坡县、凌云县、乐业县、田林县、西林县、隆林县10个县（市、区）；共12个。</w:t>
            </w:r>
          </w:p>
          <w:p w14:paraId="5A27D3D0">
            <w:pPr>
              <w:keepNext w:val="0"/>
              <w:keepLines w:val="0"/>
              <w:suppressLineNumbers w:val="0"/>
              <w:spacing w:before="0" w:beforeAutospacing="0" w:after="0" w:afterAutospacing="0" w:line="360" w:lineRule="exact"/>
              <w:ind w:left="0" w:right="0"/>
              <w:jc w:val="left"/>
              <w:rPr>
                <w:rFonts w:hint="eastAsia" w:ascii="宋体" w:hAnsi="宋体" w:cs="宋体"/>
                <w:b w:val="0"/>
                <w:bCs w:val="0"/>
                <w:color w:val="auto"/>
                <w:szCs w:val="21"/>
                <w:highlight w:val="none"/>
              </w:rPr>
            </w:pPr>
            <w:r>
              <w:rPr>
                <w:rFonts w:hint="eastAsia" w:ascii="宋体" w:hAnsi="宋体" w:cs="宋体"/>
                <w:b w:val="0"/>
                <w:bCs w:val="0"/>
                <w:color w:val="auto"/>
                <w:szCs w:val="21"/>
                <w:highlight w:val="none"/>
              </w:rPr>
              <w:t>河池市——金城江区、宜州区2个市辖区，天峨县、南丹县、凤山县、东兰县、罗城县、环江县、巴马县、都安县、大化县9个县（市、区）；共11个..</w:t>
            </w:r>
          </w:p>
          <w:p w14:paraId="3B2B3188">
            <w:pPr>
              <w:keepNext w:val="0"/>
              <w:keepLines w:val="0"/>
              <w:suppressLineNumbers w:val="0"/>
              <w:spacing w:before="0" w:beforeAutospacing="0" w:after="0" w:afterAutospacing="0" w:line="360" w:lineRule="exact"/>
              <w:ind w:left="0" w:right="0"/>
              <w:jc w:val="left"/>
              <w:rPr>
                <w:rFonts w:hint="eastAsia" w:ascii="宋体" w:hAnsi="宋体" w:cs="宋体"/>
                <w:b w:val="0"/>
                <w:bCs w:val="0"/>
                <w:color w:val="auto"/>
                <w:szCs w:val="21"/>
                <w:highlight w:val="none"/>
              </w:rPr>
            </w:pPr>
            <w:r>
              <w:rPr>
                <w:rFonts w:hint="eastAsia" w:ascii="宋体" w:hAnsi="宋体" w:cs="宋体"/>
                <w:b w:val="0"/>
                <w:bCs w:val="0"/>
                <w:color w:val="auto"/>
                <w:szCs w:val="21"/>
                <w:highlight w:val="none"/>
              </w:rPr>
              <w:t>贺州市——八步区、平桂区2个市辖区，昭平县、钟山县、富川县3个县（市、区）；共5个。</w:t>
            </w:r>
          </w:p>
          <w:p w14:paraId="3B53C630">
            <w:pPr>
              <w:keepNext w:val="0"/>
              <w:keepLines w:val="0"/>
              <w:suppressLineNumbers w:val="0"/>
              <w:spacing w:before="0" w:beforeAutospacing="0" w:after="0" w:afterAutospacing="0" w:line="360" w:lineRule="exact"/>
              <w:ind w:left="0" w:right="0"/>
              <w:jc w:val="left"/>
              <w:rPr>
                <w:rFonts w:hint="eastAsia" w:ascii="宋体" w:hAnsi="宋体" w:cs="宋体"/>
                <w:b w:val="0"/>
                <w:bCs w:val="0"/>
                <w:color w:val="auto"/>
                <w:szCs w:val="21"/>
                <w:highlight w:val="none"/>
              </w:rPr>
            </w:pPr>
            <w:r>
              <w:rPr>
                <w:rFonts w:hint="eastAsia" w:ascii="宋体" w:hAnsi="宋体" w:cs="宋体"/>
                <w:b w:val="0"/>
                <w:bCs w:val="0"/>
                <w:color w:val="auto"/>
                <w:szCs w:val="21"/>
                <w:highlight w:val="none"/>
              </w:rPr>
              <w:t>来宾市——兴宾1个市辖区，忻城县、象州县、武宣县、金秀县、合山市5个县（市、区）；共6个。</w:t>
            </w:r>
          </w:p>
          <w:p w14:paraId="14392AE6">
            <w:pPr>
              <w:keepNext w:val="0"/>
              <w:keepLines w:val="0"/>
              <w:suppressLineNumbers w:val="0"/>
              <w:spacing w:before="0" w:beforeAutospacing="0" w:after="0" w:afterAutospacing="0" w:line="360" w:lineRule="exact"/>
              <w:ind w:left="0" w:right="0"/>
              <w:jc w:val="left"/>
              <w:rPr>
                <w:rFonts w:hint="eastAsia" w:ascii="宋体" w:hAnsi="宋体" w:cs="宋体"/>
                <w:b w:val="0"/>
                <w:bCs w:val="0"/>
                <w:color w:val="auto"/>
                <w:szCs w:val="21"/>
                <w:highlight w:val="none"/>
              </w:rPr>
            </w:pPr>
            <w:r>
              <w:rPr>
                <w:rFonts w:hint="eastAsia" w:ascii="宋体" w:hAnsi="宋体" w:cs="宋体"/>
                <w:b w:val="0"/>
                <w:bCs w:val="0"/>
                <w:color w:val="auto"/>
                <w:szCs w:val="21"/>
                <w:highlight w:val="none"/>
              </w:rPr>
              <w:t>崇左市——江州区1个市辖区、扶绥县、大新县、天等县、宁明县、龙州县、凭祥市6个县（市、区）；共7个。</w:t>
            </w:r>
          </w:p>
          <w:p w14:paraId="113A5069">
            <w:pPr>
              <w:keepNext w:val="0"/>
              <w:keepLines w:val="0"/>
              <w:suppressLineNumbers w:val="0"/>
              <w:spacing w:before="0" w:beforeAutospacing="0" w:after="0" w:afterAutospacing="0" w:line="360" w:lineRule="exact"/>
              <w:ind w:left="0" w:right="0" w:firstLine="210" w:firstLineChars="100"/>
              <w:jc w:val="left"/>
              <w:rPr>
                <w:rFonts w:hint="eastAsia" w:ascii="宋体" w:hAnsi="宋体" w:cs="宋体"/>
                <w:b w:val="0"/>
                <w:bCs w:val="0"/>
                <w:color w:val="auto"/>
                <w:szCs w:val="21"/>
                <w:highlight w:val="none"/>
              </w:rPr>
            </w:pPr>
            <w:r>
              <w:rPr>
                <w:rFonts w:hint="eastAsia" w:ascii="宋体" w:hAnsi="宋体" w:cs="宋体"/>
                <w:b w:val="0"/>
                <w:bCs w:val="0"/>
                <w:color w:val="auto"/>
                <w:szCs w:val="21"/>
                <w:highlight w:val="none"/>
              </w:rPr>
              <w:t>以上共有14个设区市， 市辖区41个， 县(市、区)70个，3个开发区。</w:t>
            </w:r>
          </w:p>
          <w:p w14:paraId="0840FEE7">
            <w:pPr>
              <w:keepNext w:val="0"/>
              <w:keepLines w:val="0"/>
              <w:suppressLineNumbers w:val="0"/>
              <w:spacing w:before="0" w:beforeAutospacing="0" w:after="0" w:afterAutospacing="0" w:line="360" w:lineRule="exact"/>
              <w:ind w:left="0" w:right="0"/>
              <w:jc w:val="left"/>
              <w:rPr>
                <w:rFonts w:hint="eastAsia" w:ascii="宋体" w:hAnsi="宋体" w:cs="宋体"/>
                <w:b/>
                <w:bCs/>
                <w:color w:val="auto"/>
                <w:szCs w:val="21"/>
                <w:highlight w:val="none"/>
              </w:rPr>
            </w:pPr>
            <w:r>
              <w:rPr>
                <w:rFonts w:hint="eastAsia" w:ascii="宋体" w:hAnsi="宋体" w:cs="宋体"/>
                <w:b/>
                <w:bCs/>
                <w:color w:val="auto"/>
                <w:szCs w:val="21"/>
                <w:highlight w:val="none"/>
              </w:rPr>
              <w:t>二、保险对象</w:t>
            </w:r>
          </w:p>
          <w:p w14:paraId="59C58B62">
            <w:pPr>
              <w:keepNext w:val="0"/>
              <w:keepLines w:val="0"/>
              <w:suppressLineNumbers w:val="0"/>
              <w:spacing w:before="0" w:beforeAutospacing="0" w:after="0" w:afterAutospacing="0" w:line="360" w:lineRule="exact"/>
              <w:ind w:left="0" w:right="0"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2026年全区计划生育特殊家庭扶助对象（以自治区计划生育协会核定的名单为准），每人每年投保一份。</w:t>
            </w:r>
          </w:p>
          <w:p w14:paraId="10759BE1">
            <w:pPr>
              <w:keepNext w:val="0"/>
              <w:keepLines w:val="0"/>
              <w:suppressLineNumbers w:val="0"/>
              <w:spacing w:before="0" w:beforeAutospacing="0" w:after="0" w:afterAutospacing="0" w:line="360" w:lineRule="exact"/>
              <w:ind w:left="0" w:right="0"/>
              <w:jc w:val="left"/>
              <w:rPr>
                <w:rFonts w:hint="eastAsia" w:ascii="宋体" w:hAnsi="宋体" w:cs="宋体"/>
                <w:color w:val="auto"/>
                <w:szCs w:val="21"/>
                <w:highlight w:val="none"/>
              </w:rPr>
            </w:pPr>
            <w:r>
              <w:rPr>
                <w:rFonts w:hint="eastAsia" w:ascii="宋体" w:hAnsi="宋体" w:cs="宋体"/>
                <w:b/>
                <w:bCs/>
                <w:color w:val="auto"/>
                <w:szCs w:val="21"/>
                <w:highlight w:val="none"/>
              </w:rPr>
              <w:t>三、保险期限</w:t>
            </w:r>
          </w:p>
          <w:p w14:paraId="28D776EC">
            <w:pPr>
              <w:keepNext w:val="0"/>
              <w:keepLines w:val="0"/>
              <w:suppressLineNumbers w:val="0"/>
              <w:spacing w:before="0" w:beforeAutospacing="0" w:after="0" w:afterAutospacing="0" w:line="360" w:lineRule="exact"/>
              <w:ind w:left="0" w:right="0" w:firstLine="420" w:firstLineChars="200"/>
              <w:jc w:val="left"/>
              <w:rPr>
                <w:rFonts w:hint="eastAsia" w:ascii="宋体" w:hAnsi="宋体" w:cs="宋体"/>
                <w:b w:val="0"/>
                <w:bCs w:val="0"/>
                <w:color w:val="auto"/>
                <w:szCs w:val="21"/>
                <w:highlight w:val="none"/>
              </w:rPr>
            </w:pPr>
            <w:r>
              <w:rPr>
                <w:rFonts w:hint="eastAsia" w:ascii="宋体" w:hAnsi="宋体" w:cs="宋体"/>
                <w:b w:val="0"/>
                <w:bCs w:val="0"/>
                <w:color w:val="auto"/>
                <w:szCs w:val="21"/>
                <w:highlight w:val="none"/>
              </w:rPr>
              <w:t>（一）中标人将获得保险期限为1年的计划生育特殊家庭综合保险项目，保险期限为自2026年9月1日零时起至2027年8月31日24时止。</w:t>
            </w:r>
          </w:p>
          <w:p w14:paraId="5AB0015D">
            <w:pPr>
              <w:keepNext w:val="0"/>
              <w:keepLines w:val="0"/>
              <w:suppressLineNumbers w:val="0"/>
              <w:spacing w:before="0" w:beforeAutospacing="0" w:after="0" w:afterAutospacing="0" w:line="360" w:lineRule="exact"/>
              <w:ind w:left="0" w:right="0" w:firstLine="420" w:firstLineChars="200"/>
              <w:jc w:val="left"/>
              <w:rPr>
                <w:rFonts w:hint="eastAsia" w:ascii="宋体" w:hAnsi="宋体" w:cs="宋体"/>
                <w:b w:val="0"/>
                <w:bCs w:val="0"/>
                <w:color w:val="auto"/>
                <w:szCs w:val="21"/>
                <w:highlight w:val="none"/>
              </w:rPr>
            </w:pPr>
            <w:r>
              <w:rPr>
                <w:rFonts w:hint="eastAsia" w:ascii="宋体" w:hAnsi="宋体" w:cs="宋体"/>
                <w:b w:val="0"/>
                <w:bCs w:val="0"/>
                <w:color w:val="auto"/>
                <w:szCs w:val="21"/>
                <w:highlight w:val="none"/>
              </w:rPr>
              <w:t>（二）投标人一旦中标，将追溯保险合同效力</w:t>
            </w:r>
            <w:r>
              <w:rPr>
                <w:rFonts w:hint="eastAsia" w:ascii="宋体" w:hAnsi="宋体" w:cs="宋体"/>
                <w:b w:val="0"/>
                <w:bCs w:val="0"/>
                <w:color w:val="auto"/>
                <w:szCs w:val="21"/>
                <w:highlight w:val="none"/>
                <w:lang w:val="en-US" w:eastAsia="zh-CN"/>
              </w:rPr>
              <w:t>此始时间</w:t>
            </w:r>
            <w:r>
              <w:rPr>
                <w:rFonts w:hint="eastAsia" w:ascii="宋体" w:hAnsi="宋体" w:cs="宋体"/>
                <w:b w:val="0"/>
                <w:bCs w:val="0"/>
                <w:color w:val="auto"/>
                <w:szCs w:val="21"/>
                <w:highlight w:val="none"/>
              </w:rPr>
              <w:t>为2026年9月1日零时。</w:t>
            </w:r>
          </w:p>
          <w:p w14:paraId="52B1EB04">
            <w:pPr>
              <w:keepNext w:val="0"/>
              <w:keepLines w:val="0"/>
              <w:widowControl/>
              <w:suppressLineNumbers w:val="0"/>
              <w:spacing w:before="0" w:beforeAutospacing="0" w:after="0" w:afterAutospacing="0" w:line="360" w:lineRule="exact"/>
              <w:ind w:left="0" w:right="0" w:firstLine="0" w:firstLineChars="0"/>
              <w:jc w:val="left"/>
              <w:rPr>
                <w:rFonts w:hint="eastAsia" w:ascii="宋体" w:hAnsi="宋体" w:eastAsia="宋体" w:cs="宋体"/>
                <w:b/>
                <w:bCs/>
                <w:color w:val="auto"/>
                <w:kern w:val="2"/>
                <w:sz w:val="21"/>
                <w:szCs w:val="21"/>
                <w:highlight w:val="none"/>
              </w:rPr>
            </w:pPr>
            <w:r>
              <w:rPr>
                <w:rFonts w:hint="eastAsia" w:ascii="宋体" w:hAnsi="宋体" w:eastAsia="宋体" w:cs="宋体"/>
                <w:b/>
                <w:bCs/>
                <w:color w:val="auto"/>
                <w:kern w:val="2"/>
                <w:sz w:val="21"/>
                <w:szCs w:val="21"/>
                <w:highlight w:val="none"/>
                <w:lang w:val="en-US" w:eastAsia="zh-CN" w:bidi="ar"/>
              </w:rPr>
              <w:t>四、保险费、保险责任及保险金额</w:t>
            </w:r>
          </w:p>
          <w:p w14:paraId="7346E128">
            <w:pPr>
              <w:keepNext w:val="0"/>
              <w:keepLines w:val="0"/>
              <w:widowControl/>
              <w:suppressLineNumbers w:val="0"/>
              <w:spacing w:before="0" w:beforeAutospacing="0" w:after="0" w:afterAutospacing="0" w:line="360" w:lineRule="exact"/>
              <w:ind w:left="0" w:right="0" w:firstLine="420" w:firstLineChars="200"/>
              <w:jc w:val="left"/>
              <w:rPr>
                <w:rFonts w:hint="eastAsia" w:ascii="宋体" w:hAnsi="宋体" w:eastAsia="宋体" w:cs="宋体"/>
                <w:b w:val="0"/>
                <w:bCs w:val="0"/>
                <w:color w:val="auto"/>
                <w:kern w:val="2"/>
                <w:sz w:val="21"/>
                <w:szCs w:val="21"/>
                <w:highlight w:val="none"/>
              </w:rPr>
            </w:pPr>
            <w:r>
              <w:rPr>
                <w:rFonts w:hint="eastAsia" w:ascii="宋体" w:hAnsi="宋体" w:eastAsia="宋体" w:cs="宋体"/>
                <w:b w:val="0"/>
                <w:bCs w:val="0"/>
                <w:color w:val="auto"/>
                <w:kern w:val="2"/>
                <w:sz w:val="21"/>
                <w:szCs w:val="21"/>
                <w:highlight w:val="none"/>
                <w:lang w:val="en-US" w:eastAsia="zh-CN" w:bidi="ar"/>
              </w:rPr>
              <w:t>（一）保险费：计划生育特殊家庭综合保险项目保险费定额标准为500元 / 人・份・年，年度预算34000份，总预算约1700万元，具体按实际核定参保人数计算。</w:t>
            </w:r>
          </w:p>
          <w:p w14:paraId="15FA383D">
            <w:pPr>
              <w:keepNext w:val="0"/>
              <w:keepLines w:val="0"/>
              <w:widowControl/>
              <w:suppressLineNumbers w:val="0"/>
              <w:spacing w:before="0" w:beforeAutospacing="0" w:after="0" w:afterAutospacing="0" w:line="360" w:lineRule="exact"/>
              <w:ind w:left="0" w:right="0" w:firstLine="420" w:firstLineChars="200"/>
              <w:jc w:val="left"/>
              <w:rPr>
                <w:rFonts w:hint="default" w:ascii="宋体" w:hAnsi="宋体" w:eastAsia="宋体" w:cs="宋体"/>
                <w:b w:val="0"/>
                <w:bCs w:val="0"/>
                <w:color w:val="auto"/>
                <w:kern w:val="2"/>
                <w:sz w:val="21"/>
                <w:szCs w:val="21"/>
                <w:highlight w:val="none"/>
                <w:lang w:val="en-US"/>
              </w:rPr>
            </w:pPr>
            <w:r>
              <w:rPr>
                <w:rFonts w:hint="eastAsia" w:ascii="宋体" w:hAnsi="宋体" w:eastAsia="宋体" w:cs="宋体"/>
                <w:b w:val="0"/>
                <w:bCs w:val="0"/>
                <w:color w:val="auto"/>
                <w:kern w:val="2"/>
                <w:sz w:val="21"/>
                <w:szCs w:val="21"/>
                <w:highlight w:val="none"/>
                <w:lang w:val="en-US" w:eastAsia="zh-CN" w:bidi="ar"/>
              </w:rPr>
              <w:t>（二）保险责任及保险金额</w:t>
            </w:r>
          </w:p>
          <w:p w14:paraId="2182967D">
            <w:pPr>
              <w:keepNext w:val="0"/>
              <w:keepLines w:val="0"/>
              <w:widowControl/>
              <w:suppressLineNumbers w:val="0"/>
              <w:spacing w:before="0" w:beforeAutospacing="0" w:after="0" w:afterAutospacing="0" w:line="360" w:lineRule="exact"/>
              <w:ind w:left="0" w:right="0" w:firstLine="420" w:firstLineChars="20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本项目为政策性保险，不设立等待期且追溯保险合同效力至2026年9月1日零时,投标人不得设立任何拒保条款。投标人必须提供的保险责任及保险金额包括但不限于：</w:t>
            </w:r>
          </w:p>
          <w:tbl>
            <w:tblPr>
              <w:tblStyle w:val="39"/>
              <w:tblW w:w="567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41"/>
              <w:gridCol w:w="1659"/>
              <w:gridCol w:w="1887"/>
              <w:gridCol w:w="659"/>
              <w:gridCol w:w="731"/>
            </w:tblGrid>
            <w:tr w14:paraId="15394B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7" w:hRule="atLeast"/>
                <w:jc w:val="center"/>
              </w:trPr>
              <w:tc>
                <w:tcPr>
                  <w:tcW w:w="690" w:type="dxa"/>
                  <w:tcBorders>
                    <w:top w:val="single" w:color="auto" w:sz="4" w:space="0"/>
                    <w:left w:val="single" w:color="auto" w:sz="4" w:space="0"/>
                    <w:bottom w:val="single" w:color="auto" w:sz="4" w:space="0"/>
                    <w:right w:val="single" w:color="auto" w:sz="4" w:space="0"/>
                  </w:tcBorders>
                  <w:shd w:val="clear" w:color="auto" w:fill="auto"/>
                  <w:vAlign w:val="center"/>
                </w:tcPr>
                <w:p w14:paraId="56417929">
                  <w:pPr>
                    <w:keepNext w:val="0"/>
                    <w:keepLines w:val="0"/>
                    <w:widowControl/>
                    <w:suppressLineNumbers w:val="0"/>
                    <w:spacing w:before="0" w:beforeAutospacing="0" w:after="0" w:afterAutospacing="0" w:line="360" w:lineRule="exact"/>
                    <w:ind w:left="0" w:right="0" w:firstLine="0" w:firstLineChars="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序号</w:t>
                  </w:r>
                </w:p>
              </w:tc>
              <w:tc>
                <w:tcPr>
                  <w:tcW w:w="1680" w:type="dxa"/>
                  <w:tcBorders>
                    <w:top w:val="single" w:color="auto" w:sz="4" w:space="0"/>
                    <w:left w:val="nil"/>
                    <w:bottom w:val="single" w:color="auto" w:sz="4" w:space="0"/>
                    <w:right w:val="single" w:color="auto" w:sz="4" w:space="0"/>
                  </w:tcBorders>
                  <w:shd w:val="clear" w:color="auto" w:fill="auto"/>
                  <w:vAlign w:val="center"/>
                </w:tcPr>
                <w:p w14:paraId="0B3AAE73">
                  <w:pPr>
                    <w:keepNext w:val="0"/>
                    <w:keepLines w:val="0"/>
                    <w:widowControl/>
                    <w:suppressLineNumbers w:val="0"/>
                    <w:spacing w:before="0" w:beforeAutospacing="0" w:after="0" w:afterAutospacing="0" w:line="360" w:lineRule="exact"/>
                    <w:ind w:left="0" w:right="0" w:firstLine="420" w:firstLineChars="20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保险责任</w:t>
                  </w:r>
                </w:p>
              </w:tc>
              <w:tc>
                <w:tcPr>
                  <w:tcW w:w="1906" w:type="dxa"/>
                  <w:tcBorders>
                    <w:top w:val="single" w:color="auto" w:sz="4" w:space="0"/>
                    <w:left w:val="nil"/>
                    <w:bottom w:val="single" w:color="auto" w:sz="4" w:space="0"/>
                    <w:right w:val="single" w:color="auto" w:sz="4" w:space="0"/>
                  </w:tcBorders>
                  <w:shd w:val="clear" w:color="auto" w:fill="auto"/>
                  <w:vAlign w:val="center"/>
                </w:tcPr>
                <w:p w14:paraId="0EA9F656">
                  <w:pPr>
                    <w:keepNext w:val="0"/>
                    <w:keepLines w:val="0"/>
                    <w:widowControl/>
                    <w:suppressLineNumbers w:val="0"/>
                    <w:spacing w:before="0" w:beforeAutospacing="0" w:after="0" w:afterAutospacing="0" w:line="360" w:lineRule="exact"/>
                    <w:ind w:left="0" w:right="0" w:firstLine="420" w:firstLineChars="20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保险金额</w:t>
                  </w:r>
                </w:p>
              </w:tc>
              <w:tc>
                <w:tcPr>
                  <w:tcW w:w="665" w:type="dxa"/>
                  <w:tcBorders>
                    <w:top w:val="single" w:color="auto" w:sz="4" w:space="0"/>
                    <w:left w:val="nil"/>
                    <w:bottom w:val="single" w:color="auto" w:sz="4" w:space="0"/>
                    <w:right w:val="single" w:color="auto" w:sz="4" w:space="0"/>
                  </w:tcBorders>
                  <w:shd w:val="clear" w:color="auto" w:fill="auto"/>
                  <w:vAlign w:val="center"/>
                </w:tcPr>
                <w:p w14:paraId="5C7E844A">
                  <w:pPr>
                    <w:keepNext w:val="0"/>
                    <w:keepLines w:val="0"/>
                    <w:widowControl/>
                    <w:suppressLineNumbers w:val="0"/>
                    <w:spacing w:before="0" w:beforeAutospacing="0" w:after="0" w:afterAutospacing="0" w:line="360" w:lineRule="exact"/>
                    <w:ind w:left="0" w:right="0" w:firstLine="0" w:firstLineChars="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保险期间</w:t>
                  </w:r>
                </w:p>
              </w:tc>
              <w:tc>
                <w:tcPr>
                  <w:tcW w:w="736" w:type="dxa"/>
                  <w:tcBorders>
                    <w:top w:val="single" w:color="auto" w:sz="4" w:space="0"/>
                    <w:left w:val="nil"/>
                    <w:bottom w:val="single" w:color="auto" w:sz="4" w:space="0"/>
                    <w:right w:val="single" w:color="auto" w:sz="4" w:space="0"/>
                  </w:tcBorders>
                  <w:shd w:val="clear" w:color="auto" w:fill="auto"/>
                  <w:vAlign w:val="center"/>
                </w:tcPr>
                <w:p w14:paraId="35BB9A5D">
                  <w:pPr>
                    <w:keepNext w:val="0"/>
                    <w:keepLines w:val="0"/>
                    <w:widowControl/>
                    <w:suppressLineNumbers w:val="0"/>
                    <w:spacing w:before="0" w:beforeAutospacing="0" w:after="0" w:afterAutospacing="0" w:line="360" w:lineRule="exact"/>
                    <w:ind w:left="0" w:right="0" w:firstLine="0" w:firstLineChars="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保费</w:t>
                  </w:r>
                </w:p>
              </w:tc>
            </w:tr>
            <w:tr w14:paraId="73FF10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4" w:hRule="atLeast"/>
                <w:jc w:val="center"/>
              </w:trPr>
              <w:tc>
                <w:tcPr>
                  <w:tcW w:w="690" w:type="dxa"/>
                  <w:tcBorders>
                    <w:top w:val="single" w:color="auto" w:sz="4" w:space="0"/>
                    <w:left w:val="single" w:color="auto" w:sz="4" w:space="0"/>
                    <w:bottom w:val="single" w:color="auto" w:sz="4" w:space="0"/>
                    <w:right w:val="single" w:color="auto" w:sz="4" w:space="0"/>
                  </w:tcBorders>
                  <w:shd w:val="clear" w:color="auto" w:fill="auto"/>
                  <w:vAlign w:val="center"/>
                </w:tcPr>
                <w:p w14:paraId="598A82AC">
                  <w:pPr>
                    <w:keepNext w:val="0"/>
                    <w:keepLines w:val="0"/>
                    <w:widowControl/>
                    <w:suppressLineNumbers w:val="0"/>
                    <w:spacing w:before="0" w:beforeAutospacing="0" w:after="0" w:afterAutospacing="0" w:line="360" w:lineRule="exact"/>
                    <w:ind w:left="0" w:right="0" w:firstLine="420" w:firstLineChars="200"/>
                    <w:jc w:val="both"/>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1</w:t>
                  </w:r>
                </w:p>
              </w:tc>
              <w:tc>
                <w:tcPr>
                  <w:tcW w:w="1680" w:type="dxa"/>
                  <w:tcBorders>
                    <w:top w:val="single" w:color="auto" w:sz="4" w:space="0"/>
                    <w:left w:val="nil"/>
                    <w:bottom w:val="single" w:color="auto" w:sz="4" w:space="0"/>
                    <w:right w:val="single" w:color="auto" w:sz="4" w:space="0"/>
                  </w:tcBorders>
                  <w:shd w:val="clear" w:color="auto" w:fill="auto"/>
                  <w:vAlign w:val="center"/>
                </w:tcPr>
                <w:p w14:paraId="2038C2DB">
                  <w:pPr>
                    <w:keepNext w:val="0"/>
                    <w:keepLines w:val="0"/>
                    <w:widowControl/>
                    <w:suppressLineNumbers w:val="0"/>
                    <w:spacing w:before="0" w:beforeAutospacing="0" w:after="0" w:afterAutospacing="0" w:line="360" w:lineRule="exact"/>
                    <w:ind w:left="0" w:right="0" w:firstLine="0" w:firstLineChars="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意外身故</w:t>
                  </w:r>
                </w:p>
              </w:tc>
              <w:tc>
                <w:tcPr>
                  <w:tcW w:w="1906" w:type="dxa"/>
                  <w:tcBorders>
                    <w:top w:val="single" w:color="auto" w:sz="4" w:space="0"/>
                    <w:left w:val="nil"/>
                    <w:bottom w:val="single" w:color="auto" w:sz="4" w:space="0"/>
                    <w:right w:val="single" w:color="auto" w:sz="4" w:space="0"/>
                  </w:tcBorders>
                  <w:shd w:val="clear" w:color="auto" w:fill="auto"/>
                  <w:vAlign w:val="center"/>
                </w:tcPr>
                <w:p w14:paraId="733BB272">
                  <w:pPr>
                    <w:keepNext w:val="0"/>
                    <w:keepLines w:val="0"/>
                    <w:widowControl/>
                    <w:suppressLineNumbers w:val="0"/>
                    <w:spacing w:before="0" w:beforeAutospacing="0" w:after="0" w:afterAutospacing="0" w:line="360" w:lineRule="exact"/>
                    <w:ind w:left="0" w:right="0" w:firstLine="420" w:firstLineChars="20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5000元/份</w:t>
                  </w:r>
                </w:p>
              </w:tc>
              <w:tc>
                <w:tcPr>
                  <w:tcW w:w="665" w:type="dxa"/>
                  <w:vMerge w:val="restart"/>
                  <w:tcBorders>
                    <w:top w:val="nil"/>
                    <w:left w:val="nil"/>
                    <w:bottom w:val="single" w:color="auto" w:sz="4" w:space="0"/>
                    <w:right w:val="single" w:color="auto" w:sz="4" w:space="0"/>
                  </w:tcBorders>
                  <w:shd w:val="clear" w:color="auto" w:fill="auto"/>
                  <w:vAlign w:val="center"/>
                </w:tcPr>
                <w:p w14:paraId="3092FF2E">
                  <w:pPr>
                    <w:keepNext w:val="0"/>
                    <w:keepLines w:val="0"/>
                    <w:widowControl/>
                    <w:suppressLineNumbers w:val="0"/>
                    <w:spacing w:before="0" w:beforeAutospacing="0" w:after="0" w:afterAutospacing="0" w:line="360" w:lineRule="exact"/>
                    <w:ind w:left="0" w:right="0" w:firstLine="0" w:firstLineChars="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一年</w:t>
                  </w:r>
                </w:p>
              </w:tc>
              <w:tc>
                <w:tcPr>
                  <w:tcW w:w="736" w:type="dxa"/>
                  <w:vMerge w:val="restart"/>
                  <w:tcBorders>
                    <w:top w:val="nil"/>
                    <w:left w:val="nil"/>
                    <w:bottom w:val="single" w:color="auto" w:sz="4" w:space="0"/>
                    <w:right w:val="single" w:color="auto" w:sz="4" w:space="0"/>
                  </w:tcBorders>
                  <w:shd w:val="clear" w:color="auto" w:fill="auto"/>
                  <w:vAlign w:val="center"/>
                </w:tcPr>
                <w:p w14:paraId="6A41CC83">
                  <w:pPr>
                    <w:keepNext w:val="0"/>
                    <w:keepLines w:val="0"/>
                    <w:widowControl/>
                    <w:suppressLineNumbers w:val="0"/>
                    <w:spacing w:before="0" w:beforeAutospacing="0" w:after="0" w:afterAutospacing="0" w:line="360" w:lineRule="exact"/>
                    <w:ind w:left="0" w:right="0" w:firstLine="0" w:firstLineChars="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500元/人.份</w:t>
                  </w:r>
                </w:p>
              </w:tc>
            </w:tr>
            <w:tr w14:paraId="0F5A78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jc w:val="center"/>
              </w:trPr>
              <w:tc>
                <w:tcPr>
                  <w:tcW w:w="690" w:type="dxa"/>
                  <w:tcBorders>
                    <w:top w:val="single" w:color="auto" w:sz="4" w:space="0"/>
                    <w:left w:val="single" w:color="auto" w:sz="4" w:space="0"/>
                    <w:bottom w:val="single" w:color="auto" w:sz="4" w:space="0"/>
                    <w:right w:val="single" w:color="auto" w:sz="4" w:space="0"/>
                  </w:tcBorders>
                  <w:shd w:val="clear" w:color="auto" w:fill="auto"/>
                  <w:vAlign w:val="center"/>
                </w:tcPr>
                <w:p w14:paraId="2CC36D43">
                  <w:pPr>
                    <w:keepNext w:val="0"/>
                    <w:keepLines w:val="0"/>
                    <w:widowControl/>
                    <w:suppressLineNumbers w:val="0"/>
                    <w:spacing w:before="0" w:beforeAutospacing="0" w:after="0" w:afterAutospacing="0" w:line="360" w:lineRule="exact"/>
                    <w:ind w:left="0" w:right="0" w:firstLine="420" w:firstLineChars="200"/>
                    <w:jc w:val="center"/>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2</w:t>
                  </w:r>
                </w:p>
              </w:tc>
              <w:tc>
                <w:tcPr>
                  <w:tcW w:w="1680" w:type="dxa"/>
                  <w:tcBorders>
                    <w:top w:val="single" w:color="auto" w:sz="4" w:space="0"/>
                    <w:left w:val="nil"/>
                    <w:bottom w:val="single" w:color="auto" w:sz="4" w:space="0"/>
                    <w:right w:val="single" w:color="auto" w:sz="4" w:space="0"/>
                  </w:tcBorders>
                  <w:shd w:val="clear" w:color="auto" w:fill="auto"/>
                  <w:vAlign w:val="center"/>
                </w:tcPr>
                <w:p w14:paraId="1A70CA49">
                  <w:pPr>
                    <w:keepNext w:val="0"/>
                    <w:keepLines w:val="0"/>
                    <w:widowControl/>
                    <w:suppressLineNumbers w:val="0"/>
                    <w:spacing w:before="0" w:beforeAutospacing="0" w:after="0" w:afterAutospacing="0" w:line="360" w:lineRule="exact"/>
                    <w:ind w:left="0" w:right="0" w:firstLine="0" w:firstLineChars="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疾病身故</w:t>
                  </w:r>
                </w:p>
              </w:tc>
              <w:tc>
                <w:tcPr>
                  <w:tcW w:w="1906" w:type="dxa"/>
                  <w:tcBorders>
                    <w:top w:val="single" w:color="auto" w:sz="4" w:space="0"/>
                    <w:left w:val="nil"/>
                    <w:bottom w:val="single" w:color="auto" w:sz="4" w:space="0"/>
                    <w:right w:val="single" w:color="auto" w:sz="4" w:space="0"/>
                  </w:tcBorders>
                  <w:shd w:val="clear" w:color="auto" w:fill="auto"/>
                  <w:vAlign w:val="center"/>
                </w:tcPr>
                <w:p w14:paraId="6A19CC68">
                  <w:pPr>
                    <w:keepNext w:val="0"/>
                    <w:keepLines w:val="0"/>
                    <w:widowControl/>
                    <w:suppressLineNumbers w:val="0"/>
                    <w:spacing w:before="0" w:beforeAutospacing="0" w:after="0" w:afterAutospacing="0" w:line="360" w:lineRule="exact"/>
                    <w:ind w:left="0" w:right="0" w:firstLine="420" w:firstLineChars="20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5000元/份</w:t>
                  </w:r>
                </w:p>
              </w:tc>
              <w:tc>
                <w:tcPr>
                  <w:tcW w:w="665" w:type="dxa"/>
                  <w:vMerge w:val="continue"/>
                  <w:tcBorders>
                    <w:top w:val="nil"/>
                    <w:left w:val="nil"/>
                    <w:bottom w:val="single" w:color="auto" w:sz="4" w:space="0"/>
                    <w:right w:val="single" w:color="auto" w:sz="4" w:space="0"/>
                  </w:tcBorders>
                  <w:shd w:val="clear" w:color="auto" w:fill="auto"/>
                  <w:vAlign w:val="center"/>
                </w:tcPr>
                <w:p w14:paraId="214337A1">
                  <w:pPr>
                    <w:keepNext w:val="0"/>
                    <w:keepLines w:val="0"/>
                    <w:suppressLineNumbers w:val="0"/>
                    <w:spacing w:before="0" w:beforeAutospacing="0" w:after="0" w:afterAutospacing="0" w:line="360" w:lineRule="exact"/>
                    <w:ind w:left="0" w:right="0" w:firstLine="420" w:firstLineChars="200"/>
                    <w:rPr>
                      <w:rFonts w:hint="eastAsia" w:ascii="宋体" w:hAnsi="宋体" w:eastAsia="宋体" w:cs="宋体"/>
                      <w:color w:val="auto"/>
                      <w:sz w:val="21"/>
                      <w:szCs w:val="21"/>
                      <w:highlight w:val="none"/>
                    </w:rPr>
                  </w:pPr>
                </w:p>
              </w:tc>
              <w:tc>
                <w:tcPr>
                  <w:tcW w:w="736" w:type="dxa"/>
                  <w:vMerge w:val="continue"/>
                  <w:tcBorders>
                    <w:top w:val="nil"/>
                    <w:left w:val="nil"/>
                    <w:bottom w:val="single" w:color="auto" w:sz="4" w:space="0"/>
                    <w:right w:val="single" w:color="auto" w:sz="4" w:space="0"/>
                  </w:tcBorders>
                  <w:shd w:val="clear" w:color="auto" w:fill="auto"/>
                  <w:vAlign w:val="center"/>
                </w:tcPr>
                <w:p w14:paraId="67FAB57E">
                  <w:pPr>
                    <w:keepNext w:val="0"/>
                    <w:keepLines w:val="0"/>
                    <w:suppressLineNumbers w:val="0"/>
                    <w:spacing w:before="0" w:beforeAutospacing="0" w:after="0" w:afterAutospacing="0" w:line="360" w:lineRule="exact"/>
                    <w:ind w:left="0" w:right="0" w:firstLine="420" w:firstLineChars="200"/>
                    <w:rPr>
                      <w:rFonts w:hint="eastAsia" w:ascii="宋体" w:hAnsi="宋体" w:eastAsia="宋体" w:cs="宋体"/>
                      <w:color w:val="auto"/>
                      <w:sz w:val="21"/>
                      <w:szCs w:val="21"/>
                      <w:highlight w:val="none"/>
                    </w:rPr>
                  </w:pPr>
                </w:p>
              </w:tc>
            </w:tr>
            <w:tr w14:paraId="5D2F24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7" w:hRule="atLeast"/>
                <w:jc w:val="center"/>
              </w:trPr>
              <w:tc>
                <w:tcPr>
                  <w:tcW w:w="690" w:type="dxa"/>
                  <w:tcBorders>
                    <w:top w:val="single" w:color="auto" w:sz="4" w:space="0"/>
                    <w:left w:val="single" w:color="auto" w:sz="4" w:space="0"/>
                    <w:bottom w:val="single" w:color="auto" w:sz="4" w:space="0"/>
                    <w:right w:val="single" w:color="auto" w:sz="4" w:space="0"/>
                  </w:tcBorders>
                  <w:shd w:val="clear" w:color="auto" w:fill="auto"/>
                  <w:vAlign w:val="center"/>
                </w:tcPr>
                <w:p w14:paraId="5974F358">
                  <w:pPr>
                    <w:keepNext w:val="0"/>
                    <w:keepLines w:val="0"/>
                    <w:widowControl/>
                    <w:suppressLineNumbers w:val="0"/>
                    <w:spacing w:before="0" w:beforeAutospacing="0" w:after="0" w:afterAutospacing="0" w:line="360" w:lineRule="exact"/>
                    <w:ind w:left="0" w:right="0" w:firstLine="420" w:firstLineChars="200"/>
                    <w:jc w:val="center"/>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3</w:t>
                  </w:r>
                </w:p>
              </w:tc>
              <w:tc>
                <w:tcPr>
                  <w:tcW w:w="1680" w:type="dxa"/>
                  <w:tcBorders>
                    <w:top w:val="single" w:color="auto" w:sz="4" w:space="0"/>
                    <w:left w:val="nil"/>
                    <w:bottom w:val="single" w:color="auto" w:sz="4" w:space="0"/>
                    <w:right w:val="single" w:color="auto" w:sz="4" w:space="0"/>
                  </w:tcBorders>
                  <w:shd w:val="clear" w:color="auto" w:fill="auto"/>
                  <w:vAlign w:val="center"/>
                </w:tcPr>
                <w:p w14:paraId="587046F4">
                  <w:pPr>
                    <w:keepNext w:val="0"/>
                    <w:keepLines w:val="0"/>
                    <w:widowControl/>
                    <w:suppressLineNumbers w:val="0"/>
                    <w:spacing w:before="0" w:beforeAutospacing="0" w:after="0" w:afterAutospacing="0" w:line="360" w:lineRule="exact"/>
                    <w:ind w:left="0" w:right="0" w:firstLine="0" w:firstLineChars="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因意外伤害住院治疗费用补偿</w:t>
                  </w:r>
                </w:p>
              </w:tc>
              <w:tc>
                <w:tcPr>
                  <w:tcW w:w="1906" w:type="dxa"/>
                  <w:tcBorders>
                    <w:top w:val="single" w:color="auto" w:sz="4" w:space="0"/>
                    <w:left w:val="nil"/>
                    <w:bottom w:val="single" w:color="auto" w:sz="4" w:space="0"/>
                    <w:right w:val="single" w:color="auto" w:sz="4" w:space="0"/>
                  </w:tcBorders>
                  <w:shd w:val="clear" w:color="auto" w:fill="auto"/>
                  <w:vAlign w:val="center"/>
                </w:tcPr>
                <w:p w14:paraId="0F2667D1">
                  <w:pPr>
                    <w:keepNext w:val="0"/>
                    <w:keepLines w:val="0"/>
                    <w:widowControl/>
                    <w:suppressLineNumbers w:val="0"/>
                    <w:spacing w:before="0" w:beforeAutospacing="0" w:after="0" w:afterAutospacing="0" w:line="360" w:lineRule="exact"/>
                    <w:ind w:left="0" w:right="0" w:firstLine="420" w:firstLineChars="20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10000元/份</w:t>
                  </w:r>
                </w:p>
              </w:tc>
              <w:tc>
                <w:tcPr>
                  <w:tcW w:w="665" w:type="dxa"/>
                  <w:vMerge w:val="continue"/>
                  <w:tcBorders>
                    <w:top w:val="nil"/>
                    <w:left w:val="nil"/>
                    <w:bottom w:val="single" w:color="auto" w:sz="4" w:space="0"/>
                    <w:right w:val="single" w:color="auto" w:sz="4" w:space="0"/>
                  </w:tcBorders>
                  <w:shd w:val="clear" w:color="auto" w:fill="auto"/>
                  <w:vAlign w:val="center"/>
                </w:tcPr>
                <w:p w14:paraId="706BFC1C">
                  <w:pPr>
                    <w:keepNext w:val="0"/>
                    <w:keepLines w:val="0"/>
                    <w:suppressLineNumbers w:val="0"/>
                    <w:spacing w:before="0" w:beforeAutospacing="0" w:after="0" w:afterAutospacing="0" w:line="360" w:lineRule="exact"/>
                    <w:ind w:left="0" w:right="0" w:firstLine="420" w:firstLineChars="200"/>
                    <w:rPr>
                      <w:rFonts w:hint="eastAsia" w:ascii="宋体" w:hAnsi="宋体" w:eastAsia="宋体" w:cs="宋体"/>
                      <w:color w:val="auto"/>
                      <w:sz w:val="21"/>
                      <w:szCs w:val="21"/>
                      <w:highlight w:val="none"/>
                    </w:rPr>
                  </w:pPr>
                </w:p>
              </w:tc>
              <w:tc>
                <w:tcPr>
                  <w:tcW w:w="736" w:type="dxa"/>
                  <w:vMerge w:val="continue"/>
                  <w:tcBorders>
                    <w:top w:val="nil"/>
                    <w:left w:val="nil"/>
                    <w:bottom w:val="single" w:color="auto" w:sz="4" w:space="0"/>
                    <w:right w:val="single" w:color="auto" w:sz="4" w:space="0"/>
                  </w:tcBorders>
                  <w:shd w:val="clear" w:color="auto" w:fill="auto"/>
                  <w:vAlign w:val="center"/>
                </w:tcPr>
                <w:p w14:paraId="06D5EC39">
                  <w:pPr>
                    <w:keepNext w:val="0"/>
                    <w:keepLines w:val="0"/>
                    <w:suppressLineNumbers w:val="0"/>
                    <w:spacing w:before="0" w:beforeAutospacing="0" w:after="0" w:afterAutospacing="0" w:line="360" w:lineRule="exact"/>
                    <w:ind w:left="0" w:right="0" w:firstLine="420" w:firstLineChars="200"/>
                    <w:rPr>
                      <w:rFonts w:hint="eastAsia" w:ascii="宋体" w:hAnsi="宋体" w:eastAsia="宋体" w:cs="宋体"/>
                      <w:color w:val="auto"/>
                      <w:sz w:val="21"/>
                      <w:szCs w:val="21"/>
                      <w:highlight w:val="none"/>
                    </w:rPr>
                  </w:pPr>
                </w:p>
              </w:tc>
            </w:tr>
            <w:tr w14:paraId="0333C5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7" w:hRule="atLeast"/>
                <w:jc w:val="center"/>
              </w:trPr>
              <w:tc>
                <w:tcPr>
                  <w:tcW w:w="690" w:type="dxa"/>
                  <w:tcBorders>
                    <w:top w:val="single" w:color="auto" w:sz="4" w:space="0"/>
                    <w:left w:val="single" w:color="auto" w:sz="4" w:space="0"/>
                    <w:bottom w:val="single" w:color="auto" w:sz="4" w:space="0"/>
                    <w:right w:val="single" w:color="auto" w:sz="4" w:space="0"/>
                  </w:tcBorders>
                  <w:shd w:val="clear" w:color="auto" w:fill="auto"/>
                  <w:vAlign w:val="center"/>
                </w:tcPr>
                <w:p w14:paraId="059ED3DD">
                  <w:pPr>
                    <w:keepNext w:val="0"/>
                    <w:keepLines w:val="0"/>
                    <w:widowControl/>
                    <w:suppressLineNumbers w:val="0"/>
                    <w:spacing w:before="0" w:beforeAutospacing="0" w:after="0" w:afterAutospacing="0" w:line="360" w:lineRule="exact"/>
                    <w:ind w:left="0" w:right="0" w:firstLine="420" w:firstLineChars="200"/>
                    <w:jc w:val="center"/>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4</w:t>
                  </w:r>
                </w:p>
              </w:tc>
              <w:tc>
                <w:tcPr>
                  <w:tcW w:w="1680" w:type="dxa"/>
                  <w:tcBorders>
                    <w:top w:val="single" w:color="auto" w:sz="4" w:space="0"/>
                    <w:left w:val="nil"/>
                    <w:bottom w:val="single" w:color="auto" w:sz="4" w:space="0"/>
                    <w:right w:val="single" w:color="auto" w:sz="4" w:space="0"/>
                  </w:tcBorders>
                  <w:shd w:val="clear" w:color="auto" w:fill="auto"/>
                  <w:vAlign w:val="center"/>
                </w:tcPr>
                <w:p w14:paraId="31CF483A">
                  <w:pPr>
                    <w:keepNext w:val="0"/>
                    <w:keepLines w:val="0"/>
                    <w:widowControl/>
                    <w:suppressLineNumbers w:val="0"/>
                    <w:spacing w:before="0" w:beforeAutospacing="0" w:after="0" w:afterAutospacing="0" w:line="360" w:lineRule="exact"/>
                    <w:ind w:left="0" w:right="0" w:firstLine="0" w:firstLineChars="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因疾病住院治疗费用补偿</w:t>
                  </w:r>
                </w:p>
              </w:tc>
              <w:tc>
                <w:tcPr>
                  <w:tcW w:w="1906" w:type="dxa"/>
                  <w:tcBorders>
                    <w:top w:val="single" w:color="auto" w:sz="4" w:space="0"/>
                    <w:left w:val="nil"/>
                    <w:bottom w:val="single" w:color="auto" w:sz="4" w:space="0"/>
                    <w:right w:val="single" w:color="auto" w:sz="4" w:space="0"/>
                  </w:tcBorders>
                  <w:shd w:val="clear" w:color="auto" w:fill="auto"/>
                  <w:vAlign w:val="center"/>
                </w:tcPr>
                <w:p w14:paraId="4B339A2F">
                  <w:pPr>
                    <w:keepNext w:val="0"/>
                    <w:keepLines w:val="0"/>
                    <w:widowControl/>
                    <w:suppressLineNumbers w:val="0"/>
                    <w:spacing w:before="0" w:beforeAutospacing="0" w:after="0" w:afterAutospacing="0" w:line="360" w:lineRule="exact"/>
                    <w:ind w:left="0" w:right="0" w:firstLine="420" w:firstLineChars="20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1500元/份</w:t>
                  </w:r>
                </w:p>
              </w:tc>
              <w:tc>
                <w:tcPr>
                  <w:tcW w:w="665" w:type="dxa"/>
                  <w:vMerge w:val="continue"/>
                  <w:tcBorders>
                    <w:top w:val="nil"/>
                    <w:left w:val="nil"/>
                    <w:bottom w:val="single" w:color="auto" w:sz="4" w:space="0"/>
                    <w:right w:val="single" w:color="auto" w:sz="4" w:space="0"/>
                  </w:tcBorders>
                  <w:shd w:val="clear" w:color="auto" w:fill="auto"/>
                  <w:vAlign w:val="center"/>
                </w:tcPr>
                <w:p w14:paraId="042CB6B9">
                  <w:pPr>
                    <w:keepNext w:val="0"/>
                    <w:keepLines w:val="0"/>
                    <w:suppressLineNumbers w:val="0"/>
                    <w:spacing w:before="0" w:beforeAutospacing="0" w:after="0" w:afterAutospacing="0" w:line="360" w:lineRule="exact"/>
                    <w:ind w:left="0" w:right="0" w:firstLine="420" w:firstLineChars="200"/>
                    <w:rPr>
                      <w:rFonts w:hint="eastAsia" w:ascii="宋体" w:hAnsi="宋体" w:eastAsia="宋体" w:cs="宋体"/>
                      <w:color w:val="auto"/>
                      <w:sz w:val="21"/>
                      <w:szCs w:val="21"/>
                      <w:highlight w:val="none"/>
                    </w:rPr>
                  </w:pPr>
                </w:p>
              </w:tc>
              <w:tc>
                <w:tcPr>
                  <w:tcW w:w="736" w:type="dxa"/>
                  <w:vMerge w:val="continue"/>
                  <w:tcBorders>
                    <w:top w:val="nil"/>
                    <w:left w:val="nil"/>
                    <w:bottom w:val="single" w:color="auto" w:sz="4" w:space="0"/>
                    <w:right w:val="single" w:color="auto" w:sz="4" w:space="0"/>
                  </w:tcBorders>
                  <w:shd w:val="clear" w:color="auto" w:fill="auto"/>
                  <w:vAlign w:val="center"/>
                </w:tcPr>
                <w:p w14:paraId="46AB51B9">
                  <w:pPr>
                    <w:keepNext w:val="0"/>
                    <w:keepLines w:val="0"/>
                    <w:suppressLineNumbers w:val="0"/>
                    <w:spacing w:before="0" w:beforeAutospacing="0" w:after="0" w:afterAutospacing="0" w:line="360" w:lineRule="exact"/>
                    <w:ind w:left="0" w:right="0" w:firstLine="420" w:firstLineChars="200"/>
                    <w:rPr>
                      <w:rFonts w:hint="eastAsia" w:ascii="宋体" w:hAnsi="宋体" w:eastAsia="宋体" w:cs="宋体"/>
                      <w:color w:val="auto"/>
                      <w:sz w:val="21"/>
                      <w:szCs w:val="21"/>
                      <w:highlight w:val="none"/>
                    </w:rPr>
                  </w:pPr>
                </w:p>
              </w:tc>
            </w:tr>
            <w:tr w14:paraId="2ACFD6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13" w:hRule="atLeast"/>
                <w:jc w:val="center"/>
              </w:trPr>
              <w:tc>
                <w:tcPr>
                  <w:tcW w:w="690" w:type="dxa"/>
                  <w:tcBorders>
                    <w:top w:val="single" w:color="auto" w:sz="4" w:space="0"/>
                    <w:left w:val="single" w:color="auto" w:sz="4" w:space="0"/>
                    <w:bottom w:val="single" w:color="auto" w:sz="4" w:space="0"/>
                    <w:right w:val="single" w:color="auto" w:sz="4" w:space="0"/>
                  </w:tcBorders>
                  <w:shd w:val="clear" w:color="auto" w:fill="auto"/>
                  <w:vAlign w:val="center"/>
                </w:tcPr>
                <w:p w14:paraId="4D481A9E">
                  <w:pPr>
                    <w:keepNext w:val="0"/>
                    <w:keepLines w:val="0"/>
                    <w:widowControl/>
                    <w:suppressLineNumbers w:val="0"/>
                    <w:spacing w:before="0" w:beforeAutospacing="0" w:after="0" w:afterAutospacing="0" w:line="360" w:lineRule="exact"/>
                    <w:ind w:left="0" w:right="0" w:firstLine="420" w:firstLineChars="200"/>
                    <w:jc w:val="center"/>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5</w:t>
                  </w:r>
                </w:p>
              </w:tc>
              <w:tc>
                <w:tcPr>
                  <w:tcW w:w="1680" w:type="dxa"/>
                  <w:tcBorders>
                    <w:top w:val="single" w:color="auto" w:sz="4" w:space="0"/>
                    <w:left w:val="nil"/>
                    <w:bottom w:val="single" w:color="auto" w:sz="4" w:space="0"/>
                    <w:right w:val="single" w:color="auto" w:sz="4" w:space="0"/>
                  </w:tcBorders>
                  <w:shd w:val="clear" w:color="auto" w:fill="auto"/>
                  <w:vAlign w:val="center"/>
                </w:tcPr>
                <w:p w14:paraId="056B553A">
                  <w:pPr>
                    <w:keepNext w:val="0"/>
                    <w:keepLines w:val="0"/>
                    <w:widowControl/>
                    <w:suppressLineNumbers w:val="0"/>
                    <w:spacing w:before="0" w:beforeAutospacing="0" w:after="0" w:afterAutospacing="0" w:line="360" w:lineRule="exact"/>
                    <w:ind w:left="0" w:right="0" w:firstLine="0" w:firstLineChars="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住院津贴</w:t>
                  </w:r>
                </w:p>
              </w:tc>
              <w:tc>
                <w:tcPr>
                  <w:tcW w:w="1906" w:type="dxa"/>
                  <w:tcBorders>
                    <w:top w:val="single" w:color="auto" w:sz="4" w:space="0"/>
                    <w:left w:val="nil"/>
                    <w:bottom w:val="single" w:color="auto" w:sz="4" w:space="0"/>
                    <w:right w:val="single" w:color="auto" w:sz="4" w:space="0"/>
                  </w:tcBorders>
                  <w:shd w:val="clear" w:color="auto" w:fill="auto"/>
                  <w:vAlign w:val="center"/>
                </w:tcPr>
                <w:p w14:paraId="7D0A8AA0">
                  <w:pPr>
                    <w:keepNext w:val="0"/>
                    <w:keepLines w:val="0"/>
                    <w:widowControl/>
                    <w:suppressLineNumbers w:val="0"/>
                    <w:spacing w:before="0" w:beforeAutospacing="0" w:after="0" w:afterAutospacing="0" w:line="360" w:lineRule="exact"/>
                    <w:ind w:left="0" w:right="0" w:firstLine="0" w:firstLineChars="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详见具体要求第5点“意外、疾病住院护理定额给付保险责任”</w:t>
                  </w:r>
                </w:p>
              </w:tc>
              <w:tc>
                <w:tcPr>
                  <w:tcW w:w="665" w:type="dxa"/>
                  <w:vMerge w:val="continue"/>
                  <w:tcBorders>
                    <w:top w:val="nil"/>
                    <w:left w:val="nil"/>
                    <w:bottom w:val="single" w:color="auto" w:sz="4" w:space="0"/>
                    <w:right w:val="single" w:color="auto" w:sz="4" w:space="0"/>
                  </w:tcBorders>
                  <w:shd w:val="clear" w:color="auto" w:fill="auto"/>
                  <w:vAlign w:val="center"/>
                </w:tcPr>
                <w:p w14:paraId="6CD2ACD3">
                  <w:pPr>
                    <w:keepNext w:val="0"/>
                    <w:keepLines w:val="0"/>
                    <w:suppressLineNumbers w:val="0"/>
                    <w:spacing w:before="0" w:beforeAutospacing="0" w:after="0" w:afterAutospacing="0" w:line="360" w:lineRule="exact"/>
                    <w:ind w:left="0" w:right="0" w:firstLine="420" w:firstLineChars="200"/>
                    <w:rPr>
                      <w:rFonts w:hint="eastAsia" w:ascii="宋体" w:hAnsi="宋体" w:eastAsia="宋体" w:cs="宋体"/>
                      <w:color w:val="auto"/>
                      <w:sz w:val="21"/>
                      <w:szCs w:val="21"/>
                      <w:highlight w:val="none"/>
                    </w:rPr>
                  </w:pPr>
                </w:p>
              </w:tc>
              <w:tc>
                <w:tcPr>
                  <w:tcW w:w="736" w:type="dxa"/>
                  <w:vMerge w:val="continue"/>
                  <w:tcBorders>
                    <w:top w:val="nil"/>
                    <w:left w:val="nil"/>
                    <w:bottom w:val="single" w:color="auto" w:sz="4" w:space="0"/>
                    <w:right w:val="single" w:color="auto" w:sz="4" w:space="0"/>
                  </w:tcBorders>
                  <w:shd w:val="clear" w:color="auto" w:fill="auto"/>
                  <w:vAlign w:val="center"/>
                </w:tcPr>
                <w:p w14:paraId="3D0E9FED">
                  <w:pPr>
                    <w:keepNext w:val="0"/>
                    <w:keepLines w:val="0"/>
                    <w:suppressLineNumbers w:val="0"/>
                    <w:spacing w:before="0" w:beforeAutospacing="0" w:after="0" w:afterAutospacing="0" w:line="360" w:lineRule="exact"/>
                    <w:ind w:left="0" w:right="0" w:firstLine="420" w:firstLineChars="200"/>
                    <w:rPr>
                      <w:rFonts w:hint="eastAsia" w:ascii="宋体" w:hAnsi="宋体" w:eastAsia="宋体" w:cs="宋体"/>
                      <w:color w:val="auto"/>
                      <w:sz w:val="21"/>
                      <w:szCs w:val="21"/>
                      <w:highlight w:val="none"/>
                    </w:rPr>
                  </w:pPr>
                </w:p>
              </w:tc>
            </w:tr>
          </w:tbl>
          <w:p w14:paraId="016E1ED2">
            <w:pPr>
              <w:keepNext w:val="0"/>
              <w:keepLines w:val="0"/>
              <w:widowControl/>
              <w:suppressLineNumbers w:val="0"/>
              <w:spacing w:before="0" w:beforeAutospacing="0" w:after="0" w:afterAutospacing="0" w:line="360" w:lineRule="exact"/>
              <w:ind w:left="0" w:right="0" w:firstLine="420" w:firstLineChars="20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具体要求如下：</w:t>
            </w:r>
          </w:p>
          <w:p w14:paraId="03DCDE2A">
            <w:pPr>
              <w:keepNext w:val="0"/>
              <w:keepLines w:val="0"/>
              <w:widowControl/>
              <w:suppressLineNumbers w:val="0"/>
              <w:spacing w:before="0" w:beforeAutospacing="0" w:after="0" w:afterAutospacing="0" w:line="360" w:lineRule="exact"/>
              <w:ind w:left="0" w:right="0" w:firstLine="420" w:firstLineChars="200"/>
              <w:jc w:val="left"/>
              <w:rPr>
                <w:rFonts w:hint="eastAsia" w:ascii="宋体" w:hAnsi="宋体" w:eastAsia="宋体" w:cs="宋体"/>
                <w:color w:val="auto"/>
                <w:kern w:val="2"/>
                <w:sz w:val="21"/>
                <w:szCs w:val="21"/>
                <w:highlight w:val="none"/>
              </w:rPr>
            </w:pPr>
            <w:r>
              <w:rPr>
                <w:rFonts w:hint="eastAsia" w:ascii="宋体" w:hAnsi="宋体" w:cs="宋体"/>
                <w:color w:val="auto"/>
                <w:kern w:val="2"/>
                <w:sz w:val="21"/>
                <w:szCs w:val="21"/>
                <w:highlight w:val="none"/>
                <w:lang w:val="en-US" w:eastAsia="zh-CN" w:bidi="ar"/>
              </w:rPr>
              <w:t>1.</w:t>
            </w:r>
            <w:r>
              <w:rPr>
                <w:rFonts w:hint="eastAsia" w:ascii="宋体" w:hAnsi="宋体" w:eastAsia="宋体" w:cs="宋体"/>
                <w:color w:val="auto"/>
                <w:kern w:val="2"/>
                <w:sz w:val="21"/>
                <w:szCs w:val="21"/>
                <w:highlight w:val="none"/>
                <w:lang w:val="en-US" w:eastAsia="zh-CN" w:bidi="ar"/>
              </w:rPr>
              <w:t>意外身故（保险金额5000元）：在本附加合同保险期间内，被保险人遭受意外伤害，并自该意外伤害发生之日起一百八十日内因该意外伤害导致身故的，中标人按该被保险人的保险金额给付身故保险金5000元，本合同对该被保险人的责任终止。</w:t>
            </w:r>
          </w:p>
          <w:p w14:paraId="00C9DC9A">
            <w:pPr>
              <w:keepNext w:val="0"/>
              <w:keepLines w:val="0"/>
              <w:widowControl/>
              <w:suppressLineNumbers w:val="0"/>
              <w:spacing w:before="0" w:beforeAutospacing="0" w:after="0" w:afterAutospacing="0" w:line="360" w:lineRule="exact"/>
              <w:ind w:left="0" w:right="0" w:firstLine="420" w:firstLineChars="200"/>
              <w:jc w:val="left"/>
              <w:rPr>
                <w:rFonts w:hint="eastAsia" w:ascii="宋体" w:hAnsi="宋体" w:eastAsia="宋体" w:cs="宋体"/>
                <w:color w:val="auto"/>
                <w:kern w:val="2"/>
                <w:sz w:val="21"/>
                <w:szCs w:val="21"/>
                <w:highlight w:val="none"/>
              </w:rPr>
            </w:pPr>
            <w:r>
              <w:rPr>
                <w:rFonts w:hint="eastAsia" w:ascii="宋体" w:hAnsi="宋体" w:cs="宋体"/>
                <w:color w:val="auto"/>
                <w:kern w:val="2"/>
                <w:sz w:val="21"/>
                <w:szCs w:val="21"/>
                <w:highlight w:val="none"/>
                <w:lang w:val="en-US" w:eastAsia="zh-CN" w:bidi="ar"/>
              </w:rPr>
              <w:t>2.</w:t>
            </w:r>
            <w:r>
              <w:rPr>
                <w:rFonts w:hint="eastAsia" w:ascii="宋体" w:hAnsi="宋体" w:eastAsia="宋体" w:cs="宋体"/>
                <w:color w:val="auto"/>
                <w:kern w:val="2"/>
                <w:sz w:val="21"/>
                <w:szCs w:val="21"/>
                <w:highlight w:val="none"/>
                <w:lang w:val="en-US" w:eastAsia="zh-CN" w:bidi="ar"/>
              </w:rPr>
              <w:t>疾病身故（保险金额5000元）：在本附加合同保险期间内，被保险人因疾病身故，中标人按该被保险人的保险金额给付身故保险金5000元，本合同对该被保险人的保险责任终止。</w:t>
            </w:r>
          </w:p>
          <w:p w14:paraId="2952A4EE">
            <w:pPr>
              <w:keepNext w:val="0"/>
              <w:keepLines w:val="0"/>
              <w:widowControl/>
              <w:suppressLineNumbers w:val="0"/>
              <w:spacing w:before="0" w:beforeAutospacing="0" w:after="0" w:afterAutospacing="0" w:line="360" w:lineRule="exact"/>
              <w:ind w:left="0" w:right="0" w:firstLine="420" w:firstLineChars="200"/>
              <w:jc w:val="left"/>
              <w:rPr>
                <w:rFonts w:hint="eastAsia" w:ascii="宋体" w:hAnsi="宋体" w:eastAsia="宋体" w:cs="宋体"/>
                <w:color w:val="auto"/>
                <w:kern w:val="2"/>
                <w:sz w:val="21"/>
                <w:szCs w:val="21"/>
                <w:highlight w:val="none"/>
              </w:rPr>
            </w:pPr>
            <w:r>
              <w:rPr>
                <w:rFonts w:hint="eastAsia" w:ascii="宋体" w:hAnsi="宋体" w:cs="宋体"/>
                <w:color w:val="auto"/>
                <w:kern w:val="2"/>
                <w:sz w:val="21"/>
                <w:szCs w:val="21"/>
                <w:highlight w:val="none"/>
                <w:lang w:val="en-US" w:eastAsia="zh-CN" w:bidi="ar"/>
              </w:rPr>
              <w:t>3.</w:t>
            </w:r>
            <w:r>
              <w:rPr>
                <w:rFonts w:hint="eastAsia" w:ascii="宋体" w:hAnsi="宋体" w:eastAsia="宋体" w:cs="宋体"/>
                <w:color w:val="auto"/>
                <w:kern w:val="2"/>
                <w:sz w:val="21"/>
                <w:szCs w:val="21"/>
                <w:highlight w:val="none"/>
                <w:lang w:val="en-US" w:eastAsia="zh-CN" w:bidi="ar"/>
              </w:rPr>
              <w:t>意外伤害住院费用补偿保障责任（保险金额10000元）</w:t>
            </w:r>
          </w:p>
          <w:p w14:paraId="61E41FF9">
            <w:pPr>
              <w:keepNext w:val="0"/>
              <w:keepLines w:val="0"/>
              <w:widowControl/>
              <w:suppressLineNumbers w:val="0"/>
              <w:spacing w:before="0" w:beforeAutospacing="0" w:after="0" w:afterAutospacing="0" w:line="360" w:lineRule="exact"/>
              <w:ind w:left="0" w:right="0" w:firstLine="420" w:firstLineChars="20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在本附加合同保险期间内，被保险人遭受意外伤害在二级以上（含二级）医院或中标人认可的其他医疗机构住院诊疗，对被保险人实际支出的、符合当地社会基本医疗保险支付范围的住院医疗费用，按以下比例给付保险金：若被保险人参加公费医疗、社会医疗保险，给付比例为100%；若被保险人未参加公费医疗、社会医疗保险，免赔额为100元，给付比例为80%。被保险人多次住院的，中标人支付给被保险人的意外伤害住院费用补偿累计保险金额以10000元为限。保单期限届满被保险人治疗仍未结束的，中标人承担给付保险金责任的期限，自保单期限届满次日起至出院之日止，但最长不超过三十日；跨保单期限多次诊疗的，从保单期限后的由新的</w:t>
            </w:r>
            <w:r>
              <w:rPr>
                <w:rFonts w:hint="eastAsia" w:ascii="宋体" w:hAnsi="宋体" w:cs="宋体"/>
                <w:color w:val="auto"/>
                <w:kern w:val="2"/>
                <w:sz w:val="21"/>
                <w:szCs w:val="21"/>
                <w:highlight w:val="none"/>
                <w:lang w:val="en-US" w:eastAsia="zh-CN" w:bidi="ar"/>
              </w:rPr>
              <w:t>计划生育特殊家庭综合保险</w:t>
            </w:r>
            <w:r>
              <w:rPr>
                <w:rFonts w:hint="eastAsia" w:ascii="宋体" w:hAnsi="宋体" w:eastAsia="宋体" w:cs="宋体"/>
                <w:color w:val="auto"/>
                <w:kern w:val="2"/>
                <w:sz w:val="21"/>
                <w:szCs w:val="21"/>
                <w:highlight w:val="none"/>
                <w:lang w:val="en-US" w:eastAsia="zh-CN" w:bidi="ar"/>
              </w:rPr>
              <w:t>合同承保公司按新发生入院标准重新计算。</w:t>
            </w:r>
          </w:p>
          <w:p w14:paraId="762BE34C">
            <w:pPr>
              <w:keepNext w:val="0"/>
              <w:keepLines w:val="0"/>
              <w:widowControl/>
              <w:suppressLineNumbers w:val="0"/>
              <w:spacing w:before="0" w:beforeAutospacing="0" w:after="0" w:afterAutospacing="0" w:line="360" w:lineRule="exact"/>
              <w:ind w:left="0" w:right="0" w:firstLine="420" w:firstLineChars="200"/>
              <w:jc w:val="left"/>
              <w:rPr>
                <w:rFonts w:hint="eastAsia" w:ascii="宋体" w:hAnsi="宋体" w:eastAsia="宋体" w:cs="宋体"/>
                <w:color w:val="auto"/>
                <w:kern w:val="2"/>
                <w:sz w:val="21"/>
                <w:szCs w:val="21"/>
                <w:highlight w:val="none"/>
              </w:rPr>
            </w:pPr>
            <w:r>
              <w:rPr>
                <w:rFonts w:hint="eastAsia" w:ascii="宋体" w:hAnsi="宋体" w:cs="宋体"/>
                <w:color w:val="auto"/>
                <w:kern w:val="2"/>
                <w:sz w:val="21"/>
                <w:szCs w:val="21"/>
                <w:highlight w:val="none"/>
                <w:lang w:val="en-US" w:eastAsia="zh-CN" w:bidi="ar"/>
              </w:rPr>
              <w:t>4.</w:t>
            </w:r>
            <w:r>
              <w:rPr>
                <w:rFonts w:hint="eastAsia" w:ascii="宋体" w:hAnsi="宋体" w:eastAsia="宋体" w:cs="宋体"/>
                <w:color w:val="auto"/>
                <w:kern w:val="2"/>
                <w:sz w:val="21"/>
                <w:szCs w:val="21"/>
                <w:highlight w:val="none"/>
                <w:lang w:val="en-US" w:eastAsia="zh-CN" w:bidi="ar"/>
              </w:rPr>
              <w:t>因疾病住院治疗费用补偿（保险金额1500元）</w:t>
            </w:r>
          </w:p>
          <w:p w14:paraId="6F82DE37">
            <w:pPr>
              <w:keepNext w:val="0"/>
              <w:keepLines w:val="0"/>
              <w:widowControl/>
              <w:suppressLineNumbers w:val="0"/>
              <w:spacing w:before="0" w:beforeAutospacing="0" w:after="0" w:afterAutospacing="0" w:line="360" w:lineRule="exact"/>
              <w:ind w:left="0" w:right="0" w:firstLine="420" w:firstLineChars="20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在本附加合同保险期间内，被保险人因疾病在二级以上（含二级）医院或中标人认可的其他医疗机构住院诊疗，对被保险人实际支出的、符合当地社会基本医疗保险支付范围的住院医疗费用，按以下比例给付保险金：若被保险人参加公费医疗、社会医疗保险，免赔额为2000元，超出免赔部分给付比例为10%，单次赔付的上限为500元；若被保险人未参加公费医疗、社会医疗保险，免赔额为2000元，超出免赔部分给付比例为6％，单次赔付的上限为500元。被保险人多次住院的，中标人支付给被保险人的疾病住院费用补偿累计保险金额以1500元为限。保险期间届满被保险人治疗仍未结束的，中标人承担给付保险金责任的期限，自保险期间届满次日起至出院之日止，但最长不超过三十日；跨保单期限多次诊疗的，从保单期限后的由新的</w:t>
            </w:r>
            <w:r>
              <w:rPr>
                <w:rFonts w:hint="eastAsia" w:ascii="宋体" w:hAnsi="宋体" w:cs="宋体"/>
                <w:color w:val="auto"/>
                <w:kern w:val="2"/>
                <w:sz w:val="21"/>
                <w:szCs w:val="21"/>
                <w:highlight w:val="none"/>
                <w:lang w:val="en-US" w:eastAsia="zh-CN" w:bidi="ar"/>
              </w:rPr>
              <w:t>计划生育特殊家庭综合保险</w:t>
            </w:r>
            <w:r>
              <w:rPr>
                <w:rFonts w:hint="eastAsia" w:ascii="宋体" w:hAnsi="宋体" w:eastAsia="宋体" w:cs="宋体"/>
                <w:color w:val="auto"/>
                <w:kern w:val="2"/>
                <w:sz w:val="21"/>
                <w:szCs w:val="21"/>
                <w:highlight w:val="none"/>
                <w:lang w:val="en-US" w:eastAsia="zh-CN" w:bidi="ar"/>
              </w:rPr>
              <w:t>合同承保公司按新发生入院标准重新计算。</w:t>
            </w:r>
          </w:p>
          <w:p w14:paraId="5852233E">
            <w:pPr>
              <w:keepNext w:val="0"/>
              <w:keepLines w:val="0"/>
              <w:widowControl/>
              <w:suppressLineNumbers w:val="0"/>
              <w:spacing w:before="0" w:beforeAutospacing="0" w:after="0" w:afterAutospacing="0" w:line="360" w:lineRule="exact"/>
              <w:ind w:left="0" w:right="0" w:firstLine="420" w:firstLineChars="200"/>
              <w:jc w:val="left"/>
              <w:rPr>
                <w:rFonts w:hint="eastAsia" w:ascii="宋体" w:hAnsi="宋体" w:eastAsia="宋体" w:cs="宋体"/>
                <w:color w:val="auto"/>
                <w:kern w:val="2"/>
                <w:sz w:val="21"/>
                <w:szCs w:val="21"/>
                <w:highlight w:val="none"/>
              </w:rPr>
            </w:pPr>
            <w:r>
              <w:rPr>
                <w:rFonts w:hint="eastAsia" w:ascii="宋体" w:hAnsi="宋体" w:cs="宋体"/>
                <w:color w:val="auto"/>
                <w:kern w:val="2"/>
                <w:sz w:val="21"/>
                <w:szCs w:val="21"/>
                <w:highlight w:val="none"/>
                <w:lang w:val="en-US" w:eastAsia="zh-CN" w:bidi="ar"/>
              </w:rPr>
              <w:t>5.</w:t>
            </w:r>
            <w:r>
              <w:rPr>
                <w:rFonts w:hint="eastAsia" w:ascii="宋体" w:hAnsi="宋体" w:eastAsia="宋体" w:cs="宋体"/>
                <w:color w:val="auto"/>
                <w:kern w:val="2"/>
                <w:sz w:val="21"/>
                <w:szCs w:val="21"/>
                <w:highlight w:val="none"/>
                <w:lang w:val="en-US" w:eastAsia="zh-CN" w:bidi="ar"/>
              </w:rPr>
              <w:t>意外、疾病住院护理定额给付保障责任</w:t>
            </w:r>
          </w:p>
          <w:p w14:paraId="15B27E4A">
            <w:pPr>
              <w:keepNext w:val="0"/>
              <w:keepLines w:val="0"/>
              <w:widowControl/>
              <w:suppressLineNumbers w:val="0"/>
              <w:spacing w:before="0" w:beforeAutospacing="0" w:after="0" w:afterAutospacing="0" w:line="360" w:lineRule="exact"/>
              <w:ind w:left="0" w:right="0" w:firstLine="420" w:firstLineChars="20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在保险期间内，被保险人遭受意外伤害、因疾病在二级以上（含二级）医院或中标人认可的其他医疗机构住院诊疗，中标人按本合同约定的住院护理日定额给付金额乘以实际住院日数给付保险金，但对每次住院护理的给付日数以三十日为限。被保险人多次住院的，累计给付日数以九十日为限。保险期间届满被保险人治疗仍未结束的，中标人承担给付保险金责任的期限，自保险期间届满次日起至出院之日止，但最长不超过三十日。跨保单期限多次诊疗的，从保单期限后的由新的</w:t>
            </w:r>
            <w:r>
              <w:rPr>
                <w:rFonts w:hint="eastAsia" w:ascii="宋体" w:hAnsi="宋体" w:cs="宋体"/>
                <w:color w:val="auto"/>
                <w:kern w:val="2"/>
                <w:sz w:val="21"/>
                <w:szCs w:val="21"/>
                <w:highlight w:val="none"/>
                <w:lang w:val="en-US" w:eastAsia="zh-CN" w:bidi="ar"/>
              </w:rPr>
              <w:t>计划生育特殊家庭综合保险</w:t>
            </w:r>
            <w:r>
              <w:rPr>
                <w:rFonts w:hint="eastAsia" w:ascii="宋体" w:hAnsi="宋体" w:eastAsia="宋体" w:cs="宋体"/>
                <w:color w:val="auto"/>
                <w:kern w:val="2"/>
                <w:sz w:val="21"/>
                <w:szCs w:val="21"/>
                <w:highlight w:val="none"/>
                <w:lang w:val="en-US" w:eastAsia="zh-CN" w:bidi="ar"/>
              </w:rPr>
              <w:t>合同承保公司按新发生入院标准重新计算。按诊疗医院及护理级别理赔明细如下：</w:t>
            </w:r>
          </w:p>
          <w:p w14:paraId="3D1991DE">
            <w:pPr>
              <w:keepNext w:val="0"/>
              <w:keepLines w:val="0"/>
              <w:widowControl/>
              <w:suppressLineNumbers w:val="0"/>
              <w:spacing w:before="0" w:beforeAutospacing="0" w:after="0" w:afterAutospacing="0" w:line="360" w:lineRule="exact"/>
              <w:ind w:left="0" w:right="0" w:firstLine="420" w:firstLineChars="20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 xml:space="preserve"> </w:t>
            </w:r>
          </w:p>
          <w:tbl>
            <w:tblPr>
              <w:tblStyle w:val="39"/>
              <w:tblW w:w="0" w:type="auto"/>
              <w:tblInd w:w="-2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741"/>
              <w:gridCol w:w="1596"/>
              <w:gridCol w:w="636"/>
              <w:gridCol w:w="2694"/>
            </w:tblGrid>
            <w:tr w14:paraId="12D91E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46" w:hRule="atLeast"/>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4E9E0128">
                  <w:pPr>
                    <w:keepNext w:val="0"/>
                    <w:keepLines w:val="0"/>
                    <w:widowControl/>
                    <w:suppressLineNumbers w:val="0"/>
                    <w:spacing w:before="0" w:beforeAutospacing="0" w:after="0" w:afterAutospacing="0" w:line="360" w:lineRule="exact"/>
                    <w:ind w:left="0" w:right="0" w:firstLine="0" w:firstLineChars="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医疗机构</w:t>
                  </w:r>
                </w:p>
              </w:tc>
              <w:tc>
                <w:tcPr>
                  <w:tcW w:w="1596" w:type="dxa"/>
                  <w:tcBorders>
                    <w:top w:val="single" w:color="auto" w:sz="4" w:space="0"/>
                    <w:left w:val="single" w:color="auto" w:sz="4" w:space="0"/>
                    <w:bottom w:val="single" w:color="auto" w:sz="4" w:space="0"/>
                    <w:right w:val="single" w:color="auto" w:sz="4" w:space="0"/>
                  </w:tcBorders>
                  <w:shd w:val="clear" w:color="auto" w:fill="auto"/>
                  <w:vAlign w:val="center"/>
                </w:tcPr>
                <w:p w14:paraId="638CA25F">
                  <w:pPr>
                    <w:keepNext w:val="0"/>
                    <w:keepLines w:val="0"/>
                    <w:widowControl/>
                    <w:suppressLineNumbers w:val="0"/>
                    <w:spacing w:before="0" w:beforeAutospacing="0" w:after="0" w:afterAutospacing="0" w:line="360" w:lineRule="exact"/>
                    <w:ind w:left="0" w:right="0" w:firstLine="0" w:firstLineChars="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护理级别</w:t>
                  </w:r>
                </w:p>
              </w:tc>
              <w:tc>
                <w:tcPr>
                  <w:tcW w:w="636" w:type="dxa"/>
                  <w:tcBorders>
                    <w:top w:val="single" w:color="auto" w:sz="4" w:space="0"/>
                    <w:left w:val="single" w:color="auto" w:sz="4" w:space="0"/>
                    <w:bottom w:val="single" w:color="auto" w:sz="4" w:space="0"/>
                    <w:right w:val="single" w:color="auto" w:sz="4" w:space="0"/>
                  </w:tcBorders>
                  <w:shd w:val="clear" w:color="auto" w:fill="auto"/>
                  <w:vAlign w:val="center"/>
                </w:tcPr>
                <w:p w14:paraId="227D404D">
                  <w:pPr>
                    <w:keepNext w:val="0"/>
                    <w:keepLines w:val="0"/>
                    <w:widowControl/>
                    <w:suppressLineNumbers w:val="0"/>
                    <w:spacing w:before="0" w:beforeAutospacing="0" w:after="0" w:afterAutospacing="0" w:line="360" w:lineRule="exact"/>
                    <w:ind w:left="0" w:right="0" w:firstLine="0" w:firstLineChars="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给付金额</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532B0633">
                  <w:pPr>
                    <w:keepNext w:val="0"/>
                    <w:keepLines w:val="0"/>
                    <w:widowControl/>
                    <w:suppressLineNumbers w:val="0"/>
                    <w:spacing w:before="0" w:beforeAutospacing="0" w:after="0" w:afterAutospacing="0" w:line="360" w:lineRule="exact"/>
                    <w:ind w:left="0" w:right="0" w:firstLine="420" w:firstLineChars="20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给付期限</w:t>
                  </w:r>
                </w:p>
              </w:tc>
            </w:tr>
            <w:tr w14:paraId="26A6D7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65" w:hRule="atLeast"/>
              </w:trPr>
              <w:tc>
                <w:tcPr>
                  <w:tcW w:w="0" w:type="auto"/>
                  <w:vMerge w:val="restart"/>
                  <w:tcBorders>
                    <w:top w:val="nil"/>
                    <w:left w:val="single" w:color="auto" w:sz="4" w:space="0"/>
                    <w:bottom w:val="single" w:color="auto" w:sz="4" w:space="0"/>
                    <w:right w:val="single" w:color="auto" w:sz="4" w:space="0"/>
                  </w:tcBorders>
                  <w:shd w:val="clear" w:color="auto" w:fill="auto"/>
                  <w:vAlign w:val="center"/>
                </w:tcPr>
                <w:p w14:paraId="5AF55F35">
                  <w:pPr>
                    <w:keepNext w:val="0"/>
                    <w:keepLines w:val="0"/>
                    <w:widowControl/>
                    <w:suppressLineNumbers w:val="0"/>
                    <w:spacing w:before="0" w:beforeAutospacing="0" w:after="0" w:afterAutospacing="0" w:line="360" w:lineRule="exact"/>
                    <w:ind w:left="0" w:right="0" w:firstLine="0" w:firstLineChars="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三级、二级医院</w:t>
                  </w:r>
                </w:p>
              </w:tc>
              <w:tc>
                <w:tcPr>
                  <w:tcW w:w="1596" w:type="dxa"/>
                  <w:tcBorders>
                    <w:top w:val="single" w:color="auto" w:sz="4" w:space="0"/>
                    <w:left w:val="single" w:color="auto" w:sz="4" w:space="0"/>
                    <w:bottom w:val="single" w:color="auto" w:sz="4" w:space="0"/>
                    <w:right w:val="single" w:color="auto" w:sz="4" w:space="0"/>
                  </w:tcBorders>
                  <w:shd w:val="clear" w:color="auto" w:fill="auto"/>
                  <w:vAlign w:val="center"/>
                </w:tcPr>
                <w:p w14:paraId="47741491">
                  <w:pPr>
                    <w:keepNext w:val="0"/>
                    <w:keepLines w:val="0"/>
                    <w:widowControl/>
                    <w:suppressLineNumbers w:val="0"/>
                    <w:spacing w:before="0" w:beforeAutospacing="0" w:after="0" w:afterAutospacing="0" w:line="360" w:lineRule="exact"/>
                    <w:ind w:left="0" w:right="0" w:firstLine="210" w:firstLineChars="100"/>
                    <w:jc w:val="left"/>
                    <w:rPr>
                      <w:rFonts w:hint="default" w:ascii="宋体" w:hAnsi="宋体" w:eastAsia="宋体" w:cs="宋体"/>
                      <w:color w:val="auto"/>
                      <w:kern w:val="2"/>
                      <w:sz w:val="21"/>
                      <w:szCs w:val="21"/>
                      <w:highlight w:val="none"/>
                      <w:lang w:val="en-US"/>
                    </w:rPr>
                  </w:pPr>
                  <w:r>
                    <w:rPr>
                      <w:rFonts w:hint="eastAsia" w:ascii="宋体" w:hAnsi="宋体" w:eastAsia="宋体" w:cs="宋体"/>
                      <w:color w:val="auto"/>
                      <w:kern w:val="2"/>
                      <w:sz w:val="21"/>
                      <w:szCs w:val="21"/>
                      <w:highlight w:val="none"/>
                      <w:lang w:val="en-US" w:eastAsia="zh-CN" w:bidi="ar"/>
                    </w:rPr>
                    <w:t>特级护理</w:t>
                  </w:r>
                  <w:r>
                    <w:rPr>
                      <w:rFonts w:hint="eastAsia" w:ascii="宋体" w:hAnsi="宋体" w:cs="宋体"/>
                      <w:color w:val="auto"/>
                      <w:kern w:val="2"/>
                      <w:sz w:val="21"/>
                      <w:szCs w:val="21"/>
                      <w:highlight w:val="none"/>
                      <w:vertAlign w:val="superscript"/>
                      <w:lang w:val="en-US" w:eastAsia="zh-CN" w:bidi="ar"/>
                    </w:rPr>
                    <w:t>①</w:t>
                  </w:r>
                </w:p>
              </w:tc>
              <w:tc>
                <w:tcPr>
                  <w:tcW w:w="636" w:type="dxa"/>
                  <w:tcBorders>
                    <w:top w:val="single" w:color="auto" w:sz="4" w:space="0"/>
                    <w:left w:val="single" w:color="auto" w:sz="4" w:space="0"/>
                    <w:bottom w:val="single" w:color="auto" w:sz="4" w:space="0"/>
                    <w:right w:val="single" w:color="auto" w:sz="4" w:space="0"/>
                  </w:tcBorders>
                  <w:shd w:val="clear" w:color="auto" w:fill="auto"/>
                  <w:vAlign w:val="center"/>
                </w:tcPr>
                <w:p w14:paraId="1221BF10">
                  <w:pPr>
                    <w:keepNext w:val="0"/>
                    <w:keepLines w:val="0"/>
                    <w:widowControl/>
                    <w:suppressLineNumbers w:val="0"/>
                    <w:spacing w:before="0" w:beforeAutospacing="0" w:after="0" w:afterAutospacing="0" w:line="360" w:lineRule="exact"/>
                    <w:ind w:left="0" w:right="0" w:firstLine="0" w:firstLineChars="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190元/天</w:t>
                  </w:r>
                </w:p>
              </w:tc>
              <w:tc>
                <w:tcPr>
                  <w:tcW w:w="0" w:type="auto"/>
                  <w:vMerge w:val="restart"/>
                  <w:tcBorders>
                    <w:top w:val="nil"/>
                    <w:left w:val="single" w:color="auto" w:sz="4" w:space="0"/>
                    <w:bottom w:val="single" w:color="auto" w:sz="4" w:space="0"/>
                    <w:right w:val="single" w:color="auto" w:sz="4" w:space="0"/>
                  </w:tcBorders>
                  <w:shd w:val="clear" w:color="auto" w:fill="auto"/>
                  <w:vAlign w:val="center"/>
                </w:tcPr>
                <w:p w14:paraId="46DDB80A">
                  <w:pPr>
                    <w:keepNext w:val="0"/>
                    <w:keepLines w:val="0"/>
                    <w:widowControl/>
                    <w:suppressLineNumbers w:val="0"/>
                    <w:spacing w:before="0" w:beforeAutospacing="0" w:after="0" w:afterAutospacing="0" w:line="360" w:lineRule="exact"/>
                    <w:ind w:left="0" w:right="0" w:firstLine="420" w:firstLineChars="200"/>
                    <w:jc w:val="left"/>
                    <w:rPr>
                      <w:rFonts w:hint="eastAsia" w:ascii="宋体" w:hAnsi="宋体" w:eastAsia="宋体" w:cs="宋体"/>
                      <w:color w:val="auto"/>
                      <w:kern w:val="2"/>
                      <w:sz w:val="21"/>
                      <w:szCs w:val="21"/>
                      <w:highlight w:val="none"/>
                      <w:lang w:val="en-US" w:eastAsia="zh-CN" w:bidi="ar"/>
                    </w:rPr>
                  </w:pPr>
                  <w:r>
                    <w:rPr>
                      <w:rFonts w:hint="eastAsia" w:ascii="宋体" w:hAnsi="宋体" w:eastAsia="宋体" w:cs="宋体"/>
                      <w:color w:val="auto"/>
                      <w:kern w:val="2"/>
                      <w:sz w:val="21"/>
                      <w:szCs w:val="21"/>
                      <w:highlight w:val="none"/>
                      <w:lang w:val="en-US" w:eastAsia="zh-CN" w:bidi="ar"/>
                    </w:rPr>
                    <w:t>每次住院护理的给付日数以三十日为限。被保险人多次住院的，累计给付日数以九十日为限。</w:t>
                  </w:r>
                </w:p>
                <w:p w14:paraId="14231F38">
                  <w:pPr>
                    <w:keepNext w:val="0"/>
                    <w:keepLines w:val="0"/>
                    <w:widowControl/>
                    <w:suppressLineNumbers w:val="0"/>
                    <w:spacing w:before="0" w:beforeAutospacing="0" w:after="0" w:afterAutospacing="0" w:line="360" w:lineRule="exact"/>
                    <w:ind w:left="0" w:right="0" w:firstLine="420" w:firstLineChars="200"/>
                    <w:jc w:val="left"/>
                    <w:rPr>
                      <w:rFonts w:hint="eastAsia" w:ascii="宋体" w:hAnsi="宋体" w:eastAsia="汉仪书宋二S" w:cs="宋体"/>
                      <w:color w:val="auto"/>
                      <w:kern w:val="2"/>
                      <w:sz w:val="21"/>
                      <w:szCs w:val="21"/>
                      <w:highlight w:val="none"/>
                      <w:lang w:val="en-US" w:eastAsia="zh-CN"/>
                    </w:rPr>
                  </w:pPr>
                  <w:r>
                    <w:rPr>
                      <w:rFonts w:hint="eastAsia" w:ascii="宋体" w:hAnsi="宋体" w:cs="宋体"/>
                      <w:color w:val="auto"/>
                      <w:kern w:val="2"/>
                      <w:sz w:val="21"/>
                      <w:szCs w:val="21"/>
                      <w:highlight w:val="none"/>
                      <w:lang w:val="en-US" w:eastAsia="zh-CN" w:bidi="ar"/>
                    </w:rPr>
                    <w:t>注:</w:t>
                  </w:r>
                  <w:r>
                    <w:rPr>
                      <w:rFonts w:hint="eastAsia" w:ascii="汉仪书宋二S" w:hAnsi="汉仪书宋二S" w:eastAsia="汉仪书宋二S" w:cs="汉仪书宋二S"/>
                      <w:color w:val="auto"/>
                      <w:kern w:val="2"/>
                      <w:sz w:val="21"/>
                      <w:szCs w:val="21"/>
                      <w:highlight w:val="none"/>
                      <w:vertAlign w:val="superscript"/>
                      <w:lang w:val="en-US" w:eastAsia="zh-CN" w:bidi="ar"/>
                    </w:rPr>
                    <w:t>①②③</w:t>
                  </w:r>
                  <w:r>
                    <w:rPr>
                      <w:rFonts w:hint="eastAsia" w:ascii="汉仪书宋二S" w:hAnsi="汉仪书宋二S" w:eastAsia="汉仪书宋二S" w:cs="汉仪书宋二S"/>
                      <w:color w:val="auto"/>
                      <w:kern w:val="2"/>
                      <w:sz w:val="21"/>
                      <w:szCs w:val="21"/>
                      <w:highlight w:val="none"/>
                      <w:lang w:val="en-US" w:eastAsia="zh-CN" w:bidi="ar"/>
                    </w:rPr>
                    <w:t>项分档计分，每项报价加价幅度大于30元</w:t>
                  </w:r>
                  <w:r>
                    <w:rPr>
                      <w:rFonts w:hint="eastAsia" w:ascii="宋体" w:hAnsi="宋体" w:eastAsia="宋体" w:cs="宋体"/>
                      <w:color w:val="auto"/>
                      <w:kern w:val="2"/>
                      <w:sz w:val="21"/>
                      <w:szCs w:val="21"/>
                      <w:highlight w:val="none"/>
                      <w:lang w:val="en-US" w:eastAsia="zh-CN" w:bidi="ar"/>
                    </w:rPr>
                    <w:t>/</w:t>
                  </w:r>
                  <w:r>
                    <w:rPr>
                      <w:rFonts w:hint="eastAsia" w:ascii="汉仪书宋二S" w:hAnsi="汉仪书宋二S" w:eastAsia="汉仪书宋二S" w:cs="汉仪书宋二S"/>
                      <w:color w:val="auto"/>
                      <w:kern w:val="2"/>
                      <w:sz w:val="21"/>
                      <w:szCs w:val="21"/>
                      <w:highlight w:val="none"/>
                      <w:lang w:val="en-US" w:eastAsia="zh-CN" w:bidi="ar"/>
                    </w:rPr>
                    <w:t>天部分，不另外增加给分，具体详见</w:t>
                  </w:r>
                  <w:r>
                    <w:rPr>
                      <w:rFonts w:hint="eastAsia" w:ascii="汉仪书宋二S" w:hAnsi="汉仪书宋二S" w:eastAsia="汉仪书宋二S" w:cs="汉仪书宋二S"/>
                      <w:color w:val="auto"/>
                      <w:szCs w:val="21"/>
                      <w:highlight w:val="none"/>
                      <w:lang w:bidi="ar"/>
                    </w:rPr>
                    <w:t>评分标准（综合评分法）</w:t>
                  </w:r>
                  <w:r>
                    <w:rPr>
                      <w:rFonts w:hint="eastAsia" w:ascii="汉仪书宋二S" w:hAnsi="汉仪书宋二S" w:eastAsia="汉仪书宋二S" w:cs="汉仪书宋二S"/>
                      <w:color w:val="auto"/>
                      <w:szCs w:val="21"/>
                      <w:highlight w:val="none"/>
                      <w:lang w:eastAsia="zh-CN" w:bidi="ar"/>
                    </w:rPr>
                    <w:t>，</w:t>
                  </w:r>
                  <w:r>
                    <w:rPr>
                      <w:rFonts w:hint="eastAsia" w:ascii="宋体" w:hAnsi="宋体" w:eastAsia="宋体" w:cs="宋体"/>
                      <w:color w:val="auto"/>
                      <w:kern w:val="2"/>
                      <w:sz w:val="21"/>
                      <w:szCs w:val="21"/>
                      <w:highlight w:val="none"/>
                      <w:lang w:val="en-US" w:eastAsia="zh-CN" w:bidi="ar"/>
                    </w:rPr>
                    <w:t>三级医院的三级护理</w:t>
                  </w:r>
                  <w:r>
                    <w:rPr>
                      <w:rFonts w:hint="eastAsia" w:ascii="宋体" w:hAnsi="宋体" w:cs="宋体"/>
                      <w:color w:val="auto"/>
                      <w:kern w:val="2"/>
                      <w:sz w:val="21"/>
                      <w:szCs w:val="21"/>
                      <w:highlight w:val="none"/>
                      <w:lang w:val="en-US" w:eastAsia="zh-CN" w:bidi="ar"/>
                    </w:rPr>
                    <w:t>不能缺项，否则投标无效</w:t>
                  </w:r>
                  <w:r>
                    <w:rPr>
                      <w:rFonts w:hint="eastAsia" w:ascii="汉仪书宋二S" w:hAnsi="汉仪书宋二S" w:eastAsia="汉仪书宋二S" w:cs="汉仪书宋二S"/>
                      <w:color w:val="auto"/>
                      <w:szCs w:val="21"/>
                      <w:highlight w:val="none"/>
                      <w:lang w:eastAsia="zh-CN" w:bidi="ar"/>
                    </w:rPr>
                    <w:t>。</w:t>
                  </w:r>
                </w:p>
              </w:tc>
            </w:tr>
            <w:tr w14:paraId="010CCE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283" w:hRule="atLeast"/>
              </w:trPr>
              <w:tc>
                <w:tcPr>
                  <w:tcW w:w="0" w:type="auto"/>
                  <w:vMerge w:val="continue"/>
                  <w:tcBorders>
                    <w:top w:val="nil"/>
                    <w:left w:val="single" w:color="auto" w:sz="4" w:space="0"/>
                    <w:bottom w:val="single" w:color="auto" w:sz="4" w:space="0"/>
                    <w:right w:val="single" w:color="auto" w:sz="4" w:space="0"/>
                  </w:tcBorders>
                  <w:shd w:val="clear" w:color="auto" w:fill="auto"/>
                  <w:vAlign w:val="center"/>
                </w:tcPr>
                <w:p w14:paraId="561B5178">
                  <w:pPr>
                    <w:keepNext w:val="0"/>
                    <w:keepLines w:val="0"/>
                    <w:suppressLineNumbers w:val="0"/>
                    <w:spacing w:before="0" w:beforeAutospacing="0" w:after="0" w:afterAutospacing="0" w:line="360" w:lineRule="exact"/>
                    <w:ind w:left="0" w:right="0" w:firstLine="420" w:firstLineChars="200"/>
                    <w:rPr>
                      <w:rFonts w:hint="eastAsia" w:ascii="宋体" w:hAnsi="宋体" w:eastAsia="宋体" w:cs="宋体"/>
                      <w:color w:val="auto"/>
                      <w:sz w:val="21"/>
                      <w:szCs w:val="21"/>
                      <w:highlight w:val="none"/>
                    </w:rPr>
                  </w:pPr>
                </w:p>
              </w:tc>
              <w:tc>
                <w:tcPr>
                  <w:tcW w:w="1596" w:type="dxa"/>
                  <w:tcBorders>
                    <w:top w:val="single" w:color="auto" w:sz="4" w:space="0"/>
                    <w:left w:val="single" w:color="auto" w:sz="4" w:space="0"/>
                    <w:bottom w:val="single" w:color="auto" w:sz="4" w:space="0"/>
                    <w:right w:val="single" w:color="auto" w:sz="4" w:space="0"/>
                  </w:tcBorders>
                  <w:shd w:val="clear" w:color="auto" w:fill="auto"/>
                  <w:vAlign w:val="center"/>
                </w:tcPr>
                <w:p w14:paraId="32628C61">
                  <w:pPr>
                    <w:keepNext w:val="0"/>
                    <w:keepLines w:val="0"/>
                    <w:widowControl/>
                    <w:suppressLineNumbers w:val="0"/>
                    <w:spacing w:before="0" w:beforeAutospacing="0" w:after="0" w:afterAutospacing="0" w:line="360" w:lineRule="exact"/>
                    <w:ind w:left="0" w:right="0" w:firstLine="210" w:firstLineChars="10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一级、二级护理</w:t>
                  </w:r>
                  <w:r>
                    <w:rPr>
                      <w:rFonts w:hint="eastAsia" w:ascii="汉仪书宋二S" w:hAnsi="汉仪书宋二S" w:eastAsia="汉仪书宋二S" w:cs="汉仪书宋二S"/>
                      <w:color w:val="auto"/>
                      <w:kern w:val="2"/>
                      <w:sz w:val="21"/>
                      <w:szCs w:val="21"/>
                      <w:highlight w:val="none"/>
                      <w:vertAlign w:val="superscript"/>
                      <w:lang w:val="en-US" w:eastAsia="zh-CN" w:bidi="ar"/>
                    </w:rPr>
                    <w:t>②</w:t>
                  </w:r>
                </w:p>
              </w:tc>
              <w:tc>
                <w:tcPr>
                  <w:tcW w:w="636" w:type="dxa"/>
                  <w:tcBorders>
                    <w:top w:val="single" w:color="auto" w:sz="4" w:space="0"/>
                    <w:left w:val="single" w:color="auto" w:sz="4" w:space="0"/>
                    <w:bottom w:val="single" w:color="auto" w:sz="4" w:space="0"/>
                    <w:right w:val="single" w:color="auto" w:sz="4" w:space="0"/>
                  </w:tcBorders>
                  <w:shd w:val="clear" w:color="auto" w:fill="auto"/>
                  <w:vAlign w:val="center"/>
                </w:tcPr>
                <w:p w14:paraId="7395BA1B">
                  <w:pPr>
                    <w:keepNext w:val="0"/>
                    <w:keepLines w:val="0"/>
                    <w:widowControl/>
                    <w:suppressLineNumbers w:val="0"/>
                    <w:spacing w:before="0" w:beforeAutospacing="0" w:after="0" w:afterAutospacing="0" w:line="360" w:lineRule="exact"/>
                    <w:ind w:left="0" w:right="0" w:firstLine="0" w:firstLineChars="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150元/天</w:t>
                  </w:r>
                </w:p>
              </w:tc>
              <w:tc>
                <w:tcPr>
                  <w:tcW w:w="0" w:type="auto"/>
                  <w:vMerge w:val="continue"/>
                  <w:tcBorders>
                    <w:top w:val="nil"/>
                    <w:left w:val="single" w:color="auto" w:sz="4" w:space="0"/>
                    <w:bottom w:val="single" w:color="auto" w:sz="4" w:space="0"/>
                    <w:right w:val="single" w:color="auto" w:sz="4" w:space="0"/>
                  </w:tcBorders>
                  <w:shd w:val="clear" w:color="auto" w:fill="auto"/>
                  <w:vAlign w:val="center"/>
                </w:tcPr>
                <w:p w14:paraId="05C50957">
                  <w:pPr>
                    <w:keepNext w:val="0"/>
                    <w:keepLines w:val="0"/>
                    <w:suppressLineNumbers w:val="0"/>
                    <w:spacing w:before="0" w:beforeAutospacing="0" w:after="0" w:afterAutospacing="0" w:line="360" w:lineRule="exact"/>
                    <w:ind w:left="0" w:right="0" w:firstLine="420" w:firstLineChars="200"/>
                    <w:rPr>
                      <w:rFonts w:hint="eastAsia" w:ascii="宋体" w:hAnsi="宋体" w:eastAsia="宋体" w:cs="宋体"/>
                      <w:color w:val="auto"/>
                      <w:sz w:val="21"/>
                      <w:szCs w:val="21"/>
                      <w:highlight w:val="none"/>
                    </w:rPr>
                  </w:pPr>
                </w:p>
              </w:tc>
            </w:tr>
            <w:tr w14:paraId="3369C4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65" w:hRule="atLeast"/>
              </w:trPr>
              <w:tc>
                <w:tcPr>
                  <w:tcW w:w="0" w:type="auto"/>
                  <w:vMerge w:val="restart"/>
                  <w:tcBorders>
                    <w:top w:val="nil"/>
                    <w:left w:val="single" w:color="auto" w:sz="4" w:space="0"/>
                    <w:bottom w:val="single" w:color="auto" w:sz="4" w:space="0"/>
                    <w:right w:val="single" w:color="auto" w:sz="4" w:space="0"/>
                  </w:tcBorders>
                  <w:shd w:val="clear" w:color="auto" w:fill="auto"/>
                  <w:vAlign w:val="center"/>
                </w:tcPr>
                <w:p w14:paraId="21A835EA">
                  <w:pPr>
                    <w:keepNext w:val="0"/>
                    <w:keepLines w:val="0"/>
                    <w:widowControl/>
                    <w:suppressLineNumbers w:val="0"/>
                    <w:spacing w:before="0" w:beforeAutospacing="0" w:after="0" w:afterAutospacing="0" w:line="360" w:lineRule="exact"/>
                    <w:ind w:left="0" w:right="0" w:firstLine="0" w:firstLineChars="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三级、二级医院</w:t>
                  </w:r>
                </w:p>
              </w:tc>
              <w:tc>
                <w:tcPr>
                  <w:tcW w:w="1596" w:type="dxa"/>
                  <w:tcBorders>
                    <w:top w:val="single" w:color="auto" w:sz="4" w:space="0"/>
                    <w:left w:val="single" w:color="auto" w:sz="4" w:space="0"/>
                    <w:bottom w:val="single" w:color="auto" w:sz="4" w:space="0"/>
                    <w:right w:val="single" w:color="auto" w:sz="4" w:space="0"/>
                  </w:tcBorders>
                  <w:shd w:val="clear" w:color="auto" w:fill="auto"/>
                  <w:vAlign w:val="center"/>
                </w:tcPr>
                <w:p w14:paraId="209E36EB">
                  <w:pPr>
                    <w:keepNext w:val="0"/>
                    <w:keepLines w:val="0"/>
                    <w:widowControl/>
                    <w:suppressLineNumbers w:val="0"/>
                    <w:spacing w:before="0" w:beforeAutospacing="0" w:after="0" w:afterAutospacing="0" w:line="360" w:lineRule="exact"/>
                    <w:ind w:left="0" w:right="0" w:firstLine="0" w:firstLineChars="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三级医院的三级护理</w:t>
                  </w:r>
                </w:p>
              </w:tc>
              <w:tc>
                <w:tcPr>
                  <w:tcW w:w="636" w:type="dxa"/>
                  <w:tcBorders>
                    <w:top w:val="single" w:color="auto" w:sz="4" w:space="0"/>
                    <w:left w:val="single" w:color="auto" w:sz="4" w:space="0"/>
                    <w:bottom w:val="single" w:color="auto" w:sz="4" w:space="0"/>
                    <w:right w:val="single" w:color="auto" w:sz="4" w:space="0"/>
                  </w:tcBorders>
                  <w:shd w:val="clear" w:color="auto" w:fill="auto"/>
                  <w:vAlign w:val="center"/>
                </w:tcPr>
                <w:p w14:paraId="0665A068">
                  <w:pPr>
                    <w:keepNext w:val="0"/>
                    <w:keepLines w:val="0"/>
                    <w:widowControl/>
                    <w:suppressLineNumbers w:val="0"/>
                    <w:spacing w:before="0" w:beforeAutospacing="0" w:after="0" w:afterAutospacing="0" w:line="360" w:lineRule="exact"/>
                    <w:ind w:left="0" w:right="0" w:firstLine="0" w:firstLineChars="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50元/天</w:t>
                  </w:r>
                </w:p>
              </w:tc>
              <w:tc>
                <w:tcPr>
                  <w:tcW w:w="0" w:type="auto"/>
                  <w:vMerge w:val="continue"/>
                  <w:tcBorders>
                    <w:top w:val="nil"/>
                    <w:left w:val="single" w:color="auto" w:sz="4" w:space="0"/>
                    <w:bottom w:val="single" w:color="auto" w:sz="4" w:space="0"/>
                    <w:right w:val="single" w:color="auto" w:sz="4" w:space="0"/>
                  </w:tcBorders>
                  <w:shd w:val="clear" w:color="auto" w:fill="auto"/>
                  <w:vAlign w:val="center"/>
                </w:tcPr>
                <w:p w14:paraId="239A392E">
                  <w:pPr>
                    <w:keepNext w:val="0"/>
                    <w:keepLines w:val="0"/>
                    <w:suppressLineNumbers w:val="0"/>
                    <w:spacing w:before="0" w:beforeAutospacing="0" w:after="0" w:afterAutospacing="0" w:line="360" w:lineRule="exact"/>
                    <w:ind w:left="0" w:right="0" w:firstLine="420" w:firstLineChars="200"/>
                    <w:rPr>
                      <w:rFonts w:hint="eastAsia" w:ascii="宋体" w:hAnsi="宋体" w:eastAsia="宋体" w:cs="宋体"/>
                      <w:color w:val="auto"/>
                      <w:sz w:val="21"/>
                      <w:szCs w:val="21"/>
                      <w:highlight w:val="none"/>
                    </w:rPr>
                  </w:pPr>
                </w:p>
              </w:tc>
            </w:tr>
            <w:tr w14:paraId="31221C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70" w:hRule="atLeast"/>
              </w:trPr>
              <w:tc>
                <w:tcPr>
                  <w:tcW w:w="0" w:type="auto"/>
                  <w:vMerge w:val="continue"/>
                  <w:tcBorders>
                    <w:top w:val="nil"/>
                    <w:left w:val="single" w:color="auto" w:sz="4" w:space="0"/>
                    <w:bottom w:val="single" w:color="auto" w:sz="4" w:space="0"/>
                    <w:right w:val="single" w:color="auto" w:sz="4" w:space="0"/>
                  </w:tcBorders>
                  <w:shd w:val="clear" w:color="auto" w:fill="auto"/>
                  <w:vAlign w:val="center"/>
                </w:tcPr>
                <w:p w14:paraId="2EBC1BBD">
                  <w:pPr>
                    <w:keepNext w:val="0"/>
                    <w:keepLines w:val="0"/>
                    <w:suppressLineNumbers w:val="0"/>
                    <w:spacing w:before="0" w:beforeAutospacing="0" w:after="0" w:afterAutospacing="0" w:line="360" w:lineRule="exact"/>
                    <w:ind w:left="0" w:right="0" w:firstLine="420" w:firstLineChars="200"/>
                    <w:rPr>
                      <w:rFonts w:hint="eastAsia" w:ascii="宋体" w:hAnsi="宋体" w:eastAsia="宋体" w:cs="宋体"/>
                      <w:color w:val="auto"/>
                      <w:sz w:val="21"/>
                      <w:szCs w:val="21"/>
                      <w:highlight w:val="none"/>
                    </w:rPr>
                  </w:pPr>
                </w:p>
              </w:tc>
              <w:tc>
                <w:tcPr>
                  <w:tcW w:w="1596" w:type="dxa"/>
                  <w:tcBorders>
                    <w:top w:val="single" w:color="auto" w:sz="4" w:space="0"/>
                    <w:left w:val="single" w:color="auto" w:sz="4" w:space="0"/>
                    <w:bottom w:val="single" w:color="auto" w:sz="4" w:space="0"/>
                    <w:right w:val="single" w:color="auto" w:sz="4" w:space="0"/>
                  </w:tcBorders>
                  <w:shd w:val="clear" w:color="auto" w:fill="auto"/>
                  <w:vAlign w:val="center"/>
                </w:tcPr>
                <w:p w14:paraId="0642EF03">
                  <w:pPr>
                    <w:keepNext w:val="0"/>
                    <w:keepLines w:val="0"/>
                    <w:widowControl/>
                    <w:suppressLineNumbers w:val="0"/>
                    <w:spacing w:before="0" w:beforeAutospacing="0" w:after="0" w:afterAutospacing="0" w:line="360" w:lineRule="exact"/>
                    <w:ind w:left="0" w:right="0" w:firstLine="0" w:firstLineChars="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二级医院三级护理</w:t>
                  </w:r>
                  <w:r>
                    <w:rPr>
                      <w:rFonts w:hint="eastAsia" w:ascii="汉仪书宋二S" w:hAnsi="汉仪书宋二S" w:eastAsia="汉仪书宋二S" w:cs="汉仪书宋二S"/>
                      <w:color w:val="auto"/>
                      <w:kern w:val="2"/>
                      <w:sz w:val="21"/>
                      <w:szCs w:val="21"/>
                      <w:highlight w:val="none"/>
                      <w:vertAlign w:val="superscript"/>
                      <w:lang w:val="en-US" w:eastAsia="zh-CN" w:bidi="ar"/>
                    </w:rPr>
                    <w:t>③</w:t>
                  </w:r>
                </w:p>
              </w:tc>
              <w:tc>
                <w:tcPr>
                  <w:tcW w:w="636" w:type="dxa"/>
                  <w:tcBorders>
                    <w:top w:val="single" w:color="auto" w:sz="4" w:space="0"/>
                    <w:left w:val="single" w:color="auto" w:sz="4" w:space="0"/>
                    <w:bottom w:val="single" w:color="auto" w:sz="4" w:space="0"/>
                    <w:right w:val="single" w:color="auto" w:sz="4" w:space="0"/>
                  </w:tcBorders>
                  <w:shd w:val="clear" w:color="auto" w:fill="auto"/>
                  <w:vAlign w:val="center"/>
                </w:tcPr>
                <w:p w14:paraId="07A8E330">
                  <w:pPr>
                    <w:keepNext w:val="0"/>
                    <w:keepLines w:val="0"/>
                    <w:widowControl/>
                    <w:suppressLineNumbers w:val="0"/>
                    <w:spacing w:before="0" w:beforeAutospacing="0" w:after="0" w:afterAutospacing="0" w:line="360" w:lineRule="exact"/>
                    <w:ind w:left="0" w:right="0" w:firstLine="0" w:firstLineChars="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50元/天</w:t>
                  </w:r>
                </w:p>
              </w:tc>
              <w:tc>
                <w:tcPr>
                  <w:tcW w:w="0" w:type="auto"/>
                  <w:vMerge w:val="continue"/>
                  <w:tcBorders>
                    <w:top w:val="nil"/>
                    <w:left w:val="single" w:color="auto" w:sz="4" w:space="0"/>
                    <w:bottom w:val="single" w:color="auto" w:sz="4" w:space="0"/>
                    <w:right w:val="single" w:color="auto" w:sz="4" w:space="0"/>
                  </w:tcBorders>
                  <w:shd w:val="clear" w:color="auto" w:fill="auto"/>
                  <w:vAlign w:val="center"/>
                </w:tcPr>
                <w:p w14:paraId="213C1765">
                  <w:pPr>
                    <w:keepNext w:val="0"/>
                    <w:keepLines w:val="0"/>
                    <w:suppressLineNumbers w:val="0"/>
                    <w:spacing w:before="0" w:beforeAutospacing="0" w:after="0" w:afterAutospacing="0" w:line="360" w:lineRule="exact"/>
                    <w:ind w:left="0" w:right="0" w:firstLine="420" w:firstLineChars="200"/>
                    <w:rPr>
                      <w:rFonts w:hint="eastAsia" w:ascii="宋体" w:hAnsi="宋体" w:eastAsia="宋体" w:cs="宋体"/>
                      <w:color w:val="auto"/>
                      <w:sz w:val="21"/>
                      <w:szCs w:val="21"/>
                      <w:highlight w:val="none"/>
                    </w:rPr>
                  </w:pPr>
                </w:p>
              </w:tc>
            </w:tr>
            <w:tr w14:paraId="69AA8C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65" w:hRule="atLeast"/>
              </w:trPr>
              <w:tc>
                <w:tcPr>
                  <w:tcW w:w="0" w:type="auto"/>
                  <w:vMerge w:val="restart"/>
                  <w:tcBorders>
                    <w:top w:val="nil"/>
                    <w:left w:val="single" w:color="auto" w:sz="4" w:space="0"/>
                    <w:bottom w:val="single" w:color="auto" w:sz="4" w:space="0"/>
                    <w:right w:val="single" w:color="auto" w:sz="4" w:space="0"/>
                  </w:tcBorders>
                  <w:shd w:val="clear" w:color="auto" w:fill="auto"/>
                  <w:vAlign w:val="center"/>
                </w:tcPr>
                <w:p w14:paraId="6EA4BCEB">
                  <w:pPr>
                    <w:keepNext w:val="0"/>
                    <w:keepLines w:val="0"/>
                    <w:widowControl/>
                    <w:suppressLineNumbers w:val="0"/>
                    <w:spacing w:before="0" w:beforeAutospacing="0" w:after="0" w:afterAutospacing="0" w:line="360" w:lineRule="exact"/>
                    <w:ind w:left="0" w:right="0" w:firstLine="0" w:firstLineChars="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北上广深就医</w:t>
                  </w:r>
                </w:p>
              </w:tc>
              <w:tc>
                <w:tcPr>
                  <w:tcW w:w="1596" w:type="dxa"/>
                  <w:tcBorders>
                    <w:top w:val="single" w:color="auto" w:sz="4" w:space="0"/>
                    <w:left w:val="single" w:color="auto" w:sz="4" w:space="0"/>
                    <w:bottom w:val="single" w:color="auto" w:sz="4" w:space="0"/>
                    <w:right w:val="single" w:color="auto" w:sz="4" w:space="0"/>
                  </w:tcBorders>
                  <w:shd w:val="clear" w:color="auto" w:fill="auto"/>
                  <w:vAlign w:val="center"/>
                </w:tcPr>
                <w:p w14:paraId="5890A345">
                  <w:pPr>
                    <w:keepNext w:val="0"/>
                    <w:keepLines w:val="0"/>
                    <w:widowControl/>
                    <w:suppressLineNumbers w:val="0"/>
                    <w:spacing w:before="0" w:beforeAutospacing="0" w:after="0" w:afterAutospacing="0" w:line="360" w:lineRule="exact"/>
                    <w:ind w:left="0" w:right="0" w:firstLine="0" w:firstLineChars="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特级、一级、二级护理</w:t>
                  </w:r>
                </w:p>
              </w:tc>
              <w:tc>
                <w:tcPr>
                  <w:tcW w:w="636" w:type="dxa"/>
                  <w:tcBorders>
                    <w:top w:val="single" w:color="auto" w:sz="4" w:space="0"/>
                    <w:left w:val="single" w:color="auto" w:sz="4" w:space="0"/>
                    <w:bottom w:val="single" w:color="auto" w:sz="4" w:space="0"/>
                    <w:right w:val="single" w:color="auto" w:sz="4" w:space="0"/>
                  </w:tcBorders>
                  <w:shd w:val="clear" w:color="auto" w:fill="auto"/>
                  <w:vAlign w:val="center"/>
                </w:tcPr>
                <w:p w14:paraId="53617A34">
                  <w:pPr>
                    <w:keepNext w:val="0"/>
                    <w:keepLines w:val="0"/>
                    <w:widowControl/>
                    <w:suppressLineNumbers w:val="0"/>
                    <w:spacing w:before="0" w:beforeAutospacing="0" w:after="0" w:afterAutospacing="0" w:line="360" w:lineRule="exact"/>
                    <w:ind w:left="0" w:right="0" w:firstLine="0" w:firstLineChars="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300元/天</w:t>
                  </w:r>
                </w:p>
              </w:tc>
              <w:tc>
                <w:tcPr>
                  <w:tcW w:w="0" w:type="auto"/>
                  <w:vMerge w:val="continue"/>
                  <w:tcBorders>
                    <w:top w:val="nil"/>
                    <w:left w:val="single" w:color="auto" w:sz="4" w:space="0"/>
                    <w:bottom w:val="single" w:color="auto" w:sz="4" w:space="0"/>
                    <w:right w:val="single" w:color="auto" w:sz="4" w:space="0"/>
                  </w:tcBorders>
                  <w:shd w:val="clear" w:color="auto" w:fill="auto"/>
                  <w:vAlign w:val="center"/>
                </w:tcPr>
                <w:p w14:paraId="49C9A327">
                  <w:pPr>
                    <w:keepNext w:val="0"/>
                    <w:keepLines w:val="0"/>
                    <w:suppressLineNumbers w:val="0"/>
                    <w:spacing w:before="0" w:beforeAutospacing="0" w:after="0" w:afterAutospacing="0" w:line="360" w:lineRule="exact"/>
                    <w:ind w:left="0" w:right="0" w:firstLine="420" w:firstLineChars="200"/>
                    <w:rPr>
                      <w:rFonts w:hint="eastAsia" w:ascii="宋体" w:hAnsi="宋体" w:eastAsia="宋体" w:cs="宋体"/>
                      <w:color w:val="auto"/>
                      <w:sz w:val="21"/>
                      <w:szCs w:val="21"/>
                      <w:highlight w:val="none"/>
                    </w:rPr>
                  </w:pPr>
                </w:p>
              </w:tc>
            </w:tr>
            <w:tr w14:paraId="03AFA2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74" w:hRule="atLeast"/>
              </w:trPr>
              <w:tc>
                <w:tcPr>
                  <w:tcW w:w="0" w:type="auto"/>
                  <w:vMerge w:val="continue"/>
                  <w:tcBorders>
                    <w:top w:val="nil"/>
                    <w:left w:val="single" w:color="auto" w:sz="4" w:space="0"/>
                    <w:bottom w:val="single" w:color="auto" w:sz="4" w:space="0"/>
                    <w:right w:val="single" w:color="auto" w:sz="4" w:space="0"/>
                  </w:tcBorders>
                  <w:shd w:val="clear" w:color="auto" w:fill="auto"/>
                  <w:vAlign w:val="center"/>
                </w:tcPr>
                <w:p w14:paraId="3830D4B7">
                  <w:pPr>
                    <w:keepNext w:val="0"/>
                    <w:keepLines w:val="0"/>
                    <w:suppressLineNumbers w:val="0"/>
                    <w:spacing w:before="0" w:beforeAutospacing="0" w:after="0" w:afterAutospacing="0" w:line="360" w:lineRule="exact"/>
                    <w:ind w:left="0" w:right="0" w:firstLine="420" w:firstLineChars="200"/>
                    <w:rPr>
                      <w:rFonts w:hint="eastAsia" w:ascii="宋体" w:hAnsi="宋体" w:eastAsia="宋体" w:cs="宋体"/>
                      <w:color w:val="auto"/>
                      <w:sz w:val="21"/>
                      <w:szCs w:val="21"/>
                      <w:highlight w:val="none"/>
                    </w:rPr>
                  </w:pPr>
                </w:p>
              </w:tc>
              <w:tc>
                <w:tcPr>
                  <w:tcW w:w="1596" w:type="dxa"/>
                  <w:tcBorders>
                    <w:top w:val="single" w:color="auto" w:sz="4" w:space="0"/>
                    <w:left w:val="single" w:color="auto" w:sz="4" w:space="0"/>
                    <w:bottom w:val="single" w:color="auto" w:sz="4" w:space="0"/>
                    <w:right w:val="single" w:color="auto" w:sz="4" w:space="0"/>
                  </w:tcBorders>
                  <w:shd w:val="clear" w:color="auto" w:fill="auto"/>
                  <w:vAlign w:val="center"/>
                </w:tcPr>
                <w:p w14:paraId="2A1F71CA">
                  <w:pPr>
                    <w:keepNext w:val="0"/>
                    <w:keepLines w:val="0"/>
                    <w:widowControl/>
                    <w:suppressLineNumbers w:val="0"/>
                    <w:spacing w:before="0" w:beforeAutospacing="0" w:after="0" w:afterAutospacing="0" w:line="360" w:lineRule="exact"/>
                    <w:ind w:left="0" w:right="0" w:firstLine="0" w:firstLineChars="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三级护理</w:t>
                  </w:r>
                </w:p>
              </w:tc>
              <w:tc>
                <w:tcPr>
                  <w:tcW w:w="636" w:type="dxa"/>
                  <w:tcBorders>
                    <w:top w:val="single" w:color="auto" w:sz="4" w:space="0"/>
                    <w:left w:val="single" w:color="auto" w:sz="4" w:space="0"/>
                    <w:bottom w:val="single" w:color="auto" w:sz="4" w:space="0"/>
                    <w:right w:val="single" w:color="auto" w:sz="4" w:space="0"/>
                  </w:tcBorders>
                  <w:shd w:val="clear" w:color="auto" w:fill="auto"/>
                  <w:vAlign w:val="center"/>
                </w:tcPr>
                <w:p w14:paraId="5097E5A0">
                  <w:pPr>
                    <w:keepNext w:val="0"/>
                    <w:keepLines w:val="0"/>
                    <w:widowControl/>
                    <w:suppressLineNumbers w:val="0"/>
                    <w:spacing w:before="0" w:beforeAutospacing="0" w:after="0" w:afterAutospacing="0" w:line="360" w:lineRule="exact"/>
                    <w:ind w:left="0" w:right="0" w:firstLine="0" w:firstLineChars="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100元/天</w:t>
                  </w:r>
                </w:p>
              </w:tc>
              <w:tc>
                <w:tcPr>
                  <w:tcW w:w="0" w:type="auto"/>
                  <w:vMerge w:val="continue"/>
                  <w:tcBorders>
                    <w:top w:val="nil"/>
                    <w:left w:val="single" w:color="auto" w:sz="4" w:space="0"/>
                    <w:bottom w:val="single" w:color="auto" w:sz="4" w:space="0"/>
                    <w:right w:val="single" w:color="auto" w:sz="4" w:space="0"/>
                  </w:tcBorders>
                  <w:shd w:val="clear" w:color="auto" w:fill="auto"/>
                  <w:vAlign w:val="center"/>
                </w:tcPr>
                <w:p w14:paraId="69B17812">
                  <w:pPr>
                    <w:keepNext w:val="0"/>
                    <w:keepLines w:val="0"/>
                    <w:suppressLineNumbers w:val="0"/>
                    <w:spacing w:before="0" w:beforeAutospacing="0" w:after="0" w:afterAutospacing="0" w:line="360" w:lineRule="exact"/>
                    <w:ind w:left="0" w:right="0" w:firstLine="420" w:firstLineChars="200"/>
                    <w:rPr>
                      <w:rFonts w:hint="eastAsia" w:ascii="宋体" w:hAnsi="宋体" w:eastAsia="宋体" w:cs="宋体"/>
                      <w:color w:val="auto"/>
                      <w:sz w:val="21"/>
                      <w:szCs w:val="21"/>
                      <w:highlight w:val="none"/>
                    </w:rPr>
                  </w:pPr>
                </w:p>
              </w:tc>
            </w:tr>
          </w:tbl>
          <w:p w14:paraId="781BC3C4">
            <w:pPr>
              <w:keepNext w:val="0"/>
              <w:keepLines w:val="0"/>
              <w:widowControl/>
              <w:suppressLineNumbers w:val="0"/>
              <w:spacing w:before="0" w:beforeAutospacing="0" w:after="0" w:afterAutospacing="0" w:line="360" w:lineRule="exact"/>
              <w:ind w:left="0" w:right="0" w:firstLine="420" w:firstLineChars="200"/>
              <w:jc w:val="left"/>
              <w:rPr>
                <w:rFonts w:hint="eastAsia" w:ascii="宋体" w:hAnsi="宋体" w:eastAsia="宋体" w:cs="宋体"/>
                <w:b w:val="0"/>
                <w:bCs w:val="0"/>
                <w:color w:val="auto"/>
                <w:kern w:val="2"/>
                <w:sz w:val="21"/>
                <w:szCs w:val="21"/>
                <w:highlight w:val="none"/>
              </w:rPr>
            </w:pPr>
            <w:r>
              <w:rPr>
                <w:rFonts w:hint="eastAsia" w:ascii="宋体" w:hAnsi="宋体" w:eastAsia="宋体" w:cs="宋体"/>
                <w:b w:val="0"/>
                <w:bCs w:val="0"/>
                <w:color w:val="auto"/>
                <w:kern w:val="2"/>
                <w:sz w:val="21"/>
                <w:szCs w:val="21"/>
                <w:highlight w:val="none"/>
                <w:lang w:val="en-US" w:eastAsia="zh-CN" w:bidi="ar"/>
              </w:rPr>
              <w:t>（三）本项目为政策性保险，除了以下规定的情形，本项目保险责任可免除外，投标人不得以任何理由或条件设立保险责任免除条款：</w:t>
            </w:r>
          </w:p>
          <w:p w14:paraId="7F1256DB">
            <w:pPr>
              <w:keepNext w:val="0"/>
              <w:keepLines w:val="0"/>
              <w:widowControl/>
              <w:suppressLineNumbers w:val="0"/>
              <w:spacing w:before="0" w:beforeAutospacing="0" w:after="0" w:afterAutospacing="0" w:line="360" w:lineRule="exact"/>
              <w:ind w:left="0" w:right="0" w:firstLine="420" w:firstLineChars="20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1.因下列情形之一，造成被保险人身故的，保险机构不负给付身故保险金责任：</w:t>
            </w:r>
          </w:p>
          <w:p w14:paraId="730BF607">
            <w:pPr>
              <w:keepNext w:val="0"/>
              <w:keepLines w:val="0"/>
              <w:widowControl/>
              <w:suppressLineNumbers w:val="0"/>
              <w:spacing w:before="0" w:beforeAutospacing="0" w:after="0" w:afterAutospacing="0" w:line="360" w:lineRule="exact"/>
              <w:ind w:left="0" w:right="0" w:firstLine="420" w:firstLineChars="20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（1）受益人对被保险人的故意伤害、杀害；</w:t>
            </w:r>
          </w:p>
          <w:p w14:paraId="36086519">
            <w:pPr>
              <w:keepNext w:val="0"/>
              <w:keepLines w:val="0"/>
              <w:widowControl/>
              <w:suppressLineNumbers w:val="0"/>
              <w:spacing w:before="0" w:beforeAutospacing="0" w:after="0" w:afterAutospacing="0" w:line="360" w:lineRule="exact"/>
              <w:ind w:left="0" w:right="0" w:firstLine="420" w:firstLineChars="20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（2）被保险人故意犯罪或拒捕；</w:t>
            </w:r>
          </w:p>
          <w:p w14:paraId="0FC98040">
            <w:pPr>
              <w:keepNext w:val="0"/>
              <w:keepLines w:val="0"/>
              <w:widowControl/>
              <w:suppressLineNumbers w:val="0"/>
              <w:spacing w:before="0" w:beforeAutospacing="0" w:after="0" w:afterAutospacing="0" w:line="360" w:lineRule="exact"/>
              <w:ind w:left="0" w:right="0" w:firstLine="420" w:firstLineChars="20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（3）被保险人自杀、故意自伤但被保险人自杀或故意自伤时为无民事行为能力人的除外；</w:t>
            </w:r>
          </w:p>
          <w:p w14:paraId="5D91C1C0">
            <w:pPr>
              <w:keepNext w:val="0"/>
              <w:keepLines w:val="0"/>
              <w:widowControl/>
              <w:suppressLineNumbers w:val="0"/>
              <w:spacing w:before="0" w:beforeAutospacing="0" w:after="0" w:afterAutospacing="0" w:line="360" w:lineRule="exact"/>
              <w:ind w:left="0" w:right="0" w:firstLine="420" w:firstLineChars="20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（4）战争、军事冲突、暴乱或武装叛乱导致身故；</w:t>
            </w:r>
          </w:p>
          <w:p w14:paraId="179363E9">
            <w:pPr>
              <w:keepNext w:val="0"/>
              <w:keepLines w:val="0"/>
              <w:widowControl/>
              <w:suppressLineNumbers w:val="0"/>
              <w:spacing w:before="0" w:beforeAutospacing="0" w:after="0" w:afterAutospacing="0" w:line="360" w:lineRule="exact"/>
              <w:ind w:left="0" w:right="0" w:firstLine="420" w:firstLineChars="20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（5）核爆炸、核辐射或核污染导致身故。</w:t>
            </w:r>
          </w:p>
          <w:p w14:paraId="6AFC035F">
            <w:pPr>
              <w:keepNext w:val="0"/>
              <w:keepLines w:val="0"/>
              <w:widowControl/>
              <w:suppressLineNumbers w:val="0"/>
              <w:spacing w:before="0" w:beforeAutospacing="0" w:after="0" w:afterAutospacing="0" w:line="360" w:lineRule="exact"/>
              <w:ind w:left="0" w:right="0" w:firstLine="420" w:firstLineChars="20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2.因下列情形之一，造成被保险人支出医疗费用的，保险机构不负给付医疗保险金责任：</w:t>
            </w:r>
          </w:p>
          <w:p w14:paraId="4050EC8E">
            <w:pPr>
              <w:keepNext w:val="0"/>
              <w:keepLines w:val="0"/>
              <w:widowControl/>
              <w:suppressLineNumbers w:val="0"/>
              <w:spacing w:before="0" w:beforeAutospacing="0" w:after="0" w:afterAutospacing="0" w:line="360" w:lineRule="exact"/>
              <w:ind w:left="0" w:right="0" w:firstLine="420" w:firstLineChars="20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（1）上述责任免除条款所列情形；</w:t>
            </w:r>
          </w:p>
          <w:p w14:paraId="0AC69D71">
            <w:pPr>
              <w:keepNext w:val="0"/>
              <w:keepLines w:val="0"/>
              <w:widowControl/>
              <w:suppressLineNumbers w:val="0"/>
              <w:spacing w:before="0" w:beforeAutospacing="0" w:after="0" w:afterAutospacing="0" w:line="360" w:lineRule="exact"/>
              <w:ind w:left="0" w:right="0" w:firstLine="420" w:firstLineChars="20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（2）被保险人健康护理等非治疗性行为；</w:t>
            </w:r>
          </w:p>
          <w:p w14:paraId="648F8A92">
            <w:pPr>
              <w:keepNext w:val="0"/>
              <w:keepLines w:val="0"/>
              <w:widowControl/>
              <w:suppressLineNumbers w:val="0"/>
              <w:spacing w:before="0" w:beforeAutospacing="0" w:after="0" w:afterAutospacing="0" w:line="360" w:lineRule="exact"/>
              <w:ind w:left="0" w:right="0" w:firstLine="420" w:firstLineChars="20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（3）被保险人以家庭病床、挂床治疗等；</w:t>
            </w:r>
          </w:p>
          <w:p w14:paraId="375C8283">
            <w:pPr>
              <w:keepNext w:val="0"/>
              <w:keepLines w:val="0"/>
              <w:widowControl/>
              <w:suppressLineNumbers w:val="0"/>
              <w:spacing w:before="0" w:beforeAutospacing="0" w:after="0" w:afterAutospacing="0" w:line="360" w:lineRule="exact"/>
              <w:ind w:left="0" w:right="0" w:firstLine="420" w:firstLineChars="20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（4）被保险人洗牙、洁齿、验光、装配假眼、假牙、假肢或助听器等。</w:t>
            </w:r>
          </w:p>
          <w:p w14:paraId="42DFF6A8">
            <w:pPr>
              <w:keepNext w:val="0"/>
              <w:keepLines w:val="0"/>
              <w:widowControl/>
              <w:suppressLineNumbers w:val="0"/>
              <w:spacing w:before="0" w:beforeAutospacing="0" w:after="0" w:afterAutospacing="0" w:line="360" w:lineRule="exact"/>
              <w:ind w:left="0" w:right="0" w:firstLine="420" w:firstLineChars="200"/>
              <w:jc w:val="left"/>
              <w:rPr>
                <w:rFonts w:hint="eastAsia" w:ascii="宋体" w:hAnsi="宋体" w:eastAsia="宋体" w:cs="宋体"/>
                <w:b w:val="0"/>
                <w:bCs w:val="0"/>
                <w:color w:val="auto"/>
                <w:kern w:val="2"/>
                <w:sz w:val="21"/>
                <w:szCs w:val="21"/>
                <w:highlight w:val="none"/>
              </w:rPr>
            </w:pPr>
            <w:r>
              <w:rPr>
                <w:rFonts w:hint="eastAsia" w:ascii="宋体" w:hAnsi="宋体" w:eastAsia="宋体" w:cs="宋体"/>
                <w:b w:val="0"/>
                <w:bCs w:val="0"/>
                <w:color w:val="auto"/>
                <w:kern w:val="2"/>
                <w:sz w:val="21"/>
                <w:szCs w:val="21"/>
                <w:highlight w:val="none"/>
                <w:lang w:val="en-US" w:eastAsia="zh-CN" w:bidi="ar"/>
              </w:rPr>
              <w:t>（四）需要明确的几种特殊情况：</w:t>
            </w:r>
          </w:p>
          <w:p w14:paraId="6B81285E">
            <w:pPr>
              <w:keepNext w:val="0"/>
              <w:keepLines w:val="0"/>
              <w:widowControl/>
              <w:suppressLineNumbers w:val="0"/>
              <w:spacing w:before="0" w:beforeAutospacing="0" w:after="0" w:afterAutospacing="0" w:line="360" w:lineRule="exact"/>
              <w:ind w:left="0" w:right="0" w:firstLine="420" w:firstLineChars="20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1.保险期限内多次同一情形报保的同一被保险人，该项累计最高赔偿金额不得超过保险金额。</w:t>
            </w:r>
          </w:p>
          <w:p w14:paraId="38402659">
            <w:pPr>
              <w:keepNext w:val="0"/>
              <w:keepLines w:val="0"/>
              <w:widowControl/>
              <w:suppressLineNumbers w:val="0"/>
              <w:spacing w:before="0" w:beforeAutospacing="0" w:after="0" w:afterAutospacing="0" w:line="360" w:lineRule="exact"/>
              <w:ind w:left="0" w:right="0" w:firstLine="420" w:firstLineChars="20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2.被保险人因疾病、意外多次入院治疗的，跨保</w:t>
            </w:r>
            <w:r>
              <w:rPr>
                <w:rFonts w:hint="eastAsia" w:ascii="宋体" w:hAnsi="宋体" w:cs="宋体"/>
                <w:color w:val="auto"/>
                <w:kern w:val="2"/>
                <w:sz w:val="21"/>
                <w:szCs w:val="21"/>
                <w:highlight w:val="none"/>
                <w:lang w:val="en-US" w:eastAsia="zh-CN" w:bidi="ar"/>
              </w:rPr>
              <w:t>保单期限多次</w:t>
            </w:r>
            <w:r>
              <w:rPr>
                <w:rFonts w:hint="eastAsia" w:ascii="宋体" w:hAnsi="宋体" w:eastAsia="宋体" w:cs="宋体"/>
                <w:color w:val="auto"/>
                <w:kern w:val="2"/>
                <w:sz w:val="21"/>
                <w:szCs w:val="21"/>
                <w:highlight w:val="none"/>
                <w:lang w:val="en-US" w:eastAsia="zh-CN" w:bidi="ar"/>
              </w:rPr>
              <w:t>治疗时，</w:t>
            </w:r>
            <w:r>
              <w:rPr>
                <w:rFonts w:hint="eastAsia" w:ascii="宋体" w:hAnsi="宋体" w:cs="宋体"/>
                <w:color w:val="auto"/>
                <w:kern w:val="2"/>
                <w:sz w:val="21"/>
                <w:szCs w:val="21"/>
                <w:highlight w:val="none"/>
                <w:lang w:val="en-US" w:eastAsia="zh-CN" w:bidi="ar"/>
              </w:rPr>
              <w:t>除按合同约定未如期出院的按约定延期计算的三十天外，后续的入院治疗</w:t>
            </w:r>
            <w:r>
              <w:rPr>
                <w:rFonts w:hint="eastAsia" w:ascii="宋体" w:hAnsi="宋体" w:eastAsia="宋体" w:cs="宋体"/>
                <w:color w:val="auto"/>
                <w:kern w:val="2"/>
                <w:sz w:val="21"/>
                <w:szCs w:val="21"/>
                <w:highlight w:val="none"/>
                <w:lang w:val="en-US" w:eastAsia="zh-CN" w:bidi="ar"/>
              </w:rPr>
              <w:t>由当期中标的保险公司按新入院标准理赔。一次不满24小时的住院治疗，中标人按一天计住院护理定额赔付。</w:t>
            </w:r>
          </w:p>
          <w:p w14:paraId="7F76D866">
            <w:pPr>
              <w:keepNext w:val="0"/>
              <w:keepLines w:val="0"/>
              <w:widowControl/>
              <w:suppressLineNumbers w:val="0"/>
              <w:spacing w:before="0" w:beforeAutospacing="0" w:after="0" w:afterAutospacing="0" w:line="360" w:lineRule="exact"/>
              <w:ind w:left="0" w:right="0" w:firstLine="420" w:firstLineChars="20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3.本项目保险对象由采购人提供，其相关政策的解释权在广西壮族自治区计划生育协会。中标人必须按照采购人提供的名单完成投保事宜，不得拒保、拒赔。</w:t>
            </w:r>
          </w:p>
          <w:p w14:paraId="38793CEC">
            <w:pPr>
              <w:keepNext w:val="0"/>
              <w:keepLines w:val="0"/>
              <w:widowControl/>
              <w:suppressLineNumbers w:val="0"/>
              <w:spacing w:before="0" w:beforeAutospacing="0" w:after="0" w:afterAutospacing="0" w:line="360" w:lineRule="exact"/>
              <w:ind w:left="0" w:right="0" w:firstLine="422" w:firstLineChars="200"/>
              <w:jc w:val="left"/>
              <w:rPr>
                <w:rFonts w:hint="eastAsia" w:ascii="宋体" w:hAnsi="宋体" w:eastAsia="宋体" w:cs="宋体"/>
                <w:b/>
                <w:bCs/>
                <w:color w:val="auto"/>
                <w:kern w:val="2"/>
                <w:sz w:val="21"/>
                <w:szCs w:val="21"/>
                <w:highlight w:val="none"/>
              </w:rPr>
            </w:pPr>
            <w:r>
              <w:rPr>
                <w:rFonts w:hint="eastAsia" w:ascii="宋体" w:hAnsi="宋体" w:eastAsia="宋体" w:cs="宋体"/>
                <w:b/>
                <w:bCs/>
                <w:color w:val="auto"/>
                <w:kern w:val="2"/>
                <w:sz w:val="21"/>
                <w:szCs w:val="21"/>
                <w:highlight w:val="none"/>
                <w:lang w:val="en-US" w:eastAsia="zh-CN" w:bidi="ar"/>
              </w:rPr>
              <w:t>五、特别约定</w:t>
            </w:r>
          </w:p>
          <w:p w14:paraId="36ECF173">
            <w:pPr>
              <w:keepNext w:val="0"/>
              <w:keepLines w:val="0"/>
              <w:widowControl/>
              <w:suppressLineNumbers w:val="0"/>
              <w:spacing w:before="0" w:beforeAutospacing="0" w:after="0" w:afterAutospacing="0" w:line="360" w:lineRule="exact"/>
              <w:ind w:left="0" w:right="0" w:firstLine="420" w:firstLineChars="20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一）中标人必须与采购人按照中标合同共同制定相关的管理制度，并接受采购人的督查、调查核实承保保险的真实性、有效性。全区计划生育特殊家庭保险执行统一赔偿标准和流程，中标人在广西境内各市理赔中心、县（市、区）支公司或乡镇区域营业部（点）是理赔工作的执行单位，不得以保险对象的年龄、性别等差异以及所在地域经济条件好坏为由，设置不同赔偿标准。</w:t>
            </w:r>
          </w:p>
          <w:p w14:paraId="4ACCFF1C">
            <w:pPr>
              <w:keepNext w:val="0"/>
              <w:keepLines w:val="0"/>
              <w:widowControl/>
              <w:suppressLineNumbers w:val="0"/>
              <w:spacing w:before="0" w:beforeAutospacing="0" w:after="0" w:afterAutospacing="0" w:line="360" w:lineRule="exact"/>
              <w:ind w:left="0" w:right="0" w:firstLine="420" w:firstLineChars="20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（二）中标人接到理赔申请后，对资料齐全、无须作特别调查的，应即时给予赔付；重大赔付需核实的</w:t>
            </w:r>
            <w:r>
              <w:rPr>
                <w:rFonts w:hint="eastAsia" w:ascii="宋体" w:hAnsi="宋体" w:cs="宋体"/>
                <w:color w:val="auto"/>
                <w:kern w:val="2"/>
                <w:sz w:val="21"/>
                <w:szCs w:val="21"/>
                <w:highlight w:val="none"/>
                <w:lang w:val="en-US" w:eastAsia="zh-CN" w:bidi="ar"/>
              </w:rPr>
              <w:t>或</w:t>
            </w:r>
            <w:r>
              <w:rPr>
                <w:rFonts w:hint="eastAsia" w:ascii="宋体" w:hAnsi="宋体" w:eastAsia="宋体" w:cs="宋体"/>
                <w:color w:val="auto"/>
                <w:kern w:val="2"/>
                <w:sz w:val="21"/>
                <w:szCs w:val="21"/>
                <w:highlight w:val="none"/>
                <w:lang w:val="en-US" w:eastAsia="zh-CN" w:bidi="ar"/>
              </w:rPr>
              <w:t>疑难情况需要进一步调查的，应在不超过15个工作日内给予赔付。</w:t>
            </w:r>
          </w:p>
          <w:p w14:paraId="47F1BA02">
            <w:pPr>
              <w:keepNext w:val="0"/>
              <w:keepLines w:val="0"/>
              <w:widowControl/>
              <w:suppressLineNumbers w:val="0"/>
              <w:spacing w:before="0" w:beforeAutospacing="0" w:after="0" w:afterAutospacing="0" w:line="360" w:lineRule="exact"/>
              <w:ind w:left="0" w:right="0" w:firstLine="422" w:firstLineChars="200"/>
              <w:jc w:val="left"/>
              <w:rPr>
                <w:rFonts w:hint="eastAsia" w:ascii="宋体" w:hAnsi="宋体" w:eastAsia="宋体" w:cs="宋体"/>
                <w:b/>
                <w:bCs/>
                <w:color w:val="auto"/>
                <w:kern w:val="2"/>
                <w:sz w:val="21"/>
                <w:szCs w:val="21"/>
                <w:highlight w:val="none"/>
              </w:rPr>
            </w:pPr>
            <w:r>
              <w:rPr>
                <w:rFonts w:hint="eastAsia" w:ascii="宋体" w:hAnsi="宋体" w:eastAsia="宋体" w:cs="宋体"/>
                <w:b/>
                <w:bCs/>
                <w:color w:val="auto"/>
                <w:kern w:val="2"/>
                <w:sz w:val="21"/>
                <w:szCs w:val="21"/>
                <w:highlight w:val="none"/>
                <w:lang w:val="en-US" w:eastAsia="zh-CN" w:bidi="ar"/>
              </w:rPr>
              <w:t>六、保险单签发</w:t>
            </w:r>
          </w:p>
          <w:p w14:paraId="430FF616">
            <w:pPr>
              <w:keepNext w:val="0"/>
              <w:keepLines w:val="0"/>
              <w:widowControl/>
              <w:suppressLineNumbers w:val="0"/>
              <w:spacing w:before="0" w:beforeAutospacing="0" w:after="0" w:afterAutospacing="0" w:line="360" w:lineRule="exact"/>
              <w:ind w:left="0" w:right="0" w:firstLine="420" w:firstLineChars="200"/>
              <w:jc w:val="left"/>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lang w:val="en-US" w:eastAsia="zh-CN" w:bidi="ar"/>
              </w:rPr>
              <w:t>广西计划生育特殊家庭综合保险由自治区计划生育协会与中标人共同签订统一保险协议书，中标人及其分支机构为承保公司。中标人在收到参保材料后的5天内必须向被保险人交付保险单和保险证明，并确保保险证明及时发放给被保险人，并由被保险人持有。</w:t>
            </w:r>
          </w:p>
          <w:p w14:paraId="6C1C2F7D">
            <w:pPr>
              <w:keepNext w:val="0"/>
              <w:keepLines w:val="0"/>
              <w:widowControl/>
              <w:suppressLineNumbers w:val="0"/>
              <w:spacing w:before="0" w:beforeAutospacing="0" w:after="0" w:afterAutospacing="0" w:line="360" w:lineRule="exact"/>
              <w:ind w:left="0" w:right="0" w:firstLine="422" w:firstLineChars="200"/>
              <w:jc w:val="left"/>
              <w:rPr>
                <w:rFonts w:hint="eastAsia" w:ascii="宋体" w:hAnsi="宋体" w:eastAsia="宋体" w:cs="宋体"/>
                <w:b/>
                <w:bCs/>
                <w:color w:val="auto"/>
                <w:kern w:val="2"/>
                <w:sz w:val="21"/>
                <w:szCs w:val="21"/>
                <w:highlight w:val="none"/>
              </w:rPr>
            </w:pPr>
            <w:r>
              <w:rPr>
                <w:rFonts w:hint="eastAsia" w:ascii="宋体" w:hAnsi="宋体" w:eastAsia="宋体" w:cs="宋体"/>
                <w:b/>
                <w:bCs/>
                <w:color w:val="auto"/>
                <w:kern w:val="2"/>
                <w:sz w:val="21"/>
                <w:szCs w:val="21"/>
                <w:highlight w:val="none"/>
                <w:lang w:val="en-US" w:eastAsia="zh-CN" w:bidi="ar"/>
              </w:rPr>
              <w:t>七、保险费支付</w:t>
            </w:r>
          </w:p>
          <w:p w14:paraId="7F9B248E">
            <w:pPr>
              <w:keepNext w:val="0"/>
              <w:keepLines w:val="0"/>
              <w:widowControl/>
              <w:suppressLineNumbers w:val="0"/>
              <w:spacing w:before="0" w:beforeAutospacing="0" w:after="0" w:afterAutospacing="0" w:line="360" w:lineRule="exact"/>
              <w:ind w:left="0" w:right="0" w:firstLine="420" w:firstLineChars="200"/>
              <w:jc w:val="left"/>
              <w:rPr>
                <w:rFonts w:hint="eastAsia" w:ascii="宋体" w:hAnsi="宋体" w:cs="宋体"/>
                <w:color w:val="auto"/>
                <w:szCs w:val="21"/>
                <w:highlight w:val="none"/>
              </w:rPr>
            </w:pPr>
            <w:r>
              <w:rPr>
                <w:rFonts w:hint="eastAsia" w:ascii="宋体" w:hAnsi="宋体" w:eastAsia="宋体" w:cs="宋体"/>
                <w:color w:val="auto"/>
                <w:kern w:val="2"/>
                <w:sz w:val="21"/>
                <w:szCs w:val="21"/>
                <w:highlight w:val="none"/>
                <w:lang w:val="en-US" w:eastAsia="zh-CN" w:bidi="ar"/>
              </w:rPr>
              <w:t>中标后，根据双方核定的实际参保人数，由自治区计划生育协会按合同约定一次性结算给中标人。</w:t>
            </w:r>
          </w:p>
        </w:tc>
        <w:tc>
          <w:tcPr>
            <w:tcW w:w="1408" w:type="dxa"/>
            <w:tcBorders>
              <w:top w:val="single" w:color="auto" w:sz="4" w:space="0"/>
              <w:left w:val="single" w:color="auto" w:sz="4" w:space="0"/>
              <w:right w:val="single" w:color="auto" w:sz="4" w:space="0"/>
            </w:tcBorders>
            <w:noWrap w:val="0"/>
            <w:vAlign w:val="center"/>
          </w:tcPr>
          <w:p w14:paraId="4FF00B29">
            <w:pPr>
              <w:keepNext w:val="0"/>
              <w:keepLines w:val="0"/>
              <w:suppressLineNumbers w:val="0"/>
              <w:spacing w:before="0" w:beforeAutospacing="0" w:after="0" w:afterAutospacing="0" w:line="360" w:lineRule="exact"/>
              <w:ind w:left="0" w:right="0"/>
              <w:jc w:val="center"/>
              <w:rPr>
                <w:rFonts w:hint="eastAsia" w:ascii="宋体" w:hAnsi="宋体"/>
                <w:color w:val="auto"/>
                <w:szCs w:val="21"/>
                <w:highlight w:val="none"/>
              </w:rPr>
            </w:pPr>
            <w:r>
              <w:rPr>
                <w:rFonts w:hint="eastAsia" w:ascii="宋体" w:hAnsi="宋体"/>
                <w:color w:val="auto"/>
                <w:szCs w:val="21"/>
                <w:highlight w:val="none"/>
              </w:rPr>
              <w:t>金融业</w:t>
            </w:r>
          </w:p>
        </w:tc>
      </w:tr>
      <w:tr w14:paraId="4BC257D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16" w:hRule="atLeast"/>
          <w:jc w:val="center"/>
        </w:trPr>
        <w:tc>
          <w:tcPr>
            <w:tcW w:w="635" w:type="dxa"/>
            <w:tcBorders>
              <w:top w:val="single" w:color="auto" w:sz="4" w:space="0"/>
              <w:left w:val="single" w:color="auto" w:sz="4" w:space="0"/>
              <w:bottom w:val="single" w:color="auto" w:sz="4" w:space="0"/>
              <w:right w:val="single" w:color="auto" w:sz="4" w:space="0"/>
            </w:tcBorders>
            <w:noWrap w:val="0"/>
            <w:vAlign w:val="center"/>
          </w:tcPr>
          <w:p w14:paraId="3D341A02">
            <w:pPr>
              <w:keepNext w:val="0"/>
              <w:keepLines w:val="0"/>
              <w:suppressLineNumbers w:val="0"/>
              <w:spacing w:before="0" w:beforeAutospacing="0" w:after="0" w:afterAutospacing="0" w:line="360" w:lineRule="exact"/>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商务条款</w:t>
            </w:r>
          </w:p>
        </w:tc>
        <w:tc>
          <w:tcPr>
            <w:tcW w:w="9136" w:type="dxa"/>
            <w:gridSpan w:val="5"/>
            <w:tcBorders>
              <w:top w:val="single" w:color="auto" w:sz="4" w:space="0"/>
              <w:left w:val="single" w:color="auto" w:sz="4" w:space="0"/>
              <w:bottom w:val="single" w:color="auto" w:sz="4" w:space="0"/>
              <w:right w:val="single" w:color="auto" w:sz="4" w:space="0"/>
            </w:tcBorders>
            <w:noWrap w:val="0"/>
            <w:vAlign w:val="top"/>
          </w:tcPr>
          <w:p w14:paraId="6C9F1827">
            <w:pPr>
              <w:keepNext w:val="0"/>
              <w:keepLines w:val="0"/>
              <w:widowControl/>
              <w:suppressLineNumbers w:val="0"/>
              <w:tabs>
                <w:tab w:val="left" w:pos="1440"/>
              </w:tabs>
              <w:spacing w:before="0" w:beforeAutospacing="0" w:after="0" w:afterAutospacing="0" w:line="360" w:lineRule="exact"/>
              <w:ind w:left="0" w:right="0"/>
              <w:jc w:val="left"/>
              <w:rPr>
                <w:rFonts w:hint="default" w:ascii="宋体" w:hAnsi="宋体" w:cs="Arial"/>
                <w:bCs/>
                <w:color w:val="auto"/>
                <w:kern w:val="0"/>
                <w:szCs w:val="21"/>
                <w:highlight w:val="none"/>
              </w:rPr>
            </w:pPr>
            <w:r>
              <w:rPr>
                <w:rFonts w:hint="eastAsia" w:ascii="宋体" w:hAnsi="宋体" w:cs="Arial"/>
                <w:bCs/>
                <w:color w:val="auto"/>
                <w:kern w:val="0"/>
                <w:szCs w:val="21"/>
                <w:highlight w:val="none"/>
                <w:lang w:eastAsia="zh-CN"/>
              </w:rPr>
              <w:t>1.</w:t>
            </w:r>
            <w:r>
              <w:rPr>
                <w:rFonts w:hint="eastAsia" w:ascii="宋体" w:hAnsi="宋体" w:cs="Arial"/>
                <w:bCs/>
                <w:color w:val="auto"/>
                <w:kern w:val="0"/>
                <w:szCs w:val="21"/>
                <w:highlight w:val="none"/>
              </w:rPr>
              <w:t>服务期限及服务地点：</w:t>
            </w:r>
          </w:p>
          <w:p w14:paraId="566D7253">
            <w:pPr>
              <w:keepNext w:val="0"/>
              <w:keepLines w:val="0"/>
              <w:suppressLineNumbers w:val="0"/>
              <w:spacing w:before="0" w:beforeAutospacing="0" w:after="0" w:afterAutospacing="0" w:line="360" w:lineRule="exact"/>
              <w:ind w:left="0" w:right="0" w:firstLine="0" w:firstLineChars="0"/>
              <w:jc w:val="left"/>
              <w:rPr>
                <w:rFonts w:hint="eastAsia" w:ascii="宋体" w:hAnsi="宋体" w:cs="宋体"/>
                <w:b w:val="0"/>
                <w:bCs w:val="0"/>
                <w:color w:val="auto"/>
                <w:szCs w:val="21"/>
                <w:highlight w:val="none"/>
              </w:rPr>
            </w:pPr>
            <w:r>
              <w:rPr>
                <w:rFonts w:hint="eastAsia" w:ascii="宋体" w:hAnsi="宋体" w:cs="Arial"/>
                <w:bCs/>
                <w:color w:val="auto"/>
                <w:kern w:val="0"/>
                <w:szCs w:val="21"/>
                <w:highlight w:val="none"/>
              </w:rPr>
              <w:t>（1）服务期限：</w:t>
            </w:r>
            <w:r>
              <w:rPr>
                <w:rFonts w:hint="eastAsia" w:ascii="宋体" w:hAnsi="宋体" w:cs="宋体"/>
                <w:b w:val="0"/>
                <w:bCs w:val="0"/>
                <w:color w:val="auto"/>
                <w:szCs w:val="21"/>
                <w:highlight w:val="none"/>
                <w:lang w:val="en-US" w:eastAsia="zh-CN"/>
              </w:rPr>
              <w:t>①</w:t>
            </w:r>
            <w:r>
              <w:rPr>
                <w:rFonts w:hint="eastAsia" w:ascii="宋体" w:hAnsi="宋体" w:cs="宋体"/>
                <w:b w:val="0"/>
                <w:bCs w:val="0"/>
                <w:color w:val="auto"/>
                <w:szCs w:val="21"/>
                <w:highlight w:val="none"/>
              </w:rPr>
              <w:t>中标人将获得保险期限为1年的计划生育特殊家庭综合保险项目，保险期限为自2026年9月1日零时起至2027年8月31日24时止。</w:t>
            </w:r>
          </w:p>
          <w:p w14:paraId="1FB0C36C">
            <w:pPr>
              <w:keepNext w:val="0"/>
              <w:keepLines w:val="0"/>
              <w:widowControl/>
              <w:suppressLineNumbers w:val="0"/>
              <w:spacing w:before="0" w:beforeAutospacing="0" w:after="0" w:afterAutospacing="0" w:line="360" w:lineRule="exact"/>
              <w:ind w:left="0" w:right="0" w:firstLine="0" w:firstLineChars="0"/>
              <w:jc w:val="left"/>
              <w:rPr>
                <w:rFonts w:hint="eastAsia" w:ascii="宋体" w:hAnsi="宋体" w:cs="Arial"/>
                <w:bCs/>
                <w:color w:val="auto"/>
                <w:kern w:val="0"/>
                <w:szCs w:val="21"/>
                <w:highlight w:val="none"/>
              </w:rPr>
            </w:pPr>
            <w:r>
              <w:rPr>
                <w:rFonts w:hint="eastAsia" w:ascii="宋体" w:hAnsi="宋体" w:cs="宋体"/>
                <w:b w:val="0"/>
                <w:bCs w:val="0"/>
                <w:color w:val="auto"/>
                <w:szCs w:val="21"/>
                <w:highlight w:val="none"/>
                <w:lang w:val="en-US" w:eastAsia="zh-CN"/>
              </w:rPr>
              <w:t>②</w:t>
            </w:r>
            <w:r>
              <w:rPr>
                <w:rFonts w:hint="eastAsia" w:ascii="宋体" w:hAnsi="宋体" w:cs="宋体"/>
                <w:b w:val="0"/>
                <w:bCs w:val="0"/>
                <w:color w:val="auto"/>
                <w:szCs w:val="21"/>
                <w:highlight w:val="none"/>
              </w:rPr>
              <w:t>投标人一旦中标，将追溯保险合同效力为2026年9月1日零时。</w:t>
            </w:r>
          </w:p>
          <w:p w14:paraId="492430DE">
            <w:pPr>
              <w:keepNext w:val="0"/>
              <w:keepLines w:val="0"/>
              <w:widowControl/>
              <w:suppressLineNumbers w:val="0"/>
              <w:tabs>
                <w:tab w:val="left" w:pos="1440"/>
              </w:tabs>
              <w:spacing w:before="0" w:beforeAutospacing="0" w:after="0" w:afterAutospacing="0" w:line="360" w:lineRule="exact"/>
              <w:ind w:left="0" w:right="0"/>
              <w:jc w:val="left"/>
              <w:rPr>
                <w:rFonts w:hint="default" w:ascii="宋体" w:hAnsi="宋体" w:cs="Arial"/>
                <w:bCs/>
                <w:color w:val="auto"/>
                <w:kern w:val="0"/>
                <w:szCs w:val="21"/>
                <w:highlight w:val="none"/>
              </w:rPr>
            </w:pPr>
            <w:r>
              <w:rPr>
                <w:rFonts w:hint="eastAsia" w:ascii="宋体" w:hAnsi="宋体" w:cs="Arial"/>
                <w:bCs/>
                <w:color w:val="auto"/>
                <w:kern w:val="0"/>
                <w:szCs w:val="21"/>
                <w:highlight w:val="none"/>
              </w:rPr>
              <w:t>（2）服务地点：广西区内采购人指定地点。</w:t>
            </w:r>
          </w:p>
          <w:p w14:paraId="7D95E686">
            <w:pPr>
              <w:keepNext w:val="0"/>
              <w:keepLines w:val="0"/>
              <w:widowControl/>
              <w:suppressLineNumbers w:val="0"/>
              <w:tabs>
                <w:tab w:val="left" w:pos="1440"/>
              </w:tabs>
              <w:spacing w:before="0" w:beforeAutospacing="0" w:after="0" w:afterAutospacing="0" w:line="360" w:lineRule="exact"/>
              <w:ind w:left="0" w:right="0"/>
              <w:jc w:val="left"/>
              <w:rPr>
                <w:rFonts w:hint="eastAsia" w:ascii="宋体" w:hAnsi="宋体" w:cs="Arial"/>
                <w:bCs/>
                <w:color w:val="auto"/>
                <w:kern w:val="0"/>
                <w:szCs w:val="21"/>
                <w:highlight w:val="none"/>
              </w:rPr>
            </w:pPr>
            <w:r>
              <w:rPr>
                <w:rFonts w:hint="eastAsia" w:ascii="宋体" w:hAnsi="宋体" w:cs="Arial"/>
                <w:bCs/>
                <w:color w:val="auto"/>
                <w:kern w:val="0"/>
                <w:szCs w:val="21"/>
                <w:highlight w:val="none"/>
              </w:rPr>
              <w:t>（3）合同签订时间：自中标通知书发出之日起25日内</w:t>
            </w:r>
          </w:p>
          <w:p w14:paraId="44EA85A1">
            <w:pPr>
              <w:keepNext w:val="0"/>
              <w:keepLines w:val="0"/>
              <w:widowControl/>
              <w:suppressLineNumbers w:val="0"/>
              <w:tabs>
                <w:tab w:val="left" w:pos="1440"/>
              </w:tabs>
              <w:spacing w:before="0" w:beforeAutospacing="0" w:after="0" w:afterAutospacing="0" w:line="360" w:lineRule="exact"/>
              <w:ind w:left="0" w:right="0"/>
              <w:jc w:val="left"/>
              <w:rPr>
                <w:rFonts w:hint="default" w:ascii="宋体" w:hAnsi="宋体" w:cs="Arial"/>
                <w:bCs/>
                <w:color w:val="auto"/>
                <w:kern w:val="0"/>
                <w:szCs w:val="21"/>
                <w:highlight w:val="none"/>
              </w:rPr>
            </w:pPr>
            <w:r>
              <w:rPr>
                <w:rFonts w:hint="eastAsia" w:ascii="宋体" w:hAnsi="宋体" w:cs="Arial"/>
                <w:bCs/>
                <w:color w:val="auto"/>
                <w:kern w:val="0"/>
                <w:szCs w:val="21"/>
                <w:highlight w:val="none"/>
                <w:lang w:eastAsia="zh-CN"/>
              </w:rPr>
              <w:t>2.</w:t>
            </w:r>
            <w:r>
              <w:rPr>
                <w:rFonts w:hint="eastAsia" w:ascii="宋体" w:hAnsi="宋体" w:cs="Arial"/>
                <w:bCs/>
                <w:color w:val="auto"/>
                <w:kern w:val="0"/>
                <w:szCs w:val="21"/>
                <w:highlight w:val="none"/>
              </w:rPr>
              <w:t xml:space="preserve">付款条件：自治区本级财政保险费资金由自治区计划生育协会一次性支付给中标人。 </w:t>
            </w:r>
          </w:p>
          <w:p w14:paraId="4B1C9F6F">
            <w:pPr>
              <w:keepNext w:val="0"/>
              <w:keepLines w:val="0"/>
              <w:suppressLineNumbers w:val="0"/>
              <w:topLinePunct/>
              <w:snapToGrid w:val="0"/>
              <w:spacing w:before="0" w:beforeAutospacing="0" w:after="0" w:afterAutospacing="0" w:line="360" w:lineRule="exact"/>
              <w:ind w:left="0" w:right="0"/>
              <w:jc w:val="left"/>
              <w:rPr>
                <w:rFonts w:hint="eastAsia" w:ascii="宋体" w:hAnsi="宋体" w:cs="宋体"/>
                <w:color w:val="auto"/>
                <w:szCs w:val="21"/>
                <w:highlight w:val="none"/>
              </w:rPr>
            </w:pPr>
            <w:r>
              <w:rPr>
                <w:rFonts w:hint="eastAsia" w:ascii="宋体" w:hAnsi="宋体" w:cs="宋体"/>
                <w:color w:val="auto"/>
                <w:szCs w:val="21"/>
                <w:highlight w:val="none"/>
                <w:lang w:eastAsia="zh-CN"/>
              </w:rPr>
              <w:t>3.</w:t>
            </w:r>
            <w:r>
              <w:rPr>
                <w:rFonts w:hint="eastAsia" w:ascii="宋体" w:hAnsi="宋体" w:cs="宋体"/>
                <w:color w:val="auto"/>
                <w:szCs w:val="21"/>
                <w:highlight w:val="none"/>
              </w:rPr>
              <w:t xml:space="preserve">报价要求：（1）保险费用；（2）服务的价格和各项税金；（3）其他（如技术支持、售后服务等所有相关费用等） </w:t>
            </w:r>
          </w:p>
          <w:p w14:paraId="2E721785">
            <w:pPr>
              <w:keepNext w:val="0"/>
              <w:keepLines w:val="0"/>
              <w:suppressLineNumbers w:val="0"/>
              <w:topLinePunct/>
              <w:snapToGrid w:val="0"/>
              <w:spacing w:before="0" w:beforeAutospacing="0" w:after="0" w:afterAutospacing="0" w:line="360" w:lineRule="exact"/>
              <w:ind w:left="0" w:right="0"/>
              <w:jc w:val="left"/>
              <w:rPr>
                <w:rFonts w:hint="eastAsia" w:ascii="宋体" w:hAnsi="宋体" w:cs="宋体"/>
                <w:color w:val="auto"/>
                <w:szCs w:val="21"/>
                <w:highlight w:val="none"/>
              </w:rPr>
            </w:pPr>
            <w:r>
              <w:rPr>
                <w:rFonts w:hint="eastAsia" w:ascii="宋体" w:hAnsi="宋体" w:cs="宋体"/>
                <w:color w:val="auto"/>
                <w:szCs w:val="21"/>
                <w:highlight w:val="none"/>
                <w:lang w:eastAsia="zh-CN"/>
              </w:rPr>
              <w:t>4.</w:t>
            </w:r>
            <w:r>
              <w:rPr>
                <w:rFonts w:hint="eastAsia" w:ascii="宋体" w:hAnsi="宋体" w:cs="宋体"/>
                <w:color w:val="auto"/>
                <w:szCs w:val="21"/>
                <w:highlight w:val="none"/>
              </w:rPr>
              <w:t>处理出险问题响应时间：接到出险报案后1 小时内做出回应并提出处理方案。</w:t>
            </w:r>
          </w:p>
          <w:p w14:paraId="39362B69">
            <w:pPr>
              <w:keepNext w:val="0"/>
              <w:keepLines w:val="0"/>
              <w:suppressLineNumbers w:val="0"/>
              <w:topLinePunct/>
              <w:snapToGrid w:val="0"/>
              <w:spacing w:before="0" w:beforeAutospacing="0" w:after="0" w:afterAutospacing="0" w:line="360" w:lineRule="exact"/>
              <w:ind w:left="0" w:right="0"/>
              <w:jc w:val="left"/>
              <w:rPr>
                <w:rFonts w:hint="eastAsia" w:ascii="宋体" w:hAnsi="宋体" w:cs="宋体"/>
                <w:color w:val="auto"/>
                <w:szCs w:val="21"/>
                <w:highlight w:val="none"/>
              </w:rPr>
            </w:pPr>
            <w:r>
              <w:rPr>
                <w:rFonts w:hint="eastAsia" w:ascii="宋体" w:hAnsi="宋体" w:cs="宋体"/>
                <w:color w:val="auto"/>
                <w:szCs w:val="21"/>
                <w:highlight w:val="none"/>
                <w:lang w:eastAsia="zh-CN"/>
              </w:rPr>
              <w:t>5.</w:t>
            </w:r>
            <w:r>
              <w:rPr>
                <w:rFonts w:hint="eastAsia" w:ascii="宋体" w:hAnsi="宋体" w:cs="宋体"/>
                <w:color w:val="auto"/>
                <w:szCs w:val="21"/>
                <w:highlight w:val="none"/>
              </w:rPr>
              <w:t>合同履约验收要求：中标人</w:t>
            </w:r>
            <w:r>
              <w:rPr>
                <w:rFonts w:hint="eastAsia" w:ascii="宋体" w:hAnsi="宋体" w:cs="宋体"/>
                <w:color w:val="auto"/>
                <w:szCs w:val="21"/>
                <w:highlight w:val="none"/>
                <w:lang w:val="en-US" w:eastAsia="zh-CN"/>
              </w:rPr>
              <w:t>对</w:t>
            </w:r>
            <w:r>
              <w:rPr>
                <w:rFonts w:hint="eastAsia" w:ascii="宋体" w:hAnsi="宋体" w:cs="宋体"/>
                <w:color w:val="auto"/>
                <w:szCs w:val="21"/>
                <w:highlight w:val="none"/>
              </w:rPr>
              <w:t>本项目有保密义务，保密协议另行签订。在服务期内</w:t>
            </w:r>
            <w:r>
              <w:rPr>
                <w:rFonts w:hint="eastAsia" w:ascii="宋体" w:hAnsi="宋体" w:cs="宋体"/>
                <w:color w:val="auto"/>
                <w:szCs w:val="21"/>
                <w:highlight w:val="none"/>
                <w:lang w:eastAsia="zh-CN"/>
              </w:rPr>
              <w:t>每月</w:t>
            </w:r>
            <w:r>
              <w:rPr>
                <w:rFonts w:hint="eastAsia" w:ascii="宋体" w:hAnsi="宋体" w:cs="宋体"/>
                <w:color w:val="auto"/>
                <w:szCs w:val="21"/>
                <w:highlight w:val="none"/>
              </w:rPr>
              <w:t>将理赔情况报采购人，合同期结束，对接单、理赔、投诉处理等履约情况进行验收，如中标人有违约的情形，以合同约定条款要求为准，扣除相应比例违约金。</w:t>
            </w:r>
            <w:r>
              <w:rPr>
                <w:rFonts w:hint="eastAsia" w:ascii="宋体" w:hAnsi="宋体" w:cs="宋体"/>
                <w:color w:val="auto"/>
                <w:szCs w:val="21"/>
                <w:highlight w:val="none"/>
                <w:lang w:eastAsia="zh-CN"/>
              </w:rPr>
              <w:t>非保函形式提交履约保证金的</w:t>
            </w:r>
            <w:r>
              <w:rPr>
                <w:rFonts w:hint="eastAsia" w:ascii="宋体" w:hAnsi="宋体" w:cs="宋体"/>
                <w:color w:val="auto"/>
                <w:szCs w:val="21"/>
                <w:highlight w:val="none"/>
                <w:lang w:val="en-US" w:eastAsia="zh-CN"/>
              </w:rPr>
              <w:t>,</w:t>
            </w:r>
            <w:r>
              <w:rPr>
                <w:rFonts w:hint="eastAsia" w:ascii="宋体" w:hAnsi="宋体" w:cs="宋体"/>
                <w:color w:val="auto"/>
                <w:szCs w:val="21"/>
                <w:highlight w:val="none"/>
              </w:rPr>
              <w:t>无违约情形的无息退回履约保证金。</w:t>
            </w:r>
          </w:p>
          <w:p w14:paraId="1C85BF5D">
            <w:pPr>
              <w:keepNext w:val="0"/>
              <w:keepLines w:val="0"/>
              <w:suppressLineNumbers w:val="0"/>
              <w:topLinePunct/>
              <w:snapToGrid w:val="0"/>
              <w:spacing w:before="0" w:beforeAutospacing="0" w:after="0" w:afterAutospacing="0" w:line="360" w:lineRule="exact"/>
              <w:ind w:left="0" w:right="0"/>
              <w:jc w:val="left"/>
              <w:rPr>
                <w:rFonts w:hint="eastAsia" w:ascii="宋体" w:hAnsi="宋体" w:cs="宋体"/>
                <w:color w:val="auto"/>
                <w:szCs w:val="21"/>
                <w:highlight w:val="none"/>
              </w:rPr>
            </w:pPr>
            <w:r>
              <w:rPr>
                <w:rFonts w:hint="eastAsia" w:ascii="宋体" w:hAnsi="宋体" w:cs="宋体"/>
                <w:color w:val="auto"/>
                <w:szCs w:val="21"/>
                <w:highlight w:val="none"/>
                <w:lang w:val="en-US" w:eastAsia="zh-CN"/>
              </w:rPr>
              <w:t>6</w:t>
            </w:r>
            <w:r>
              <w:rPr>
                <w:rFonts w:hint="eastAsia" w:ascii="宋体" w:hAnsi="宋体" w:cs="宋体"/>
                <w:color w:val="auto"/>
                <w:szCs w:val="21"/>
                <w:highlight w:val="none"/>
                <w:lang w:eastAsia="zh-CN"/>
              </w:rPr>
              <w:t>.</w:t>
            </w:r>
            <w:r>
              <w:rPr>
                <w:rFonts w:hint="eastAsia" w:ascii="宋体" w:hAnsi="宋体" w:cs="宋体"/>
                <w:color w:val="auto"/>
                <w:szCs w:val="21"/>
                <w:highlight w:val="none"/>
              </w:rPr>
              <w:t>其他要求：如有请提供与采购内容相关的基本方案、承保方案、理赔服务、增值服务及和评标办法有关的资料。</w:t>
            </w:r>
          </w:p>
        </w:tc>
      </w:tr>
      <w:tr w14:paraId="1A6E1C4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28" w:hRule="atLeast"/>
          <w:jc w:val="center"/>
        </w:trPr>
        <w:tc>
          <w:tcPr>
            <w:tcW w:w="635" w:type="dxa"/>
            <w:tcBorders>
              <w:top w:val="single" w:color="auto" w:sz="4" w:space="0"/>
              <w:left w:val="single" w:color="auto" w:sz="4" w:space="0"/>
              <w:bottom w:val="single" w:color="auto" w:sz="4" w:space="0"/>
              <w:right w:val="single" w:color="auto" w:sz="4" w:space="0"/>
            </w:tcBorders>
            <w:noWrap w:val="0"/>
            <w:vAlign w:val="center"/>
          </w:tcPr>
          <w:p w14:paraId="4A4E9E72">
            <w:pPr>
              <w:keepNext w:val="0"/>
              <w:keepLines w:val="0"/>
              <w:suppressLineNumbers w:val="0"/>
              <w:spacing w:before="0" w:beforeAutospacing="0" w:after="0" w:afterAutospacing="0" w:line="360" w:lineRule="exact"/>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其他说明</w:t>
            </w:r>
          </w:p>
        </w:tc>
        <w:tc>
          <w:tcPr>
            <w:tcW w:w="9136" w:type="dxa"/>
            <w:gridSpan w:val="5"/>
            <w:tcBorders>
              <w:top w:val="single" w:color="auto" w:sz="4" w:space="0"/>
              <w:left w:val="single" w:color="auto" w:sz="4" w:space="0"/>
              <w:bottom w:val="single" w:color="auto" w:sz="4" w:space="0"/>
              <w:right w:val="single" w:color="auto" w:sz="4" w:space="0"/>
            </w:tcBorders>
            <w:noWrap w:val="0"/>
            <w:vAlign w:val="center"/>
          </w:tcPr>
          <w:p w14:paraId="397E5F51">
            <w:pPr>
              <w:keepNext w:val="0"/>
              <w:keepLines w:val="0"/>
              <w:suppressLineNumbers w:val="0"/>
              <w:spacing w:before="0" w:beforeAutospacing="0" w:after="0" w:afterAutospacing="0" w:line="360" w:lineRule="exact"/>
              <w:ind w:left="0" w:right="0"/>
              <w:jc w:val="both"/>
              <w:rPr>
                <w:rFonts w:hint="eastAsia" w:ascii="宋体" w:hAnsi="宋体" w:cs="宋体"/>
                <w:color w:val="auto"/>
                <w:szCs w:val="21"/>
                <w:highlight w:val="none"/>
              </w:rPr>
            </w:pPr>
            <w:r>
              <w:rPr>
                <w:rFonts w:hint="eastAsia" w:ascii="宋体" w:hAnsi="宋体" w:cs="宋体"/>
                <w:color w:val="auto"/>
                <w:szCs w:val="21"/>
                <w:highlight w:val="none"/>
              </w:rPr>
              <w:t>如有请提供与采购内容相关的基本方案、承保方案、理赔服务、增值服务、保险培训、保险业务管理规章制度、</w:t>
            </w:r>
            <w:r>
              <w:rPr>
                <w:rFonts w:hint="eastAsia" w:ascii="宋体" w:hAnsi="宋体" w:cs="宋体"/>
                <w:color w:val="auto"/>
                <w:szCs w:val="21"/>
                <w:highlight w:val="none"/>
                <w:lang w:eastAsia="zh-CN"/>
              </w:rPr>
              <w:t>经营网点</w:t>
            </w:r>
            <w:r>
              <w:rPr>
                <w:rFonts w:hint="eastAsia" w:ascii="宋体" w:hAnsi="宋体" w:cs="宋体"/>
                <w:color w:val="auto"/>
                <w:szCs w:val="21"/>
                <w:highlight w:val="none"/>
              </w:rPr>
              <w:t>、综合能力等相关资料。</w:t>
            </w:r>
          </w:p>
        </w:tc>
      </w:tr>
    </w:tbl>
    <w:p w14:paraId="32CA8DC2">
      <w:pPr>
        <w:rPr>
          <w:rFonts w:hint="eastAsia" w:ascii="宋体" w:hAnsi="宋体" w:cs="宋体"/>
          <w:color w:val="auto"/>
          <w:highlight w:val="none"/>
        </w:rPr>
      </w:pPr>
      <w:r>
        <w:rPr>
          <w:rFonts w:ascii="Calibri" w:hAnsi="Calibri"/>
          <w:color w:val="auto"/>
          <w:szCs w:val="22"/>
          <w:highlight w:val="none"/>
        </w:rPr>
        <w:br w:type="page"/>
      </w:r>
      <w:r>
        <w:rPr>
          <w:rFonts w:hint="eastAsia" w:ascii="宋体" w:hAnsi="宋体" w:cs="宋体"/>
          <w:b/>
          <w:bCs/>
          <w:color w:val="auto"/>
          <w:sz w:val="40"/>
          <w:szCs w:val="48"/>
          <w:highlight w:val="none"/>
        </w:rPr>
        <w:t>附件：</w:t>
      </w:r>
    </w:p>
    <w:p w14:paraId="7FB74905">
      <w:pPr>
        <w:spacing w:line="528" w:lineRule="exact"/>
        <w:ind w:left="11" w:hanging="11"/>
        <w:jc w:val="center"/>
        <w:rPr>
          <w:rFonts w:hint="eastAsia" w:ascii="宋体" w:hAnsi="宋体" w:cs="宋体"/>
          <w:color w:val="auto"/>
          <w:sz w:val="40"/>
          <w:szCs w:val="40"/>
          <w:highlight w:val="none"/>
        </w:rPr>
      </w:pPr>
      <w:r>
        <w:rPr>
          <w:rFonts w:hint="eastAsia" w:ascii="宋体" w:hAnsi="宋体" w:cs="宋体"/>
          <w:color w:val="auto"/>
          <w:sz w:val="40"/>
          <w:szCs w:val="40"/>
          <w:highlight w:val="none"/>
        </w:rPr>
        <w:t>中小微企业划型标准</w:t>
      </w:r>
    </w:p>
    <w:tbl>
      <w:tblPr>
        <w:tblStyle w:val="39"/>
        <w:tblW w:w="9476" w:type="dxa"/>
        <w:jc w:val="center"/>
        <w:tblLayout w:type="fixed"/>
        <w:tblCellMar>
          <w:top w:w="0" w:type="dxa"/>
          <w:left w:w="108" w:type="dxa"/>
          <w:bottom w:w="0" w:type="dxa"/>
          <w:right w:w="108" w:type="dxa"/>
        </w:tblCellMar>
      </w:tblPr>
      <w:tblGrid>
        <w:gridCol w:w="2020"/>
        <w:gridCol w:w="1642"/>
        <w:gridCol w:w="1084"/>
        <w:gridCol w:w="1923"/>
        <w:gridCol w:w="1709"/>
        <w:gridCol w:w="1098"/>
      </w:tblGrid>
      <w:tr w14:paraId="0E68BA33">
        <w:tblPrEx>
          <w:tblCellMar>
            <w:top w:w="0" w:type="dxa"/>
            <w:left w:w="108" w:type="dxa"/>
            <w:bottom w:w="0" w:type="dxa"/>
            <w:right w:w="108" w:type="dxa"/>
          </w:tblCellMar>
        </w:tblPrEx>
        <w:trPr>
          <w:trHeight w:val="661" w:hRule="atLeast"/>
          <w:jc w:val="center"/>
        </w:trPr>
        <w:tc>
          <w:tcPr>
            <w:tcW w:w="2020" w:type="dxa"/>
            <w:tcBorders>
              <w:top w:val="single" w:color="auto" w:sz="4" w:space="0"/>
              <w:left w:val="single" w:color="auto" w:sz="4" w:space="0"/>
              <w:bottom w:val="single" w:color="auto" w:sz="4" w:space="0"/>
              <w:right w:val="single" w:color="auto" w:sz="4" w:space="0"/>
            </w:tcBorders>
            <w:noWrap w:val="0"/>
            <w:vAlign w:val="center"/>
          </w:tcPr>
          <w:p w14:paraId="448836C2">
            <w:pPr>
              <w:keepNext w:val="0"/>
              <w:keepLines w:val="0"/>
              <w:widowControl/>
              <w:suppressLineNumbers w:val="0"/>
              <w:spacing w:before="0" w:beforeAutospacing="0" w:after="0" w:afterAutospacing="0"/>
              <w:ind w:left="0" w:right="0"/>
              <w:jc w:val="left"/>
              <w:rPr>
                <w:rFonts w:hint="eastAsia" w:ascii="宋体" w:hAnsi="宋体" w:cs="宋体"/>
                <w:b/>
                <w:color w:val="auto"/>
                <w:kern w:val="0"/>
                <w:szCs w:val="21"/>
                <w:highlight w:val="none"/>
              </w:rPr>
            </w:pPr>
            <w:r>
              <w:rPr>
                <w:rFonts w:hint="eastAsia" w:ascii="宋体" w:hAnsi="宋体" w:cs="宋体"/>
                <w:b/>
                <w:color w:val="auto"/>
                <w:kern w:val="0"/>
                <w:szCs w:val="21"/>
                <w:highlight w:val="none"/>
              </w:rPr>
              <w:t>行业名称</w:t>
            </w:r>
          </w:p>
        </w:tc>
        <w:tc>
          <w:tcPr>
            <w:tcW w:w="1642" w:type="dxa"/>
            <w:tcBorders>
              <w:top w:val="single" w:color="auto" w:sz="4" w:space="0"/>
              <w:left w:val="nil"/>
              <w:bottom w:val="single" w:color="auto" w:sz="4" w:space="0"/>
              <w:right w:val="single" w:color="auto" w:sz="4" w:space="0"/>
            </w:tcBorders>
            <w:noWrap w:val="0"/>
            <w:vAlign w:val="center"/>
          </w:tcPr>
          <w:p w14:paraId="1020946F">
            <w:pPr>
              <w:keepNext w:val="0"/>
              <w:keepLines w:val="0"/>
              <w:widowControl/>
              <w:suppressLineNumbers w:val="0"/>
              <w:spacing w:before="0" w:beforeAutospacing="0" w:after="0" w:afterAutospacing="0"/>
              <w:ind w:left="0" w:right="0"/>
              <w:jc w:val="left"/>
              <w:rPr>
                <w:rFonts w:hint="eastAsia" w:ascii="宋体" w:hAnsi="宋体" w:cs="宋体"/>
                <w:b/>
                <w:color w:val="auto"/>
                <w:kern w:val="0"/>
                <w:szCs w:val="21"/>
                <w:highlight w:val="none"/>
              </w:rPr>
            </w:pPr>
            <w:r>
              <w:rPr>
                <w:rFonts w:hint="eastAsia" w:ascii="宋体" w:hAnsi="宋体" w:cs="宋体"/>
                <w:b/>
                <w:color w:val="auto"/>
                <w:kern w:val="0"/>
                <w:szCs w:val="21"/>
                <w:highlight w:val="none"/>
              </w:rPr>
              <w:t>指标名称</w:t>
            </w:r>
          </w:p>
        </w:tc>
        <w:tc>
          <w:tcPr>
            <w:tcW w:w="1084" w:type="dxa"/>
            <w:tcBorders>
              <w:top w:val="single" w:color="auto" w:sz="4" w:space="0"/>
              <w:left w:val="nil"/>
              <w:bottom w:val="single" w:color="auto" w:sz="4" w:space="0"/>
              <w:right w:val="single" w:color="auto" w:sz="4" w:space="0"/>
            </w:tcBorders>
            <w:noWrap w:val="0"/>
            <w:vAlign w:val="center"/>
          </w:tcPr>
          <w:p w14:paraId="2AEBBB89">
            <w:pPr>
              <w:keepNext w:val="0"/>
              <w:keepLines w:val="0"/>
              <w:widowControl/>
              <w:suppressLineNumbers w:val="0"/>
              <w:spacing w:before="0" w:beforeAutospacing="0" w:after="0" w:afterAutospacing="0"/>
              <w:ind w:left="0" w:right="0"/>
              <w:jc w:val="left"/>
              <w:rPr>
                <w:rFonts w:hint="eastAsia" w:ascii="宋体" w:hAnsi="宋体" w:cs="宋体"/>
                <w:b/>
                <w:color w:val="auto"/>
                <w:kern w:val="0"/>
                <w:szCs w:val="21"/>
                <w:highlight w:val="none"/>
              </w:rPr>
            </w:pPr>
            <w:r>
              <w:rPr>
                <w:rFonts w:hint="eastAsia" w:ascii="宋体" w:hAnsi="宋体" w:cs="宋体"/>
                <w:b/>
                <w:color w:val="auto"/>
                <w:kern w:val="0"/>
                <w:szCs w:val="21"/>
                <w:highlight w:val="none"/>
              </w:rPr>
              <w:t>计量单位</w:t>
            </w:r>
          </w:p>
        </w:tc>
        <w:tc>
          <w:tcPr>
            <w:tcW w:w="1923" w:type="dxa"/>
            <w:tcBorders>
              <w:top w:val="single" w:color="auto" w:sz="4" w:space="0"/>
              <w:left w:val="nil"/>
              <w:bottom w:val="single" w:color="auto" w:sz="4" w:space="0"/>
              <w:right w:val="single" w:color="auto" w:sz="4" w:space="0"/>
            </w:tcBorders>
            <w:noWrap w:val="0"/>
            <w:vAlign w:val="center"/>
          </w:tcPr>
          <w:p w14:paraId="07CAEE75">
            <w:pPr>
              <w:keepNext w:val="0"/>
              <w:keepLines w:val="0"/>
              <w:widowControl/>
              <w:suppressLineNumbers w:val="0"/>
              <w:spacing w:before="0" w:beforeAutospacing="0" w:after="0" w:afterAutospacing="0"/>
              <w:ind w:left="0" w:right="0"/>
              <w:jc w:val="left"/>
              <w:rPr>
                <w:rFonts w:hint="eastAsia" w:ascii="宋体" w:hAnsi="宋体" w:cs="宋体"/>
                <w:b/>
                <w:color w:val="auto"/>
                <w:kern w:val="0"/>
                <w:szCs w:val="21"/>
                <w:highlight w:val="none"/>
              </w:rPr>
            </w:pPr>
            <w:r>
              <w:rPr>
                <w:rFonts w:hint="eastAsia" w:ascii="宋体" w:hAnsi="宋体" w:cs="宋体"/>
                <w:b/>
                <w:color w:val="auto"/>
                <w:kern w:val="0"/>
                <w:szCs w:val="21"/>
                <w:highlight w:val="none"/>
              </w:rPr>
              <w:t>中型</w:t>
            </w:r>
          </w:p>
        </w:tc>
        <w:tc>
          <w:tcPr>
            <w:tcW w:w="1709" w:type="dxa"/>
            <w:tcBorders>
              <w:top w:val="single" w:color="auto" w:sz="4" w:space="0"/>
              <w:left w:val="nil"/>
              <w:bottom w:val="single" w:color="auto" w:sz="4" w:space="0"/>
              <w:right w:val="single" w:color="auto" w:sz="4" w:space="0"/>
            </w:tcBorders>
            <w:noWrap w:val="0"/>
            <w:vAlign w:val="center"/>
          </w:tcPr>
          <w:p w14:paraId="5B67A631">
            <w:pPr>
              <w:keepNext w:val="0"/>
              <w:keepLines w:val="0"/>
              <w:widowControl/>
              <w:suppressLineNumbers w:val="0"/>
              <w:spacing w:before="0" w:beforeAutospacing="0" w:after="0" w:afterAutospacing="0"/>
              <w:ind w:left="0" w:right="0"/>
              <w:jc w:val="left"/>
              <w:rPr>
                <w:rFonts w:hint="eastAsia" w:ascii="宋体" w:hAnsi="宋体" w:cs="宋体"/>
                <w:b/>
                <w:color w:val="auto"/>
                <w:kern w:val="0"/>
                <w:szCs w:val="21"/>
                <w:highlight w:val="none"/>
              </w:rPr>
            </w:pPr>
            <w:r>
              <w:rPr>
                <w:rFonts w:hint="eastAsia" w:ascii="宋体" w:hAnsi="宋体" w:cs="宋体"/>
                <w:b/>
                <w:color w:val="auto"/>
                <w:kern w:val="0"/>
                <w:szCs w:val="21"/>
                <w:highlight w:val="none"/>
              </w:rPr>
              <w:t>小型</w:t>
            </w:r>
          </w:p>
        </w:tc>
        <w:tc>
          <w:tcPr>
            <w:tcW w:w="1098" w:type="dxa"/>
            <w:tcBorders>
              <w:top w:val="single" w:color="auto" w:sz="4" w:space="0"/>
              <w:left w:val="nil"/>
              <w:bottom w:val="single" w:color="auto" w:sz="4" w:space="0"/>
              <w:right w:val="single" w:color="auto" w:sz="4" w:space="0"/>
            </w:tcBorders>
            <w:noWrap w:val="0"/>
            <w:vAlign w:val="center"/>
          </w:tcPr>
          <w:p w14:paraId="608758F4">
            <w:pPr>
              <w:keepNext w:val="0"/>
              <w:keepLines w:val="0"/>
              <w:widowControl/>
              <w:suppressLineNumbers w:val="0"/>
              <w:spacing w:before="0" w:beforeAutospacing="0" w:after="0" w:afterAutospacing="0"/>
              <w:ind w:left="0" w:right="0"/>
              <w:jc w:val="left"/>
              <w:rPr>
                <w:rFonts w:hint="eastAsia" w:ascii="宋体" w:hAnsi="宋体" w:cs="宋体"/>
                <w:b/>
                <w:color w:val="auto"/>
                <w:kern w:val="0"/>
                <w:szCs w:val="21"/>
                <w:highlight w:val="none"/>
              </w:rPr>
            </w:pPr>
            <w:r>
              <w:rPr>
                <w:rFonts w:hint="eastAsia" w:ascii="宋体" w:hAnsi="宋体" w:cs="宋体"/>
                <w:b/>
                <w:color w:val="auto"/>
                <w:kern w:val="0"/>
                <w:szCs w:val="21"/>
                <w:highlight w:val="none"/>
              </w:rPr>
              <w:t>微型</w:t>
            </w:r>
          </w:p>
        </w:tc>
      </w:tr>
      <w:tr w14:paraId="2541BC75">
        <w:tblPrEx>
          <w:tblCellMar>
            <w:top w:w="0" w:type="dxa"/>
            <w:left w:w="108" w:type="dxa"/>
            <w:bottom w:w="0" w:type="dxa"/>
            <w:right w:w="108" w:type="dxa"/>
          </w:tblCellMar>
        </w:tblPrEx>
        <w:trPr>
          <w:trHeight w:val="336" w:hRule="atLeast"/>
          <w:jc w:val="center"/>
        </w:trPr>
        <w:tc>
          <w:tcPr>
            <w:tcW w:w="2020" w:type="dxa"/>
            <w:tcBorders>
              <w:top w:val="nil"/>
              <w:left w:val="single" w:color="auto" w:sz="4" w:space="0"/>
              <w:bottom w:val="single" w:color="auto" w:sz="4" w:space="0"/>
              <w:right w:val="single" w:color="auto" w:sz="4" w:space="0"/>
            </w:tcBorders>
            <w:noWrap w:val="0"/>
            <w:vAlign w:val="bottom"/>
          </w:tcPr>
          <w:p w14:paraId="118AD8CD">
            <w:pPr>
              <w:keepNext w:val="0"/>
              <w:keepLines w:val="0"/>
              <w:widowControl/>
              <w:suppressLineNumbers w:val="0"/>
              <w:spacing w:before="0" w:beforeAutospacing="0" w:after="0" w:afterAutospacing="0"/>
              <w:ind w:left="0" w:right="0"/>
              <w:jc w:val="center"/>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农、林、牧、渔</w:t>
            </w:r>
          </w:p>
        </w:tc>
        <w:tc>
          <w:tcPr>
            <w:tcW w:w="1642" w:type="dxa"/>
            <w:tcBorders>
              <w:top w:val="nil"/>
              <w:left w:val="nil"/>
              <w:bottom w:val="single" w:color="auto" w:sz="4" w:space="0"/>
              <w:right w:val="single" w:color="auto" w:sz="4" w:space="0"/>
            </w:tcBorders>
            <w:noWrap w:val="0"/>
            <w:vAlign w:val="center"/>
          </w:tcPr>
          <w:p w14:paraId="77C79803">
            <w:pPr>
              <w:keepNext w:val="0"/>
              <w:keepLines w:val="0"/>
              <w:widowControl/>
              <w:suppressLineNumbers w:val="0"/>
              <w:spacing w:before="0" w:beforeAutospacing="0" w:after="0" w:afterAutospacing="0"/>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营业收入（Y）</w:t>
            </w:r>
          </w:p>
        </w:tc>
        <w:tc>
          <w:tcPr>
            <w:tcW w:w="1084" w:type="dxa"/>
            <w:tcBorders>
              <w:top w:val="nil"/>
              <w:left w:val="nil"/>
              <w:bottom w:val="single" w:color="auto" w:sz="4" w:space="0"/>
              <w:right w:val="single" w:color="auto" w:sz="4" w:space="0"/>
            </w:tcBorders>
            <w:noWrap w:val="0"/>
            <w:vAlign w:val="center"/>
          </w:tcPr>
          <w:p w14:paraId="1E600AE8">
            <w:pPr>
              <w:keepNext w:val="0"/>
              <w:keepLines w:val="0"/>
              <w:widowControl/>
              <w:suppressLineNumbers w:val="0"/>
              <w:spacing w:before="0" w:beforeAutospacing="0" w:after="0" w:afterAutospacing="0"/>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万元</w:t>
            </w:r>
          </w:p>
        </w:tc>
        <w:tc>
          <w:tcPr>
            <w:tcW w:w="1923" w:type="dxa"/>
            <w:tcBorders>
              <w:top w:val="nil"/>
              <w:left w:val="nil"/>
              <w:bottom w:val="single" w:color="auto" w:sz="4" w:space="0"/>
              <w:right w:val="single" w:color="auto" w:sz="4" w:space="0"/>
            </w:tcBorders>
            <w:noWrap w:val="0"/>
            <w:vAlign w:val="center"/>
          </w:tcPr>
          <w:p w14:paraId="6F76ED53">
            <w:pPr>
              <w:keepNext w:val="0"/>
              <w:keepLines w:val="0"/>
              <w:widowControl/>
              <w:suppressLineNumbers w:val="0"/>
              <w:spacing w:before="0" w:beforeAutospacing="0" w:after="0" w:afterAutospacing="0"/>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500≤Y＜20000</w:t>
            </w:r>
          </w:p>
        </w:tc>
        <w:tc>
          <w:tcPr>
            <w:tcW w:w="1709" w:type="dxa"/>
            <w:tcBorders>
              <w:top w:val="nil"/>
              <w:left w:val="nil"/>
              <w:bottom w:val="single" w:color="auto" w:sz="4" w:space="0"/>
              <w:right w:val="single" w:color="auto" w:sz="4" w:space="0"/>
            </w:tcBorders>
            <w:noWrap w:val="0"/>
            <w:vAlign w:val="center"/>
          </w:tcPr>
          <w:p w14:paraId="70EC2C4B">
            <w:pPr>
              <w:keepNext w:val="0"/>
              <w:keepLines w:val="0"/>
              <w:widowControl/>
              <w:suppressLineNumbers w:val="0"/>
              <w:spacing w:before="0" w:beforeAutospacing="0" w:after="0" w:afterAutospacing="0"/>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50≤Y＜500</w:t>
            </w:r>
          </w:p>
        </w:tc>
        <w:tc>
          <w:tcPr>
            <w:tcW w:w="1098" w:type="dxa"/>
            <w:tcBorders>
              <w:top w:val="nil"/>
              <w:left w:val="nil"/>
              <w:bottom w:val="single" w:color="auto" w:sz="4" w:space="0"/>
              <w:right w:val="single" w:color="auto" w:sz="4" w:space="0"/>
            </w:tcBorders>
            <w:noWrap w:val="0"/>
            <w:vAlign w:val="center"/>
          </w:tcPr>
          <w:p w14:paraId="33A82730">
            <w:pPr>
              <w:keepNext w:val="0"/>
              <w:keepLines w:val="0"/>
              <w:widowControl/>
              <w:suppressLineNumbers w:val="0"/>
              <w:spacing w:before="0" w:beforeAutospacing="0" w:after="0" w:afterAutospacing="0"/>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Y＜50</w:t>
            </w:r>
          </w:p>
        </w:tc>
      </w:tr>
      <w:tr w14:paraId="6F4A95E2">
        <w:tblPrEx>
          <w:tblCellMar>
            <w:top w:w="0" w:type="dxa"/>
            <w:left w:w="108" w:type="dxa"/>
            <w:bottom w:w="0" w:type="dxa"/>
            <w:right w:w="108" w:type="dxa"/>
          </w:tblCellMar>
        </w:tblPrEx>
        <w:trPr>
          <w:trHeight w:val="336" w:hRule="atLeast"/>
          <w:jc w:val="center"/>
        </w:trPr>
        <w:tc>
          <w:tcPr>
            <w:tcW w:w="2020" w:type="dxa"/>
            <w:vMerge w:val="restart"/>
            <w:tcBorders>
              <w:top w:val="nil"/>
              <w:left w:val="single" w:color="auto" w:sz="4" w:space="0"/>
              <w:bottom w:val="single" w:color="auto" w:sz="4" w:space="0"/>
              <w:right w:val="single" w:color="auto" w:sz="4" w:space="0"/>
            </w:tcBorders>
            <w:noWrap w:val="0"/>
            <w:vAlign w:val="bottom"/>
          </w:tcPr>
          <w:p w14:paraId="748F5DAC">
            <w:pPr>
              <w:keepNext w:val="0"/>
              <w:keepLines w:val="0"/>
              <w:widowControl/>
              <w:suppressLineNumbers w:val="0"/>
              <w:spacing w:before="0" w:beforeAutospacing="0" w:after="0" w:afterAutospacing="0"/>
              <w:ind w:left="0" w:right="0"/>
              <w:jc w:val="center"/>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工业</w:t>
            </w:r>
          </w:p>
        </w:tc>
        <w:tc>
          <w:tcPr>
            <w:tcW w:w="1642" w:type="dxa"/>
            <w:tcBorders>
              <w:top w:val="nil"/>
              <w:left w:val="nil"/>
              <w:bottom w:val="single" w:color="auto" w:sz="4" w:space="0"/>
              <w:right w:val="single" w:color="auto" w:sz="4" w:space="0"/>
            </w:tcBorders>
            <w:noWrap w:val="0"/>
            <w:vAlign w:val="center"/>
          </w:tcPr>
          <w:p w14:paraId="10E0CC3A">
            <w:pPr>
              <w:keepNext w:val="0"/>
              <w:keepLines w:val="0"/>
              <w:widowControl/>
              <w:suppressLineNumbers w:val="0"/>
              <w:spacing w:before="0" w:beforeAutospacing="0" w:after="0" w:afterAutospacing="0"/>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从业人员（X）</w:t>
            </w:r>
          </w:p>
        </w:tc>
        <w:tc>
          <w:tcPr>
            <w:tcW w:w="1084" w:type="dxa"/>
            <w:tcBorders>
              <w:top w:val="nil"/>
              <w:left w:val="nil"/>
              <w:bottom w:val="single" w:color="auto" w:sz="4" w:space="0"/>
              <w:right w:val="single" w:color="auto" w:sz="4" w:space="0"/>
            </w:tcBorders>
            <w:noWrap w:val="0"/>
            <w:vAlign w:val="center"/>
          </w:tcPr>
          <w:p w14:paraId="55EE9C72">
            <w:pPr>
              <w:keepNext w:val="0"/>
              <w:keepLines w:val="0"/>
              <w:widowControl/>
              <w:suppressLineNumbers w:val="0"/>
              <w:spacing w:before="0" w:beforeAutospacing="0" w:after="0" w:afterAutospacing="0"/>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人</w:t>
            </w:r>
          </w:p>
        </w:tc>
        <w:tc>
          <w:tcPr>
            <w:tcW w:w="1923" w:type="dxa"/>
            <w:tcBorders>
              <w:top w:val="nil"/>
              <w:left w:val="nil"/>
              <w:bottom w:val="single" w:color="auto" w:sz="4" w:space="0"/>
              <w:right w:val="single" w:color="auto" w:sz="4" w:space="0"/>
            </w:tcBorders>
            <w:noWrap w:val="0"/>
            <w:vAlign w:val="center"/>
          </w:tcPr>
          <w:p w14:paraId="09BEFD55">
            <w:pPr>
              <w:keepNext w:val="0"/>
              <w:keepLines w:val="0"/>
              <w:widowControl/>
              <w:suppressLineNumbers w:val="0"/>
              <w:spacing w:before="0" w:beforeAutospacing="0" w:after="0" w:afterAutospacing="0"/>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300≤X＜1000</w:t>
            </w:r>
          </w:p>
        </w:tc>
        <w:tc>
          <w:tcPr>
            <w:tcW w:w="1709" w:type="dxa"/>
            <w:tcBorders>
              <w:top w:val="nil"/>
              <w:left w:val="nil"/>
              <w:bottom w:val="single" w:color="auto" w:sz="4" w:space="0"/>
              <w:right w:val="single" w:color="auto" w:sz="4" w:space="0"/>
            </w:tcBorders>
            <w:noWrap w:val="0"/>
            <w:vAlign w:val="center"/>
          </w:tcPr>
          <w:p w14:paraId="4E85FDC4">
            <w:pPr>
              <w:keepNext w:val="0"/>
              <w:keepLines w:val="0"/>
              <w:widowControl/>
              <w:suppressLineNumbers w:val="0"/>
              <w:spacing w:before="0" w:beforeAutospacing="0" w:after="0" w:afterAutospacing="0"/>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20≤X＜300</w:t>
            </w:r>
          </w:p>
        </w:tc>
        <w:tc>
          <w:tcPr>
            <w:tcW w:w="1098" w:type="dxa"/>
            <w:tcBorders>
              <w:top w:val="nil"/>
              <w:left w:val="nil"/>
              <w:bottom w:val="single" w:color="auto" w:sz="4" w:space="0"/>
              <w:right w:val="single" w:color="auto" w:sz="4" w:space="0"/>
            </w:tcBorders>
            <w:noWrap w:val="0"/>
            <w:vAlign w:val="center"/>
          </w:tcPr>
          <w:p w14:paraId="4A2AED76">
            <w:pPr>
              <w:keepNext w:val="0"/>
              <w:keepLines w:val="0"/>
              <w:widowControl/>
              <w:suppressLineNumbers w:val="0"/>
              <w:spacing w:before="0" w:beforeAutospacing="0" w:after="0" w:afterAutospacing="0"/>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X＜20</w:t>
            </w:r>
          </w:p>
        </w:tc>
      </w:tr>
      <w:tr w14:paraId="49CEC2D3">
        <w:tblPrEx>
          <w:tblCellMar>
            <w:top w:w="0" w:type="dxa"/>
            <w:left w:w="108" w:type="dxa"/>
            <w:bottom w:w="0" w:type="dxa"/>
            <w:right w:w="108" w:type="dxa"/>
          </w:tblCellMar>
        </w:tblPrEx>
        <w:trPr>
          <w:trHeight w:val="336" w:hRule="atLeast"/>
          <w:jc w:val="center"/>
        </w:trPr>
        <w:tc>
          <w:tcPr>
            <w:tcW w:w="2020" w:type="dxa"/>
            <w:vMerge w:val="continue"/>
            <w:tcBorders>
              <w:top w:val="nil"/>
              <w:left w:val="single" w:color="auto" w:sz="4" w:space="0"/>
              <w:bottom w:val="single" w:color="auto" w:sz="4" w:space="0"/>
              <w:right w:val="single" w:color="auto" w:sz="4" w:space="0"/>
            </w:tcBorders>
            <w:noWrap w:val="0"/>
            <w:vAlign w:val="center"/>
          </w:tcPr>
          <w:p w14:paraId="2174B441">
            <w:pPr>
              <w:keepNext w:val="0"/>
              <w:keepLines w:val="0"/>
              <w:widowControl/>
              <w:suppressLineNumbers w:val="0"/>
              <w:spacing w:before="0" w:beforeAutospacing="0" w:after="0" w:afterAutospacing="0"/>
              <w:ind w:left="0" w:right="0"/>
              <w:jc w:val="left"/>
              <w:rPr>
                <w:rFonts w:hint="eastAsia" w:ascii="宋体" w:hAnsi="宋体" w:cs="宋体"/>
                <w:b/>
                <w:bCs/>
                <w:color w:val="auto"/>
                <w:kern w:val="0"/>
                <w:szCs w:val="21"/>
                <w:highlight w:val="none"/>
              </w:rPr>
            </w:pPr>
          </w:p>
        </w:tc>
        <w:tc>
          <w:tcPr>
            <w:tcW w:w="1642" w:type="dxa"/>
            <w:tcBorders>
              <w:top w:val="nil"/>
              <w:left w:val="nil"/>
              <w:bottom w:val="single" w:color="auto" w:sz="4" w:space="0"/>
              <w:right w:val="single" w:color="auto" w:sz="4" w:space="0"/>
            </w:tcBorders>
            <w:noWrap w:val="0"/>
            <w:vAlign w:val="center"/>
          </w:tcPr>
          <w:p w14:paraId="4B31EC2C">
            <w:pPr>
              <w:keepNext w:val="0"/>
              <w:keepLines w:val="0"/>
              <w:widowControl/>
              <w:suppressLineNumbers w:val="0"/>
              <w:spacing w:before="0" w:beforeAutospacing="0" w:after="0" w:afterAutospacing="0"/>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营业收入（Y）</w:t>
            </w:r>
          </w:p>
        </w:tc>
        <w:tc>
          <w:tcPr>
            <w:tcW w:w="1084" w:type="dxa"/>
            <w:tcBorders>
              <w:top w:val="nil"/>
              <w:left w:val="nil"/>
              <w:bottom w:val="single" w:color="auto" w:sz="4" w:space="0"/>
              <w:right w:val="single" w:color="auto" w:sz="4" w:space="0"/>
            </w:tcBorders>
            <w:noWrap w:val="0"/>
            <w:vAlign w:val="center"/>
          </w:tcPr>
          <w:p w14:paraId="2AFADCFF">
            <w:pPr>
              <w:keepNext w:val="0"/>
              <w:keepLines w:val="0"/>
              <w:widowControl/>
              <w:suppressLineNumbers w:val="0"/>
              <w:spacing w:before="0" w:beforeAutospacing="0" w:after="0" w:afterAutospacing="0"/>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万元</w:t>
            </w:r>
          </w:p>
        </w:tc>
        <w:tc>
          <w:tcPr>
            <w:tcW w:w="1923" w:type="dxa"/>
            <w:tcBorders>
              <w:top w:val="nil"/>
              <w:left w:val="nil"/>
              <w:bottom w:val="single" w:color="auto" w:sz="4" w:space="0"/>
              <w:right w:val="single" w:color="auto" w:sz="4" w:space="0"/>
            </w:tcBorders>
            <w:noWrap w:val="0"/>
            <w:vAlign w:val="center"/>
          </w:tcPr>
          <w:p w14:paraId="34296814">
            <w:pPr>
              <w:keepNext w:val="0"/>
              <w:keepLines w:val="0"/>
              <w:widowControl/>
              <w:suppressLineNumbers w:val="0"/>
              <w:spacing w:before="0" w:beforeAutospacing="0" w:after="0" w:afterAutospacing="0"/>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2000≤Y＜40000</w:t>
            </w:r>
          </w:p>
        </w:tc>
        <w:tc>
          <w:tcPr>
            <w:tcW w:w="1709" w:type="dxa"/>
            <w:tcBorders>
              <w:top w:val="nil"/>
              <w:left w:val="nil"/>
              <w:bottom w:val="single" w:color="auto" w:sz="4" w:space="0"/>
              <w:right w:val="single" w:color="auto" w:sz="4" w:space="0"/>
            </w:tcBorders>
            <w:noWrap w:val="0"/>
            <w:vAlign w:val="center"/>
          </w:tcPr>
          <w:p w14:paraId="202FDC5E">
            <w:pPr>
              <w:keepNext w:val="0"/>
              <w:keepLines w:val="0"/>
              <w:widowControl/>
              <w:suppressLineNumbers w:val="0"/>
              <w:spacing w:before="0" w:beforeAutospacing="0" w:after="0" w:afterAutospacing="0"/>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300≤Y＜2000</w:t>
            </w:r>
          </w:p>
        </w:tc>
        <w:tc>
          <w:tcPr>
            <w:tcW w:w="1098" w:type="dxa"/>
            <w:tcBorders>
              <w:top w:val="nil"/>
              <w:left w:val="nil"/>
              <w:bottom w:val="single" w:color="auto" w:sz="4" w:space="0"/>
              <w:right w:val="single" w:color="auto" w:sz="4" w:space="0"/>
            </w:tcBorders>
            <w:noWrap w:val="0"/>
            <w:vAlign w:val="center"/>
          </w:tcPr>
          <w:p w14:paraId="4618B0A7">
            <w:pPr>
              <w:keepNext w:val="0"/>
              <w:keepLines w:val="0"/>
              <w:widowControl/>
              <w:suppressLineNumbers w:val="0"/>
              <w:spacing w:before="0" w:beforeAutospacing="0" w:after="0" w:afterAutospacing="0"/>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Y＜300</w:t>
            </w:r>
          </w:p>
        </w:tc>
      </w:tr>
      <w:tr w14:paraId="6DAD7C89">
        <w:tblPrEx>
          <w:tblCellMar>
            <w:top w:w="0" w:type="dxa"/>
            <w:left w:w="108" w:type="dxa"/>
            <w:bottom w:w="0" w:type="dxa"/>
            <w:right w:w="108" w:type="dxa"/>
          </w:tblCellMar>
        </w:tblPrEx>
        <w:trPr>
          <w:trHeight w:val="336" w:hRule="atLeast"/>
          <w:jc w:val="center"/>
        </w:trPr>
        <w:tc>
          <w:tcPr>
            <w:tcW w:w="2020" w:type="dxa"/>
            <w:vMerge w:val="restart"/>
            <w:tcBorders>
              <w:top w:val="nil"/>
              <w:left w:val="single" w:color="auto" w:sz="4" w:space="0"/>
              <w:bottom w:val="single" w:color="auto" w:sz="4" w:space="0"/>
              <w:right w:val="single" w:color="auto" w:sz="4" w:space="0"/>
            </w:tcBorders>
            <w:noWrap w:val="0"/>
            <w:vAlign w:val="bottom"/>
          </w:tcPr>
          <w:p w14:paraId="0A86F9DD">
            <w:pPr>
              <w:keepNext w:val="0"/>
              <w:keepLines w:val="0"/>
              <w:widowControl/>
              <w:suppressLineNumbers w:val="0"/>
              <w:spacing w:before="0" w:beforeAutospacing="0" w:after="0" w:afterAutospacing="0"/>
              <w:ind w:left="0" w:right="0"/>
              <w:jc w:val="center"/>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建筑业</w:t>
            </w:r>
          </w:p>
        </w:tc>
        <w:tc>
          <w:tcPr>
            <w:tcW w:w="1642" w:type="dxa"/>
            <w:tcBorders>
              <w:top w:val="nil"/>
              <w:left w:val="nil"/>
              <w:bottom w:val="single" w:color="auto" w:sz="4" w:space="0"/>
              <w:right w:val="single" w:color="auto" w:sz="4" w:space="0"/>
            </w:tcBorders>
            <w:noWrap w:val="0"/>
            <w:vAlign w:val="center"/>
          </w:tcPr>
          <w:p w14:paraId="1A69AD56">
            <w:pPr>
              <w:keepNext w:val="0"/>
              <w:keepLines w:val="0"/>
              <w:widowControl/>
              <w:suppressLineNumbers w:val="0"/>
              <w:spacing w:before="0" w:beforeAutospacing="0" w:after="0" w:afterAutospacing="0"/>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营业收入（Y）</w:t>
            </w:r>
          </w:p>
        </w:tc>
        <w:tc>
          <w:tcPr>
            <w:tcW w:w="1084" w:type="dxa"/>
            <w:tcBorders>
              <w:top w:val="nil"/>
              <w:left w:val="nil"/>
              <w:bottom w:val="single" w:color="auto" w:sz="4" w:space="0"/>
              <w:right w:val="single" w:color="auto" w:sz="4" w:space="0"/>
            </w:tcBorders>
            <w:noWrap w:val="0"/>
            <w:vAlign w:val="center"/>
          </w:tcPr>
          <w:p w14:paraId="3463E747">
            <w:pPr>
              <w:keepNext w:val="0"/>
              <w:keepLines w:val="0"/>
              <w:widowControl/>
              <w:suppressLineNumbers w:val="0"/>
              <w:spacing w:before="0" w:beforeAutospacing="0" w:after="0" w:afterAutospacing="0"/>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万元</w:t>
            </w:r>
          </w:p>
        </w:tc>
        <w:tc>
          <w:tcPr>
            <w:tcW w:w="1923" w:type="dxa"/>
            <w:tcBorders>
              <w:top w:val="nil"/>
              <w:left w:val="nil"/>
              <w:bottom w:val="single" w:color="auto" w:sz="4" w:space="0"/>
              <w:right w:val="single" w:color="auto" w:sz="4" w:space="0"/>
            </w:tcBorders>
            <w:noWrap w:val="0"/>
            <w:vAlign w:val="center"/>
          </w:tcPr>
          <w:p w14:paraId="328691CE">
            <w:pPr>
              <w:keepNext w:val="0"/>
              <w:keepLines w:val="0"/>
              <w:widowControl/>
              <w:suppressLineNumbers w:val="0"/>
              <w:spacing w:before="0" w:beforeAutospacing="0" w:after="0" w:afterAutospacing="0"/>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6000≤Y＜80000</w:t>
            </w:r>
          </w:p>
        </w:tc>
        <w:tc>
          <w:tcPr>
            <w:tcW w:w="1709" w:type="dxa"/>
            <w:tcBorders>
              <w:top w:val="nil"/>
              <w:left w:val="nil"/>
              <w:bottom w:val="single" w:color="auto" w:sz="4" w:space="0"/>
              <w:right w:val="single" w:color="auto" w:sz="4" w:space="0"/>
            </w:tcBorders>
            <w:noWrap w:val="0"/>
            <w:vAlign w:val="center"/>
          </w:tcPr>
          <w:p w14:paraId="461CEA0F">
            <w:pPr>
              <w:keepNext w:val="0"/>
              <w:keepLines w:val="0"/>
              <w:widowControl/>
              <w:suppressLineNumbers w:val="0"/>
              <w:spacing w:before="0" w:beforeAutospacing="0" w:after="0" w:afterAutospacing="0"/>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300≤Y＜6000</w:t>
            </w:r>
          </w:p>
        </w:tc>
        <w:tc>
          <w:tcPr>
            <w:tcW w:w="1098" w:type="dxa"/>
            <w:tcBorders>
              <w:top w:val="nil"/>
              <w:left w:val="nil"/>
              <w:bottom w:val="single" w:color="auto" w:sz="4" w:space="0"/>
              <w:right w:val="single" w:color="auto" w:sz="4" w:space="0"/>
            </w:tcBorders>
            <w:noWrap w:val="0"/>
            <w:vAlign w:val="center"/>
          </w:tcPr>
          <w:p w14:paraId="44094891">
            <w:pPr>
              <w:keepNext w:val="0"/>
              <w:keepLines w:val="0"/>
              <w:widowControl/>
              <w:suppressLineNumbers w:val="0"/>
              <w:spacing w:before="0" w:beforeAutospacing="0" w:after="0" w:afterAutospacing="0"/>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Y＜300</w:t>
            </w:r>
          </w:p>
        </w:tc>
      </w:tr>
      <w:tr w14:paraId="1FF11925">
        <w:tblPrEx>
          <w:tblCellMar>
            <w:top w:w="0" w:type="dxa"/>
            <w:left w:w="108" w:type="dxa"/>
            <w:bottom w:w="0" w:type="dxa"/>
            <w:right w:w="108" w:type="dxa"/>
          </w:tblCellMar>
        </w:tblPrEx>
        <w:trPr>
          <w:trHeight w:val="336" w:hRule="atLeast"/>
          <w:jc w:val="center"/>
        </w:trPr>
        <w:tc>
          <w:tcPr>
            <w:tcW w:w="2020" w:type="dxa"/>
            <w:vMerge w:val="continue"/>
            <w:tcBorders>
              <w:top w:val="nil"/>
              <w:left w:val="single" w:color="auto" w:sz="4" w:space="0"/>
              <w:bottom w:val="single" w:color="auto" w:sz="4" w:space="0"/>
              <w:right w:val="single" w:color="auto" w:sz="4" w:space="0"/>
            </w:tcBorders>
            <w:noWrap w:val="0"/>
            <w:vAlign w:val="center"/>
          </w:tcPr>
          <w:p w14:paraId="6FF40EC1">
            <w:pPr>
              <w:keepNext w:val="0"/>
              <w:keepLines w:val="0"/>
              <w:widowControl/>
              <w:suppressLineNumbers w:val="0"/>
              <w:spacing w:before="0" w:beforeAutospacing="0" w:after="0" w:afterAutospacing="0"/>
              <w:ind w:left="0" w:right="0"/>
              <w:jc w:val="left"/>
              <w:rPr>
                <w:rFonts w:hint="eastAsia" w:ascii="宋体" w:hAnsi="宋体" w:cs="宋体"/>
                <w:b/>
                <w:bCs/>
                <w:color w:val="auto"/>
                <w:kern w:val="0"/>
                <w:szCs w:val="21"/>
                <w:highlight w:val="none"/>
              </w:rPr>
            </w:pPr>
          </w:p>
        </w:tc>
        <w:tc>
          <w:tcPr>
            <w:tcW w:w="1642" w:type="dxa"/>
            <w:tcBorders>
              <w:top w:val="nil"/>
              <w:left w:val="nil"/>
              <w:bottom w:val="single" w:color="auto" w:sz="4" w:space="0"/>
              <w:right w:val="single" w:color="auto" w:sz="4" w:space="0"/>
            </w:tcBorders>
            <w:noWrap w:val="0"/>
            <w:vAlign w:val="center"/>
          </w:tcPr>
          <w:p w14:paraId="550CC488">
            <w:pPr>
              <w:keepNext w:val="0"/>
              <w:keepLines w:val="0"/>
              <w:widowControl/>
              <w:suppressLineNumbers w:val="0"/>
              <w:spacing w:before="0" w:beforeAutospacing="0" w:after="0" w:afterAutospacing="0"/>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资产总额（Z）</w:t>
            </w:r>
          </w:p>
        </w:tc>
        <w:tc>
          <w:tcPr>
            <w:tcW w:w="1084" w:type="dxa"/>
            <w:tcBorders>
              <w:top w:val="nil"/>
              <w:left w:val="nil"/>
              <w:bottom w:val="single" w:color="auto" w:sz="4" w:space="0"/>
              <w:right w:val="single" w:color="auto" w:sz="4" w:space="0"/>
            </w:tcBorders>
            <w:noWrap w:val="0"/>
            <w:vAlign w:val="center"/>
          </w:tcPr>
          <w:p w14:paraId="130F5C8B">
            <w:pPr>
              <w:keepNext w:val="0"/>
              <w:keepLines w:val="0"/>
              <w:widowControl/>
              <w:suppressLineNumbers w:val="0"/>
              <w:spacing w:before="0" w:beforeAutospacing="0" w:after="0" w:afterAutospacing="0"/>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万元</w:t>
            </w:r>
          </w:p>
        </w:tc>
        <w:tc>
          <w:tcPr>
            <w:tcW w:w="1923" w:type="dxa"/>
            <w:tcBorders>
              <w:top w:val="nil"/>
              <w:left w:val="nil"/>
              <w:bottom w:val="single" w:color="auto" w:sz="4" w:space="0"/>
              <w:right w:val="single" w:color="auto" w:sz="4" w:space="0"/>
            </w:tcBorders>
            <w:noWrap w:val="0"/>
            <w:vAlign w:val="center"/>
          </w:tcPr>
          <w:p w14:paraId="3C806199">
            <w:pPr>
              <w:keepNext w:val="0"/>
              <w:keepLines w:val="0"/>
              <w:widowControl/>
              <w:suppressLineNumbers w:val="0"/>
              <w:spacing w:before="0" w:beforeAutospacing="0" w:after="0" w:afterAutospacing="0"/>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5000≤Z＜80000</w:t>
            </w:r>
          </w:p>
        </w:tc>
        <w:tc>
          <w:tcPr>
            <w:tcW w:w="1709" w:type="dxa"/>
            <w:tcBorders>
              <w:top w:val="nil"/>
              <w:left w:val="nil"/>
              <w:bottom w:val="single" w:color="auto" w:sz="4" w:space="0"/>
              <w:right w:val="single" w:color="auto" w:sz="4" w:space="0"/>
            </w:tcBorders>
            <w:noWrap w:val="0"/>
            <w:vAlign w:val="center"/>
          </w:tcPr>
          <w:p w14:paraId="34A2AE3F">
            <w:pPr>
              <w:keepNext w:val="0"/>
              <w:keepLines w:val="0"/>
              <w:widowControl/>
              <w:suppressLineNumbers w:val="0"/>
              <w:spacing w:before="0" w:beforeAutospacing="0" w:after="0" w:afterAutospacing="0"/>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300≤Z＜5000</w:t>
            </w:r>
          </w:p>
        </w:tc>
        <w:tc>
          <w:tcPr>
            <w:tcW w:w="1098" w:type="dxa"/>
            <w:tcBorders>
              <w:top w:val="nil"/>
              <w:left w:val="nil"/>
              <w:bottom w:val="single" w:color="auto" w:sz="4" w:space="0"/>
              <w:right w:val="single" w:color="auto" w:sz="4" w:space="0"/>
            </w:tcBorders>
            <w:noWrap w:val="0"/>
            <w:vAlign w:val="center"/>
          </w:tcPr>
          <w:p w14:paraId="005AFD39">
            <w:pPr>
              <w:keepNext w:val="0"/>
              <w:keepLines w:val="0"/>
              <w:widowControl/>
              <w:suppressLineNumbers w:val="0"/>
              <w:spacing w:before="0" w:beforeAutospacing="0" w:after="0" w:afterAutospacing="0"/>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Z＜300</w:t>
            </w:r>
          </w:p>
        </w:tc>
      </w:tr>
      <w:tr w14:paraId="0E943D04">
        <w:tblPrEx>
          <w:tblCellMar>
            <w:top w:w="0" w:type="dxa"/>
            <w:left w:w="108" w:type="dxa"/>
            <w:bottom w:w="0" w:type="dxa"/>
            <w:right w:w="108" w:type="dxa"/>
          </w:tblCellMar>
        </w:tblPrEx>
        <w:trPr>
          <w:trHeight w:val="336" w:hRule="atLeast"/>
          <w:jc w:val="center"/>
        </w:trPr>
        <w:tc>
          <w:tcPr>
            <w:tcW w:w="2020" w:type="dxa"/>
            <w:vMerge w:val="restart"/>
            <w:tcBorders>
              <w:top w:val="nil"/>
              <w:left w:val="single" w:color="auto" w:sz="4" w:space="0"/>
              <w:bottom w:val="single" w:color="auto" w:sz="4" w:space="0"/>
              <w:right w:val="single" w:color="auto" w:sz="4" w:space="0"/>
            </w:tcBorders>
            <w:noWrap w:val="0"/>
            <w:vAlign w:val="bottom"/>
          </w:tcPr>
          <w:p w14:paraId="4A729C84">
            <w:pPr>
              <w:keepNext w:val="0"/>
              <w:keepLines w:val="0"/>
              <w:widowControl/>
              <w:suppressLineNumbers w:val="0"/>
              <w:spacing w:before="0" w:beforeAutospacing="0" w:after="0" w:afterAutospacing="0"/>
              <w:ind w:left="0" w:right="0"/>
              <w:jc w:val="center"/>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批发业</w:t>
            </w:r>
          </w:p>
        </w:tc>
        <w:tc>
          <w:tcPr>
            <w:tcW w:w="1642" w:type="dxa"/>
            <w:tcBorders>
              <w:top w:val="nil"/>
              <w:left w:val="nil"/>
              <w:bottom w:val="single" w:color="auto" w:sz="4" w:space="0"/>
              <w:right w:val="single" w:color="auto" w:sz="4" w:space="0"/>
            </w:tcBorders>
            <w:noWrap w:val="0"/>
            <w:vAlign w:val="center"/>
          </w:tcPr>
          <w:p w14:paraId="35D51BC6">
            <w:pPr>
              <w:keepNext w:val="0"/>
              <w:keepLines w:val="0"/>
              <w:widowControl/>
              <w:suppressLineNumbers w:val="0"/>
              <w:spacing w:before="0" w:beforeAutospacing="0" w:after="0" w:afterAutospacing="0"/>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从业人员（X）</w:t>
            </w:r>
          </w:p>
        </w:tc>
        <w:tc>
          <w:tcPr>
            <w:tcW w:w="1084" w:type="dxa"/>
            <w:tcBorders>
              <w:top w:val="nil"/>
              <w:left w:val="nil"/>
              <w:bottom w:val="single" w:color="auto" w:sz="4" w:space="0"/>
              <w:right w:val="single" w:color="auto" w:sz="4" w:space="0"/>
            </w:tcBorders>
            <w:noWrap w:val="0"/>
            <w:vAlign w:val="center"/>
          </w:tcPr>
          <w:p w14:paraId="59774879">
            <w:pPr>
              <w:keepNext w:val="0"/>
              <w:keepLines w:val="0"/>
              <w:widowControl/>
              <w:suppressLineNumbers w:val="0"/>
              <w:spacing w:before="0" w:beforeAutospacing="0" w:after="0" w:afterAutospacing="0"/>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人</w:t>
            </w:r>
          </w:p>
        </w:tc>
        <w:tc>
          <w:tcPr>
            <w:tcW w:w="1923" w:type="dxa"/>
            <w:tcBorders>
              <w:top w:val="nil"/>
              <w:left w:val="nil"/>
              <w:bottom w:val="single" w:color="auto" w:sz="4" w:space="0"/>
              <w:right w:val="single" w:color="auto" w:sz="4" w:space="0"/>
            </w:tcBorders>
            <w:noWrap w:val="0"/>
            <w:vAlign w:val="center"/>
          </w:tcPr>
          <w:p w14:paraId="7E1D1E39">
            <w:pPr>
              <w:keepNext w:val="0"/>
              <w:keepLines w:val="0"/>
              <w:widowControl/>
              <w:suppressLineNumbers w:val="0"/>
              <w:spacing w:before="0" w:beforeAutospacing="0" w:after="0" w:afterAutospacing="0"/>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20≤X＜200</w:t>
            </w:r>
          </w:p>
        </w:tc>
        <w:tc>
          <w:tcPr>
            <w:tcW w:w="1709" w:type="dxa"/>
            <w:tcBorders>
              <w:top w:val="nil"/>
              <w:left w:val="nil"/>
              <w:bottom w:val="single" w:color="auto" w:sz="4" w:space="0"/>
              <w:right w:val="single" w:color="auto" w:sz="4" w:space="0"/>
            </w:tcBorders>
            <w:noWrap w:val="0"/>
            <w:vAlign w:val="center"/>
          </w:tcPr>
          <w:p w14:paraId="1F13A133">
            <w:pPr>
              <w:keepNext w:val="0"/>
              <w:keepLines w:val="0"/>
              <w:widowControl/>
              <w:suppressLineNumbers w:val="0"/>
              <w:spacing w:before="0" w:beforeAutospacing="0" w:after="0" w:afterAutospacing="0"/>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5≤X＜20</w:t>
            </w:r>
          </w:p>
        </w:tc>
        <w:tc>
          <w:tcPr>
            <w:tcW w:w="1098" w:type="dxa"/>
            <w:tcBorders>
              <w:top w:val="nil"/>
              <w:left w:val="nil"/>
              <w:bottom w:val="single" w:color="auto" w:sz="4" w:space="0"/>
              <w:right w:val="single" w:color="auto" w:sz="4" w:space="0"/>
            </w:tcBorders>
            <w:noWrap w:val="0"/>
            <w:vAlign w:val="center"/>
          </w:tcPr>
          <w:p w14:paraId="5CFF7C84">
            <w:pPr>
              <w:keepNext w:val="0"/>
              <w:keepLines w:val="0"/>
              <w:widowControl/>
              <w:suppressLineNumbers w:val="0"/>
              <w:spacing w:before="0" w:beforeAutospacing="0" w:after="0" w:afterAutospacing="0"/>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X＜5</w:t>
            </w:r>
          </w:p>
        </w:tc>
      </w:tr>
      <w:tr w14:paraId="1F3E08DB">
        <w:tblPrEx>
          <w:tblCellMar>
            <w:top w:w="0" w:type="dxa"/>
            <w:left w:w="108" w:type="dxa"/>
            <w:bottom w:w="0" w:type="dxa"/>
            <w:right w:w="108" w:type="dxa"/>
          </w:tblCellMar>
        </w:tblPrEx>
        <w:trPr>
          <w:trHeight w:val="336" w:hRule="atLeast"/>
          <w:jc w:val="center"/>
        </w:trPr>
        <w:tc>
          <w:tcPr>
            <w:tcW w:w="2020" w:type="dxa"/>
            <w:vMerge w:val="continue"/>
            <w:tcBorders>
              <w:top w:val="nil"/>
              <w:left w:val="single" w:color="auto" w:sz="4" w:space="0"/>
              <w:bottom w:val="single" w:color="auto" w:sz="4" w:space="0"/>
              <w:right w:val="single" w:color="auto" w:sz="4" w:space="0"/>
            </w:tcBorders>
            <w:noWrap w:val="0"/>
            <w:vAlign w:val="center"/>
          </w:tcPr>
          <w:p w14:paraId="62663978">
            <w:pPr>
              <w:keepNext w:val="0"/>
              <w:keepLines w:val="0"/>
              <w:widowControl/>
              <w:suppressLineNumbers w:val="0"/>
              <w:spacing w:before="0" w:beforeAutospacing="0" w:after="0" w:afterAutospacing="0"/>
              <w:ind w:left="0" w:right="0"/>
              <w:jc w:val="left"/>
              <w:rPr>
                <w:rFonts w:hint="eastAsia" w:ascii="宋体" w:hAnsi="宋体" w:cs="宋体"/>
                <w:b/>
                <w:bCs/>
                <w:color w:val="auto"/>
                <w:kern w:val="0"/>
                <w:szCs w:val="21"/>
                <w:highlight w:val="none"/>
              </w:rPr>
            </w:pPr>
          </w:p>
        </w:tc>
        <w:tc>
          <w:tcPr>
            <w:tcW w:w="1642" w:type="dxa"/>
            <w:tcBorders>
              <w:top w:val="nil"/>
              <w:left w:val="nil"/>
              <w:bottom w:val="single" w:color="auto" w:sz="4" w:space="0"/>
              <w:right w:val="single" w:color="auto" w:sz="4" w:space="0"/>
            </w:tcBorders>
            <w:noWrap w:val="0"/>
            <w:vAlign w:val="center"/>
          </w:tcPr>
          <w:p w14:paraId="5CCDBC59">
            <w:pPr>
              <w:keepNext w:val="0"/>
              <w:keepLines w:val="0"/>
              <w:widowControl/>
              <w:suppressLineNumbers w:val="0"/>
              <w:spacing w:before="0" w:beforeAutospacing="0" w:after="0" w:afterAutospacing="0"/>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营业收入（Y）</w:t>
            </w:r>
          </w:p>
        </w:tc>
        <w:tc>
          <w:tcPr>
            <w:tcW w:w="1084" w:type="dxa"/>
            <w:tcBorders>
              <w:top w:val="nil"/>
              <w:left w:val="nil"/>
              <w:bottom w:val="single" w:color="auto" w:sz="4" w:space="0"/>
              <w:right w:val="single" w:color="auto" w:sz="4" w:space="0"/>
            </w:tcBorders>
            <w:noWrap w:val="0"/>
            <w:vAlign w:val="center"/>
          </w:tcPr>
          <w:p w14:paraId="6159B9F7">
            <w:pPr>
              <w:keepNext w:val="0"/>
              <w:keepLines w:val="0"/>
              <w:widowControl/>
              <w:suppressLineNumbers w:val="0"/>
              <w:spacing w:before="0" w:beforeAutospacing="0" w:after="0" w:afterAutospacing="0"/>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万元</w:t>
            </w:r>
          </w:p>
        </w:tc>
        <w:tc>
          <w:tcPr>
            <w:tcW w:w="1923" w:type="dxa"/>
            <w:tcBorders>
              <w:top w:val="nil"/>
              <w:left w:val="nil"/>
              <w:bottom w:val="single" w:color="auto" w:sz="4" w:space="0"/>
              <w:right w:val="single" w:color="auto" w:sz="4" w:space="0"/>
            </w:tcBorders>
            <w:noWrap w:val="0"/>
            <w:vAlign w:val="center"/>
          </w:tcPr>
          <w:p w14:paraId="0C283557">
            <w:pPr>
              <w:keepNext w:val="0"/>
              <w:keepLines w:val="0"/>
              <w:widowControl/>
              <w:suppressLineNumbers w:val="0"/>
              <w:spacing w:before="0" w:beforeAutospacing="0" w:after="0" w:afterAutospacing="0"/>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5000≤Y＜40000</w:t>
            </w:r>
          </w:p>
        </w:tc>
        <w:tc>
          <w:tcPr>
            <w:tcW w:w="1709" w:type="dxa"/>
            <w:tcBorders>
              <w:top w:val="nil"/>
              <w:left w:val="nil"/>
              <w:bottom w:val="single" w:color="auto" w:sz="4" w:space="0"/>
              <w:right w:val="single" w:color="auto" w:sz="4" w:space="0"/>
            </w:tcBorders>
            <w:noWrap w:val="0"/>
            <w:vAlign w:val="center"/>
          </w:tcPr>
          <w:p w14:paraId="168408E0">
            <w:pPr>
              <w:keepNext w:val="0"/>
              <w:keepLines w:val="0"/>
              <w:widowControl/>
              <w:suppressLineNumbers w:val="0"/>
              <w:spacing w:before="0" w:beforeAutospacing="0" w:after="0" w:afterAutospacing="0"/>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1000≤Y＜5000</w:t>
            </w:r>
          </w:p>
        </w:tc>
        <w:tc>
          <w:tcPr>
            <w:tcW w:w="1098" w:type="dxa"/>
            <w:tcBorders>
              <w:top w:val="nil"/>
              <w:left w:val="nil"/>
              <w:bottom w:val="single" w:color="auto" w:sz="4" w:space="0"/>
              <w:right w:val="single" w:color="auto" w:sz="4" w:space="0"/>
            </w:tcBorders>
            <w:noWrap w:val="0"/>
            <w:vAlign w:val="center"/>
          </w:tcPr>
          <w:p w14:paraId="0D1D47DE">
            <w:pPr>
              <w:keepNext w:val="0"/>
              <w:keepLines w:val="0"/>
              <w:widowControl/>
              <w:suppressLineNumbers w:val="0"/>
              <w:spacing w:before="0" w:beforeAutospacing="0" w:after="0" w:afterAutospacing="0"/>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Y＜1000</w:t>
            </w:r>
          </w:p>
        </w:tc>
      </w:tr>
      <w:tr w14:paraId="11F48A09">
        <w:tblPrEx>
          <w:tblCellMar>
            <w:top w:w="0" w:type="dxa"/>
            <w:left w:w="108" w:type="dxa"/>
            <w:bottom w:w="0" w:type="dxa"/>
            <w:right w:w="108" w:type="dxa"/>
          </w:tblCellMar>
        </w:tblPrEx>
        <w:trPr>
          <w:trHeight w:val="336" w:hRule="atLeast"/>
          <w:jc w:val="center"/>
        </w:trPr>
        <w:tc>
          <w:tcPr>
            <w:tcW w:w="2020" w:type="dxa"/>
            <w:vMerge w:val="restart"/>
            <w:tcBorders>
              <w:top w:val="nil"/>
              <w:left w:val="single" w:color="auto" w:sz="4" w:space="0"/>
              <w:bottom w:val="single" w:color="auto" w:sz="4" w:space="0"/>
              <w:right w:val="single" w:color="auto" w:sz="4" w:space="0"/>
            </w:tcBorders>
            <w:noWrap w:val="0"/>
            <w:vAlign w:val="bottom"/>
          </w:tcPr>
          <w:p w14:paraId="4CD27628">
            <w:pPr>
              <w:keepNext w:val="0"/>
              <w:keepLines w:val="0"/>
              <w:widowControl/>
              <w:suppressLineNumbers w:val="0"/>
              <w:spacing w:before="0" w:beforeAutospacing="0" w:after="0" w:afterAutospacing="0"/>
              <w:ind w:left="0" w:right="0"/>
              <w:jc w:val="center"/>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零售业</w:t>
            </w:r>
          </w:p>
        </w:tc>
        <w:tc>
          <w:tcPr>
            <w:tcW w:w="1642" w:type="dxa"/>
            <w:tcBorders>
              <w:top w:val="nil"/>
              <w:left w:val="nil"/>
              <w:bottom w:val="single" w:color="auto" w:sz="4" w:space="0"/>
              <w:right w:val="single" w:color="auto" w:sz="4" w:space="0"/>
            </w:tcBorders>
            <w:noWrap w:val="0"/>
            <w:vAlign w:val="center"/>
          </w:tcPr>
          <w:p w14:paraId="0874B60D">
            <w:pPr>
              <w:keepNext w:val="0"/>
              <w:keepLines w:val="0"/>
              <w:widowControl/>
              <w:suppressLineNumbers w:val="0"/>
              <w:spacing w:before="0" w:beforeAutospacing="0" w:after="0" w:afterAutospacing="0"/>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从业人员（X）</w:t>
            </w:r>
          </w:p>
        </w:tc>
        <w:tc>
          <w:tcPr>
            <w:tcW w:w="1084" w:type="dxa"/>
            <w:tcBorders>
              <w:top w:val="nil"/>
              <w:left w:val="nil"/>
              <w:bottom w:val="single" w:color="auto" w:sz="4" w:space="0"/>
              <w:right w:val="single" w:color="auto" w:sz="4" w:space="0"/>
            </w:tcBorders>
            <w:noWrap w:val="0"/>
            <w:vAlign w:val="center"/>
          </w:tcPr>
          <w:p w14:paraId="3C76A51D">
            <w:pPr>
              <w:keepNext w:val="0"/>
              <w:keepLines w:val="0"/>
              <w:widowControl/>
              <w:suppressLineNumbers w:val="0"/>
              <w:spacing w:before="0" w:beforeAutospacing="0" w:after="0" w:afterAutospacing="0"/>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人</w:t>
            </w:r>
          </w:p>
        </w:tc>
        <w:tc>
          <w:tcPr>
            <w:tcW w:w="1923" w:type="dxa"/>
            <w:tcBorders>
              <w:top w:val="nil"/>
              <w:left w:val="nil"/>
              <w:bottom w:val="single" w:color="auto" w:sz="4" w:space="0"/>
              <w:right w:val="single" w:color="auto" w:sz="4" w:space="0"/>
            </w:tcBorders>
            <w:noWrap w:val="0"/>
            <w:vAlign w:val="center"/>
          </w:tcPr>
          <w:p w14:paraId="7F764827">
            <w:pPr>
              <w:keepNext w:val="0"/>
              <w:keepLines w:val="0"/>
              <w:widowControl/>
              <w:suppressLineNumbers w:val="0"/>
              <w:spacing w:before="0" w:beforeAutospacing="0" w:after="0" w:afterAutospacing="0"/>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50≤X＜300</w:t>
            </w:r>
          </w:p>
        </w:tc>
        <w:tc>
          <w:tcPr>
            <w:tcW w:w="1709" w:type="dxa"/>
            <w:tcBorders>
              <w:top w:val="nil"/>
              <w:left w:val="nil"/>
              <w:bottom w:val="single" w:color="auto" w:sz="4" w:space="0"/>
              <w:right w:val="single" w:color="auto" w:sz="4" w:space="0"/>
            </w:tcBorders>
            <w:noWrap w:val="0"/>
            <w:vAlign w:val="center"/>
          </w:tcPr>
          <w:p w14:paraId="51348D97">
            <w:pPr>
              <w:keepNext w:val="0"/>
              <w:keepLines w:val="0"/>
              <w:widowControl/>
              <w:suppressLineNumbers w:val="0"/>
              <w:spacing w:before="0" w:beforeAutospacing="0" w:after="0" w:afterAutospacing="0"/>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10≤X＜50</w:t>
            </w:r>
          </w:p>
        </w:tc>
        <w:tc>
          <w:tcPr>
            <w:tcW w:w="1098" w:type="dxa"/>
            <w:tcBorders>
              <w:top w:val="nil"/>
              <w:left w:val="nil"/>
              <w:bottom w:val="single" w:color="auto" w:sz="4" w:space="0"/>
              <w:right w:val="single" w:color="auto" w:sz="4" w:space="0"/>
            </w:tcBorders>
            <w:noWrap w:val="0"/>
            <w:vAlign w:val="center"/>
          </w:tcPr>
          <w:p w14:paraId="1002D60F">
            <w:pPr>
              <w:keepNext w:val="0"/>
              <w:keepLines w:val="0"/>
              <w:widowControl/>
              <w:suppressLineNumbers w:val="0"/>
              <w:spacing w:before="0" w:beforeAutospacing="0" w:after="0" w:afterAutospacing="0"/>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X＜10</w:t>
            </w:r>
          </w:p>
        </w:tc>
      </w:tr>
      <w:tr w14:paraId="356366A1">
        <w:tblPrEx>
          <w:tblCellMar>
            <w:top w:w="0" w:type="dxa"/>
            <w:left w:w="108" w:type="dxa"/>
            <w:bottom w:w="0" w:type="dxa"/>
            <w:right w:w="108" w:type="dxa"/>
          </w:tblCellMar>
        </w:tblPrEx>
        <w:trPr>
          <w:trHeight w:val="336" w:hRule="atLeast"/>
          <w:jc w:val="center"/>
        </w:trPr>
        <w:tc>
          <w:tcPr>
            <w:tcW w:w="2020" w:type="dxa"/>
            <w:vMerge w:val="continue"/>
            <w:tcBorders>
              <w:top w:val="nil"/>
              <w:left w:val="single" w:color="auto" w:sz="4" w:space="0"/>
              <w:bottom w:val="single" w:color="auto" w:sz="4" w:space="0"/>
              <w:right w:val="single" w:color="auto" w:sz="4" w:space="0"/>
            </w:tcBorders>
            <w:noWrap w:val="0"/>
            <w:vAlign w:val="center"/>
          </w:tcPr>
          <w:p w14:paraId="45164169">
            <w:pPr>
              <w:keepNext w:val="0"/>
              <w:keepLines w:val="0"/>
              <w:widowControl/>
              <w:suppressLineNumbers w:val="0"/>
              <w:spacing w:before="0" w:beforeAutospacing="0" w:after="0" w:afterAutospacing="0"/>
              <w:ind w:left="0" w:right="0"/>
              <w:jc w:val="left"/>
              <w:rPr>
                <w:rFonts w:hint="eastAsia" w:ascii="宋体" w:hAnsi="宋体" w:cs="宋体"/>
                <w:b/>
                <w:bCs/>
                <w:color w:val="auto"/>
                <w:kern w:val="0"/>
                <w:szCs w:val="21"/>
                <w:highlight w:val="none"/>
              </w:rPr>
            </w:pPr>
          </w:p>
        </w:tc>
        <w:tc>
          <w:tcPr>
            <w:tcW w:w="1642" w:type="dxa"/>
            <w:tcBorders>
              <w:top w:val="nil"/>
              <w:left w:val="nil"/>
              <w:bottom w:val="single" w:color="auto" w:sz="4" w:space="0"/>
              <w:right w:val="single" w:color="auto" w:sz="4" w:space="0"/>
            </w:tcBorders>
            <w:noWrap w:val="0"/>
            <w:vAlign w:val="center"/>
          </w:tcPr>
          <w:p w14:paraId="46FC8C29">
            <w:pPr>
              <w:keepNext w:val="0"/>
              <w:keepLines w:val="0"/>
              <w:widowControl/>
              <w:suppressLineNumbers w:val="0"/>
              <w:spacing w:before="0" w:beforeAutospacing="0" w:after="0" w:afterAutospacing="0"/>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营业收入（Y）</w:t>
            </w:r>
          </w:p>
        </w:tc>
        <w:tc>
          <w:tcPr>
            <w:tcW w:w="1084" w:type="dxa"/>
            <w:tcBorders>
              <w:top w:val="nil"/>
              <w:left w:val="nil"/>
              <w:bottom w:val="single" w:color="auto" w:sz="4" w:space="0"/>
              <w:right w:val="single" w:color="auto" w:sz="4" w:space="0"/>
            </w:tcBorders>
            <w:noWrap w:val="0"/>
            <w:vAlign w:val="center"/>
          </w:tcPr>
          <w:p w14:paraId="3DD13202">
            <w:pPr>
              <w:keepNext w:val="0"/>
              <w:keepLines w:val="0"/>
              <w:widowControl/>
              <w:suppressLineNumbers w:val="0"/>
              <w:spacing w:before="0" w:beforeAutospacing="0" w:after="0" w:afterAutospacing="0"/>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万元</w:t>
            </w:r>
          </w:p>
        </w:tc>
        <w:tc>
          <w:tcPr>
            <w:tcW w:w="1923" w:type="dxa"/>
            <w:tcBorders>
              <w:top w:val="nil"/>
              <w:left w:val="nil"/>
              <w:bottom w:val="single" w:color="auto" w:sz="4" w:space="0"/>
              <w:right w:val="single" w:color="auto" w:sz="4" w:space="0"/>
            </w:tcBorders>
            <w:noWrap w:val="0"/>
            <w:vAlign w:val="center"/>
          </w:tcPr>
          <w:p w14:paraId="7C9D7352">
            <w:pPr>
              <w:keepNext w:val="0"/>
              <w:keepLines w:val="0"/>
              <w:widowControl/>
              <w:suppressLineNumbers w:val="0"/>
              <w:spacing w:before="0" w:beforeAutospacing="0" w:after="0" w:afterAutospacing="0"/>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500≤Y＜20000</w:t>
            </w:r>
          </w:p>
        </w:tc>
        <w:tc>
          <w:tcPr>
            <w:tcW w:w="1709" w:type="dxa"/>
            <w:tcBorders>
              <w:top w:val="nil"/>
              <w:left w:val="nil"/>
              <w:bottom w:val="single" w:color="auto" w:sz="4" w:space="0"/>
              <w:right w:val="single" w:color="auto" w:sz="4" w:space="0"/>
            </w:tcBorders>
            <w:noWrap w:val="0"/>
            <w:vAlign w:val="center"/>
          </w:tcPr>
          <w:p w14:paraId="6BDB7342">
            <w:pPr>
              <w:keepNext w:val="0"/>
              <w:keepLines w:val="0"/>
              <w:widowControl/>
              <w:suppressLineNumbers w:val="0"/>
              <w:spacing w:before="0" w:beforeAutospacing="0" w:after="0" w:afterAutospacing="0"/>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100≤Y＜500</w:t>
            </w:r>
          </w:p>
        </w:tc>
        <w:tc>
          <w:tcPr>
            <w:tcW w:w="1098" w:type="dxa"/>
            <w:tcBorders>
              <w:top w:val="nil"/>
              <w:left w:val="nil"/>
              <w:bottom w:val="single" w:color="auto" w:sz="4" w:space="0"/>
              <w:right w:val="single" w:color="auto" w:sz="4" w:space="0"/>
            </w:tcBorders>
            <w:noWrap w:val="0"/>
            <w:vAlign w:val="center"/>
          </w:tcPr>
          <w:p w14:paraId="0517496F">
            <w:pPr>
              <w:keepNext w:val="0"/>
              <w:keepLines w:val="0"/>
              <w:widowControl/>
              <w:suppressLineNumbers w:val="0"/>
              <w:spacing w:before="0" w:beforeAutospacing="0" w:after="0" w:afterAutospacing="0"/>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Y＜100</w:t>
            </w:r>
          </w:p>
        </w:tc>
      </w:tr>
      <w:tr w14:paraId="334038B3">
        <w:tblPrEx>
          <w:tblCellMar>
            <w:top w:w="0" w:type="dxa"/>
            <w:left w:w="108" w:type="dxa"/>
            <w:bottom w:w="0" w:type="dxa"/>
            <w:right w:w="108" w:type="dxa"/>
          </w:tblCellMar>
        </w:tblPrEx>
        <w:trPr>
          <w:trHeight w:val="336" w:hRule="atLeast"/>
          <w:jc w:val="center"/>
        </w:trPr>
        <w:tc>
          <w:tcPr>
            <w:tcW w:w="2020" w:type="dxa"/>
            <w:vMerge w:val="restart"/>
            <w:tcBorders>
              <w:top w:val="nil"/>
              <w:left w:val="single" w:color="auto" w:sz="4" w:space="0"/>
              <w:bottom w:val="single" w:color="auto" w:sz="4" w:space="0"/>
              <w:right w:val="single" w:color="auto" w:sz="4" w:space="0"/>
            </w:tcBorders>
            <w:noWrap w:val="0"/>
            <w:vAlign w:val="bottom"/>
          </w:tcPr>
          <w:p w14:paraId="31A46B1E">
            <w:pPr>
              <w:keepNext w:val="0"/>
              <w:keepLines w:val="0"/>
              <w:widowControl/>
              <w:suppressLineNumbers w:val="0"/>
              <w:spacing w:before="0" w:beforeAutospacing="0" w:after="0" w:afterAutospacing="0"/>
              <w:ind w:left="0" w:right="0"/>
              <w:jc w:val="center"/>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交通运输业</w:t>
            </w:r>
          </w:p>
        </w:tc>
        <w:tc>
          <w:tcPr>
            <w:tcW w:w="1642" w:type="dxa"/>
            <w:tcBorders>
              <w:top w:val="nil"/>
              <w:left w:val="nil"/>
              <w:bottom w:val="single" w:color="auto" w:sz="4" w:space="0"/>
              <w:right w:val="single" w:color="auto" w:sz="4" w:space="0"/>
            </w:tcBorders>
            <w:noWrap w:val="0"/>
            <w:vAlign w:val="center"/>
          </w:tcPr>
          <w:p w14:paraId="502AFE36">
            <w:pPr>
              <w:keepNext w:val="0"/>
              <w:keepLines w:val="0"/>
              <w:widowControl/>
              <w:suppressLineNumbers w:val="0"/>
              <w:spacing w:before="0" w:beforeAutospacing="0" w:after="0" w:afterAutospacing="0"/>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从业人员（X）</w:t>
            </w:r>
          </w:p>
        </w:tc>
        <w:tc>
          <w:tcPr>
            <w:tcW w:w="1084" w:type="dxa"/>
            <w:tcBorders>
              <w:top w:val="nil"/>
              <w:left w:val="nil"/>
              <w:bottom w:val="single" w:color="auto" w:sz="4" w:space="0"/>
              <w:right w:val="single" w:color="auto" w:sz="4" w:space="0"/>
            </w:tcBorders>
            <w:noWrap w:val="0"/>
            <w:vAlign w:val="center"/>
          </w:tcPr>
          <w:p w14:paraId="34126BFE">
            <w:pPr>
              <w:keepNext w:val="0"/>
              <w:keepLines w:val="0"/>
              <w:widowControl/>
              <w:suppressLineNumbers w:val="0"/>
              <w:spacing w:before="0" w:beforeAutospacing="0" w:after="0" w:afterAutospacing="0"/>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人</w:t>
            </w:r>
          </w:p>
        </w:tc>
        <w:tc>
          <w:tcPr>
            <w:tcW w:w="1923" w:type="dxa"/>
            <w:tcBorders>
              <w:top w:val="nil"/>
              <w:left w:val="nil"/>
              <w:bottom w:val="single" w:color="auto" w:sz="4" w:space="0"/>
              <w:right w:val="single" w:color="auto" w:sz="4" w:space="0"/>
            </w:tcBorders>
            <w:noWrap w:val="0"/>
            <w:vAlign w:val="center"/>
          </w:tcPr>
          <w:p w14:paraId="78AD032E">
            <w:pPr>
              <w:keepNext w:val="0"/>
              <w:keepLines w:val="0"/>
              <w:widowControl/>
              <w:suppressLineNumbers w:val="0"/>
              <w:spacing w:before="0" w:beforeAutospacing="0" w:after="0" w:afterAutospacing="0"/>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300≤X＜1000</w:t>
            </w:r>
          </w:p>
        </w:tc>
        <w:tc>
          <w:tcPr>
            <w:tcW w:w="1709" w:type="dxa"/>
            <w:tcBorders>
              <w:top w:val="nil"/>
              <w:left w:val="nil"/>
              <w:bottom w:val="single" w:color="auto" w:sz="4" w:space="0"/>
              <w:right w:val="single" w:color="auto" w:sz="4" w:space="0"/>
            </w:tcBorders>
            <w:noWrap w:val="0"/>
            <w:vAlign w:val="center"/>
          </w:tcPr>
          <w:p w14:paraId="2310AA2D">
            <w:pPr>
              <w:keepNext w:val="0"/>
              <w:keepLines w:val="0"/>
              <w:widowControl/>
              <w:suppressLineNumbers w:val="0"/>
              <w:spacing w:before="0" w:beforeAutospacing="0" w:after="0" w:afterAutospacing="0"/>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20≤X＜300</w:t>
            </w:r>
          </w:p>
        </w:tc>
        <w:tc>
          <w:tcPr>
            <w:tcW w:w="1098" w:type="dxa"/>
            <w:tcBorders>
              <w:top w:val="nil"/>
              <w:left w:val="nil"/>
              <w:bottom w:val="single" w:color="auto" w:sz="4" w:space="0"/>
              <w:right w:val="single" w:color="auto" w:sz="4" w:space="0"/>
            </w:tcBorders>
            <w:noWrap w:val="0"/>
            <w:vAlign w:val="center"/>
          </w:tcPr>
          <w:p w14:paraId="29B532FE">
            <w:pPr>
              <w:keepNext w:val="0"/>
              <w:keepLines w:val="0"/>
              <w:widowControl/>
              <w:suppressLineNumbers w:val="0"/>
              <w:spacing w:before="0" w:beforeAutospacing="0" w:after="0" w:afterAutospacing="0"/>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X＜20</w:t>
            </w:r>
          </w:p>
        </w:tc>
      </w:tr>
      <w:tr w14:paraId="1A561B90">
        <w:tblPrEx>
          <w:tblCellMar>
            <w:top w:w="0" w:type="dxa"/>
            <w:left w:w="108" w:type="dxa"/>
            <w:bottom w:w="0" w:type="dxa"/>
            <w:right w:w="108" w:type="dxa"/>
          </w:tblCellMar>
        </w:tblPrEx>
        <w:trPr>
          <w:trHeight w:val="336" w:hRule="atLeast"/>
          <w:jc w:val="center"/>
        </w:trPr>
        <w:tc>
          <w:tcPr>
            <w:tcW w:w="2020" w:type="dxa"/>
            <w:vMerge w:val="continue"/>
            <w:tcBorders>
              <w:top w:val="nil"/>
              <w:left w:val="single" w:color="auto" w:sz="4" w:space="0"/>
              <w:bottom w:val="single" w:color="auto" w:sz="4" w:space="0"/>
              <w:right w:val="single" w:color="auto" w:sz="4" w:space="0"/>
            </w:tcBorders>
            <w:noWrap w:val="0"/>
            <w:vAlign w:val="center"/>
          </w:tcPr>
          <w:p w14:paraId="7E56E09A">
            <w:pPr>
              <w:keepNext w:val="0"/>
              <w:keepLines w:val="0"/>
              <w:widowControl/>
              <w:suppressLineNumbers w:val="0"/>
              <w:spacing w:before="0" w:beforeAutospacing="0" w:after="0" w:afterAutospacing="0"/>
              <w:ind w:left="0" w:right="0"/>
              <w:jc w:val="left"/>
              <w:rPr>
                <w:rFonts w:hint="eastAsia" w:ascii="宋体" w:hAnsi="宋体" w:cs="宋体"/>
                <w:b/>
                <w:bCs/>
                <w:color w:val="auto"/>
                <w:kern w:val="0"/>
                <w:szCs w:val="21"/>
                <w:highlight w:val="none"/>
              </w:rPr>
            </w:pPr>
          </w:p>
        </w:tc>
        <w:tc>
          <w:tcPr>
            <w:tcW w:w="1642" w:type="dxa"/>
            <w:tcBorders>
              <w:top w:val="nil"/>
              <w:left w:val="nil"/>
              <w:bottom w:val="single" w:color="auto" w:sz="4" w:space="0"/>
              <w:right w:val="single" w:color="auto" w:sz="4" w:space="0"/>
            </w:tcBorders>
            <w:noWrap w:val="0"/>
            <w:vAlign w:val="center"/>
          </w:tcPr>
          <w:p w14:paraId="73764A49">
            <w:pPr>
              <w:keepNext w:val="0"/>
              <w:keepLines w:val="0"/>
              <w:widowControl/>
              <w:suppressLineNumbers w:val="0"/>
              <w:spacing w:before="0" w:beforeAutospacing="0" w:after="0" w:afterAutospacing="0"/>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营业收入（Y）</w:t>
            </w:r>
          </w:p>
        </w:tc>
        <w:tc>
          <w:tcPr>
            <w:tcW w:w="1084" w:type="dxa"/>
            <w:tcBorders>
              <w:top w:val="nil"/>
              <w:left w:val="nil"/>
              <w:bottom w:val="single" w:color="auto" w:sz="4" w:space="0"/>
              <w:right w:val="single" w:color="auto" w:sz="4" w:space="0"/>
            </w:tcBorders>
            <w:noWrap w:val="0"/>
            <w:vAlign w:val="center"/>
          </w:tcPr>
          <w:p w14:paraId="552565A6">
            <w:pPr>
              <w:keepNext w:val="0"/>
              <w:keepLines w:val="0"/>
              <w:widowControl/>
              <w:suppressLineNumbers w:val="0"/>
              <w:spacing w:before="0" w:beforeAutospacing="0" w:after="0" w:afterAutospacing="0"/>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万元</w:t>
            </w:r>
          </w:p>
        </w:tc>
        <w:tc>
          <w:tcPr>
            <w:tcW w:w="1923" w:type="dxa"/>
            <w:tcBorders>
              <w:top w:val="nil"/>
              <w:left w:val="nil"/>
              <w:bottom w:val="single" w:color="auto" w:sz="4" w:space="0"/>
              <w:right w:val="single" w:color="auto" w:sz="4" w:space="0"/>
            </w:tcBorders>
            <w:noWrap w:val="0"/>
            <w:vAlign w:val="center"/>
          </w:tcPr>
          <w:p w14:paraId="363F16F3">
            <w:pPr>
              <w:keepNext w:val="0"/>
              <w:keepLines w:val="0"/>
              <w:widowControl/>
              <w:suppressLineNumbers w:val="0"/>
              <w:spacing w:before="0" w:beforeAutospacing="0" w:after="0" w:afterAutospacing="0"/>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3000≤Y＜30000</w:t>
            </w:r>
          </w:p>
        </w:tc>
        <w:tc>
          <w:tcPr>
            <w:tcW w:w="1709" w:type="dxa"/>
            <w:tcBorders>
              <w:top w:val="nil"/>
              <w:left w:val="nil"/>
              <w:bottom w:val="single" w:color="auto" w:sz="4" w:space="0"/>
              <w:right w:val="single" w:color="auto" w:sz="4" w:space="0"/>
            </w:tcBorders>
            <w:noWrap w:val="0"/>
            <w:vAlign w:val="center"/>
          </w:tcPr>
          <w:p w14:paraId="77CEFA66">
            <w:pPr>
              <w:keepNext w:val="0"/>
              <w:keepLines w:val="0"/>
              <w:widowControl/>
              <w:suppressLineNumbers w:val="0"/>
              <w:spacing w:before="0" w:beforeAutospacing="0" w:after="0" w:afterAutospacing="0"/>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200≤Y＜3000</w:t>
            </w:r>
          </w:p>
        </w:tc>
        <w:tc>
          <w:tcPr>
            <w:tcW w:w="1098" w:type="dxa"/>
            <w:tcBorders>
              <w:top w:val="nil"/>
              <w:left w:val="nil"/>
              <w:bottom w:val="single" w:color="auto" w:sz="4" w:space="0"/>
              <w:right w:val="single" w:color="auto" w:sz="4" w:space="0"/>
            </w:tcBorders>
            <w:noWrap w:val="0"/>
            <w:vAlign w:val="center"/>
          </w:tcPr>
          <w:p w14:paraId="38F339EA">
            <w:pPr>
              <w:keepNext w:val="0"/>
              <w:keepLines w:val="0"/>
              <w:widowControl/>
              <w:suppressLineNumbers w:val="0"/>
              <w:spacing w:before="0" w:beforeAutospacing="0" w:after="0" w:afterAutospacing="0"/>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Y＜200</w:t>
            </w:r>
          </w:p>
        </w:tc>
      </w:tr>
      <w:tr w14:paraId="25163C04">
        <w:tblPrEx>
          <w:tblCellMar>
            <w:top w:w="0" w:type="dxa"/>
            <w:left w:w="108" w:type="dxa"/>
            <w:bottom w:w="0" w:type="dxa"/>
            <w:right w:w="108" w:type="dxa"/>
          </w:tblCellMar>
        </w:tblPrEx>
        <w:trPr>
          <w:trHeight w:val="336" w:hRule="atLeast"/>
          <w:jc w:val="center"/>
        </w:trPr>
        <w:tc>
          <w:tcPr>
            <w:tcW w:w="2020" w:type="dxa"/>
            <w:vMerge w:val="restart"/>
            <w:tcBorders>
              <w:top w:val="nil"/>
              <w:left w:val="single" w:color="auto" w:sz="4" w:space="0"/>
              <w:bottom w:val="single" w:color="auto" w:sz="4" w:space="0"/>
              <w:right w:val="single" w:color="auto" w:sz="4" w:space="0"/>
            </w:tcBorders>
            <w:noWrap w:val="0"/>
            <w:vAlign w:val="bottom"/>
          </w:tcPr>
          <w:p w14:paraId="246D4B5C">
            <w:pPr>
              <w:keepNext w:val="0"/>
              <w:keepLines w:val="0"/>
              <w:widowControl/>
              <w:suppressLineNumbers w:val="0"/>
              <w:spacing w:before="0" w:beforeAutospacing="0" w:after="0" w:afterAutospacing="0"/>
              <w:ind w:left="0" w:right="0"/>
              <w:jc w:val="center"/>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仓储业</w:t>
            </w:r>
          </w:p>
        </w:tc>
        <w:tc>
          <w:tcPr>
            <w:tcW w:w="1642" w:type="dxa"/>
            <w:tcBorders>
              <w:top w:val="nil"/>
              <w:left w:val="nil"/>
              <w:bottom w:val="single" w:color="auto" w:sz="4" w:space="0"/>
              <w:right w:val="single" w:color="auto" w:sz="4" w:space="0"/>
            </w:tcBorders>
            <w:noWrap w:val="0"/>
            <w:vAlign w:val="center"/>
          </w:tcPr>
          <w:p w14:paraId="3AF5F398">
            <w:pPr>
              <w:keepNext w:val="0"/>
              <w:keepLines w:val="0"/>
              <w:widowControl/>
              <w:suppressLineNumbers w:val="0"/>
              <w:spacing w:before="0" w:beforeAutospacing="0" w:after="0" w:afterAutospacing="0"/>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从业人员（X）</w:t>
            </w:r>
          </w:p>
        </w:tc>
        <w:tc>
          <w:tcPr>
            <w:tcW w:w="1084" w:type="dxa"/>
            <w:tcBorders>
              <w:top w:val="nil"/>
              <w:left w:val="nil"/>
              <w:bottom w:val="single" w:color="auto" w:sz="4" w:space="0"/>
              <w:right w:val="single" w:color="auto" w:sz="4" w:space="0"/>
            </w:tcBorders>
            <w:noWrap w:val="0"/>
            <w:vAlign w:val="center"/>
          </w:tcPr>
          <w:p w14:paraId="7A1B883F">
            <w:pPr>
              <w:keepNext w:val="0"/>
              <w:keepLines w:val="0"/>
              <w:widowControl/>
              <w:suppressLineNumbers w:val="0"/>
              <w:spacing w:before="0" w:beforeAutospacing="0" w:after="0" w:afterAutospacing="0"/>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人</w:t>
            </w:r>
          </w:p>
        </w:tc>
        <w:tc>
          <w:tcPr>
            <w:tcW w:w="1923" w:type="dxa"/>
            <w:tcBorders>
              <w:top w:val="nil"/>
              <w:left w:val="nil"/>
              <w:bottom w:val="single" w:color="auto" w:sz="4" w:space="0"/>
              <w:right w:val="single" w:color="auto" w:sz="4" w:space="0"/>
            </w:tcBorders>
            <w:noWrap w:val="0"/>
            <w:vAlign w:val="center"/>
          </w:tcPr>
          <w:p w14:paraId="4A366C0A">
            <w:pPr>
              <w:keepNext w:val="0"/>
              <w:keepLines w:val="0"/>
              <w:widowControl/>
              <w:suppressLineNumbers w:val="0"/>
              <w:spacing w:before="0" w:beforeAutospacing="0" w:after="0" w:afterAutospacing="0"/>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100≤X＜200</w:t>
            </w:r>
          </w:p>
        </w:tc>
        <w:tc>
          <w:tcPr>
            <w:tcW w:w="1709" w:type="dxa"/>
            <w:tcBorders>
              <w:top w:val="nil"/>
              <w:left w:val="nil"/>
              <w:bottom w:val="single" w:color="auto" w:sz="4" w:space="0"/>
              <w:right w:val="single" w:color="auto" w:sz="4" w:space="0"/>
            </w:tcBorders>
            <w:noWrap w:val="0"/>
            <w:vAlign w:val="center"/>
          </w:tcPr>
          <w:p w14:paraId="7D527C16">
            <w:pPr>
              <w:keepNext w:val="0"/>
              <w:keepLines w:val="0"/>
              <w:widowControl/>
              <w:suppressLineNumbers w:val="0"/>
              <w:spacing w:before="0" w:beforeAutospacing="0" w:after="0" w:afterAutospacing="0"/>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20≤X＜100</w:t>
            </w:r>
          </w:p>
        </w:tc>
        <w:tc>
          <w:tcPr>
            <w:tcW w:w="1098" w:type="dxa"/>
            <w:tcBorders>
              <w:top w:val="nil"/>
              <w:left w:val="nil"/>
              <w:bottom w:val="single" w:color="auto" w:sz="4" w:space="0"/>
              <w:right w:val="single" w:color="auto" w:sz="4" w:space="0"/>
            </w:tcBorders>
            <w:noWrap w:val="0"/>
            <w:vAlign w:val="center"/>
          </w:tcPr>
          <w:p w14:paraId="282DF438">
            <w:pPr>
              <w:keepNext w:val="0"/>
              <w:keepLines w:val="0"/>
              <w:widowControl/>
              <w:suppressLineNumbers w:val="0"/>
              <w:spacing w:before="0" w:beforeAutospacing="0" w:after="0" w:afterAutospacing="0"/>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X＜20</w:t>
            </w:r>
          </w:p>
        </w:tc>
      </w:tr>
      <w:tr w14:paraId="51AAFC02">
        <w:tblPrEx>
          <w:tblCellMar>
            <w:top w:w="0" w:type="dxa"/>
            <w:left w:w="108" w:type="dxa"/>
            <w:bottom w:w="0" w:type="dxa"/>
            <w:right w:w="108" w:type="dxa"/>
          </w:tblCellMar>
        </w:tblPrEx>
        <w:trPr>
          <w:trHeight w:val="336" w:hRule="atLeast"/>
          <w:jc w:val="center"/>
        </w:trPr>
        <w:tc>
          <w:tcPr>
            <w:tcW w:w="2020" w:type="dxa"/>
            <w:vMerge w:val="continue"/>
            <w:tcBorders>
              <w:top w:val="nil"/>
              <w:left w:val="single" w:color="auto" w:sz="4" w:space="0"/>
              <w:bottom w:val="single" w:color="auto" w:sz="4" w:space="0"/>
              <w:right w:val="single" w:color="auto" w:sz="4" w:space="0"/>
            </w:tcBorders>
            <w:noWrap w:val="0"/>
            <w:vAlign w:val="center"/>
          </w:tcPr>
          <w:p w14:paraId="37A66666">
            <w:pPr>
              <w:keepNext w:val="0"/>
              <w:keepLines w:val="0"/>
              <w:widowControl/>
              <w:suppressLineNumbers w:val="0"/>
              <w:spacing w:before="0" w:beforeAutospacing="0" w:after="0" w:afterAutospacing="0"/>
              <w:ind w:left="0" w:right="0"/>
              <w:jc w:val="left"/>
              <w:rPr>
                <w:rFonts w:hint="eastAsia" w:ascii="宋体" w:hAnsi="宋体" w:cs="宋体"/>
                <w:b/>
                <w:bCs/>
                <w:color w:val="auto"/>
                <w:kern w:val="0"/>
                <w:szCs w:val="21"/>
                <w:highlight w:val="none"/>
              </w:rPr>
            </w:pPr>
          </w:p>
        </w:tc>
        <w:tc>
          <w:tcPr>
            <w:tcW w:w="1642" w:type="dxa"/>
            <w:tcBorders>
              <w:top w:val="nil"/>
              <w:left w:val="nil"/>
              <w:bottom w:val="single" w:color="auto" w:sz="4" w:space="0"/>
              <w:right w:val="single" w:color="auto" w:sz="4" w:space="0"/>
            </w:tcBorders>
            <w:noWrap w:val="0"/>
            <w:vAlign w:val="center"/>
          </w:tcPr>
          <w:p w14:paraId="5DF10F7A">
            <w:pPr>
              <w:keepNext w:val="0"/>
              <w:keepLines w:val="0"/>
              <w:widowControl/>
              <w:suppressLineNumbers w:val="0"/>
              <w:spacing w:before="0" w:beforeAutospacing="0" w:after="0" w:afterAutospacing="0"/>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营业收入（Y）</w:t>
            </w:r>
          </w:p>
        </w:tc>
        <w:tc>
          <w:tcPr>
            <w:tcW w:w="1084" w:type="dxa"/>
            <w:tcBorders>
              <w:top w:val="nil"/>
              <w:left w:val="nil"/>
              <w:bottom w:val="single" w:color="auto" w:sz="4" w:space="0"/>
              <w:right w:val="single" w:color="auto" w:sz="4" w:space="0"/>
            </w:tcBorders>
            <w:noWrap w:val="0"/>
            <w:vAlign w:val="center"/>
          </w:tcPr>
          <w:p w14:paraId="60C042E7">
            <w:pPr>
              <w:keepNext w:val="0"/>
              <w:keepLines w:val="0"/>
              <w:widowControl/>
              <w:suppressLineNumbers w:val="0"/>
              <w:spacing w:before="0" w:beforeAutospacing="0" w:after="0" w:afterAutospacing="0"/>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万元</w:t>
            </w:r>
          </w:p>
        </w:tc>
        <w:tc>
          <w:tcPr>
            <w:tcW w:w="1923" w:type="dxa"/>
            <w:tcBorders>
              <w:top w:val="nil"/>
              <w:left w:val="nil"/>
              <w:bottom w:val="single" w:color="auto" w:sz="4" w:space="0"/>
              <w:right w:val="single" w:color="auto" w:sz="4" w:space="0"/>
            </w:tcBorders>
            <w:noWrap w:val="0"/>
            <w:vAlign w:val="center"/>
          </w:tcPr>
          <w:p w14:paraId="54D16B50">
            <w:pPr>
              <w:keepNext w:val="0"/>
              <w:keepLines w:val="0"/>
              <w:widowControl/>
              <w:suppressLineNumbers w:val="0"/>
              <w:spacing w:before="0" w:beforeAutospacing="0" w:after="0" w:afterAutospacing="0"/>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1000≤Y＜30000</w:t>
            </w:r>
          </w:p>
        </w:tc>
        <w:tc>
          <w:tcPr>
            <w:tcW w:w="1709" w:type="dxa"/>
            <w:tcBorders>
              <w:top w:val="nil"/>
              <w:left w:val="nil"/>
              <w:bottom w:val="single" w:color="auto" w:sz="4" w:space="0"/>
              <w:right w:val="single" w:color="auto" w:sz="4" w:space="0"/>
            </w:tcBorders>
            <w:noWrap w:val="0"/>
            <w:vAlign w:val="center"/>
          </w:tcPr>
          <w:p w14:paraId="59AAA9C8">
            <w:pPr>
              <w:keepNext w:val="0"/>
              <w:keepLines w:val="0"/>
              <w:widowControl/>
              <w:suppressLineNumbers w:val="0"/>
              <w:spacing w:before="0" w:beforeAutospacing="0" w:after="0" w:afterAutospacing="0"/>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100≤Y＜1000</w:t>
            </w:r>
          </w:p>
        </w:tc>
        <w:tc>
          <w:tcPr>
            <w:tcW w:w="1098" w:type="dxa"/>
            <w:tcBorders>
              <w:top w:val="nil"/>
              <w:left w:val="nil"/>
              <w:bottom w:val="single" w:color="auto" w:sz="4" w:space="0"/>
              <w:right w:val="single" w:color="auto" w:sz="4" w:space="0"/>
            </w:tcBorders>
            <w:noWrap w:val="0"/>
            <w:vAlign w:val="center"/>
          </w:tcPr>
          <w:p w14:paraId="686C7498">
            <w:pPr>
              <w:keepNext w:val="0"/>
              <w:keepLines w:val="0"/>
              <w:widowControl/>
              <w:suppressLineNumbers w:val="0"/>
              <w:spacing w:before="0" w:beforeAutospacing="0" w:after="0" w:afterAutospacing="0"/>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Y＜100</w:t>
            </w:r>
          </w:p>
        </w:tc>
      </w:tr>
      <w:tr w14:paraId="59AE9B15">
        <w:tblPrEx>
          <w:tblCellMar>
            <w:top w:w="0" w:type="dxa"/>
            <w:left w:w="108" w:type="dxa"/>
            <w:bottom w:w="0" w:type="dxa"/>
            <w:right w:w="108" w:type="dxa"/>
          </w:tblCellMar>
        </w:tblPrEx>
        <w:trPr>
          <w:trHeight w:val="336" w:hRule="atLeast"/>
          <w:jc w:val="center"/>
        </w:trPr>
        <w:tc>
          <w:tcPr>
            <w:tcW w:w="2020" w:type="dxa"/>
            <w:vMerge w:val="restart"/>
            <w:tcBorders>
              <w:top w:val="nil"/>
              <w:left w:val="single" w:color="auto" w:sz="4" w:space="0"/>
              <w:bottom w:val="single" w:color="auto" w:sz="4" w:space="0"/>
              <w:right w:val="single" w:color="auto" w:sz="4" w:space="0"/>
            </w:tcBorders>
            <w:noWrap w:val="0"/>
            <w:vAlign w:val="bottom"/>
          </w:tcPr>
          <w:p w14:paraId="199DAC3F">
            <w:pPr>
              <w:keepNext w:val="0"/>
              <w:keepLines w:val="0"/>
              <w:widowControl/>
              <w:suppressLineNumbers w:val="0"/>
              <w:spacing w:before="0" w:beforeAutospacing="0" w:after="0" w:afterAutospacing="0"/>
              <w:ind w:left="0" w:right="0"/>
              <w:jc w:val="center"/>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邮政业</w:t>
            </w:r>
          </w:p>
        </w:tc>
        <w:tc>
          <w:tcPr>
            <w:tcW w:w="1642" w:type="dxa"/>
            <w:tcBorders>
              <w:top w:val="nil"/>
              <w:left w:val="nil"/>
              <w:bottom w:val="single" w:color="auto" w:sz="4" w:space="0"/>
              <w:right w:val="single" w:color="auto" w:sz="4" w:space="0"/>
            </w:tcBorders>
            <w:noWrap w:val="0"/>
            <w:vAlign w:val="center"/>
          </w:tcPr>
          <w:p w14:paraId="60139D68">
            <w:pPr>
              <w:keepNext w:val="0"/>
              <w:keepLines w:val="0"/>
              <w:widowControl/>
              <w:suppressLineNumbers w:val="0"/>
              <w:spacing w:before="0" w:beforeAutospacing="0" w:after="0" w:afterAutospacing="0"/>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从业人员（X）</w:t>
            </w:r>
          </w:p>
        </w:tc>
        <w:tc>
          <w:tcPr>
            <w:tcW w:w="1084" w:type="dxa"/>
            <w:tcBorders>
              <w:top w:val="nil"/>
              <w:left w:val="nil"/>
              <w:bottom w:val="single" w:color="auto" w:sz="4" w:space="0"/>
              <w:right w:val="single" w:color="auto" w:sz="4" w:space="0"/>
            </w:tcBorders>
            <w:noWrap w:val="0"/>
            <w:vAlign w:val="center"/>
          </w:tcPr>
          <w:p w14:paraId="55CF1FCF">
            <w:pPr>
              <w:keepNext w:val="0"/>
              <w:keepLines w:val="0"/>
              <w:widowControl/>
              <w:suppressLineNumbers w:val="0"/>
              <w:spacing w:before="0" w:beforeAutospacing="0" w:after="0" w:afterAutospacing="0"/>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人</w:t>
            </w:r>
          </w:p>
        </w:tc>
        <w:tc>
          <w:tcPr>
            <w:tcW w:w="1923" w:type="dxa"/>
            <w:tcBorders>
              <w:top w:val="nil"/>
              <w:left w:val="nil"/>
              <w:bottom w:val="single" w:color="auto" w:sz="4" w:space="0"/>
              <w:right w:val="single" w:color="auto" w:sz="4" w:space="0"/>
            </w:tcBorders>
            <w:noWrap w:val="0"/>
            <w:vAlign w:val="center"/>
          </w:tcPr>
          <w:p w14:paraId="081D2490">
            <w:pPr>
              <w:keepNext w:val="0"/>
              <w:keepLines w:val="0"/>
              <w:widowControl/>
              <w:suppressLineNumbers w:val="0"/>
              <w:spacing w:before="0" w:beforeAutospacing="0" w:after="0" w:afterAutospacing="0"/>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300≤X＜1000</w:t>
            </w:r>
          </w:p>
        </w:tc>
        <w:tc>
          <w:tcPr>
            <w:tcW w:w="1709" w:type="dxa"/>
            <w:tcBorders>
              <w:top w:val="nil"/>
              <w:left w:val="nil"/>
              <w:bottom w:val="single" w:color="auto" w:sz="4" w:space="0"/>
              <w:right w:val="single" w:color="auto" w:sz="4" w:space="0"/>
            </w:tcBorders>
            <w:noWrap w:val="0"/>
            <w:vAlign w:val="center"/>
          </w:tcPr>
          <w:p w14:paraId="705B318A">
            <w:pPr>
              <w:keepNext w:val="0"/>
              <w:keepLines w:val="0"/>
              <w:widowControl/>
              <w:suppressLineNumbers w:val="0"/>
              <w:spacing w:before="0" w:beforeAutospacing="0" w:after="0" w:afterAutospacing="0"/>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20≤X＜300</w:t>
            </w:r>
          </w:p>
        </w:tc>
        <w:tc>
          <w:tcPr>
            <w:tcW w:w="1098" w:type="dxa"/>
            <w:tcBorders>
              <w:top w:val="nil"/>
              <w:left w:val="nil"/>
              <w:bottom w:val="single" w:color="auto" w:sz="4" w:space="0"/>
              <w:right w:val="single" w:color="auto" w:sz="4" w:space="0"/>
            </w:tcBorders>
            <w:noWrap w:val="0"/>
            <w:vAlign w:val="center"/>
          </w:tcPr>
          <w:p w14:paraId="63D3F8C5">
            <w:pPr>
              <w:keepNext w:val="0"/>
              <w:keepLines w:val="0"/>
              <w:widowControl/>
              <w:suppressLineNumbers w:val="0"/>
              <w:spacing w:before="0" w:beforeAutospacing="0" w:after="0" w:afterAutospacing="0"/>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X＜20</w:t>
            </w:r>
          </w:p>
        </w:tc>
      </w:tr>
      <w:tr w14:paraId="5B2935E3">
        <w:tblPrEx>
          <w:tblCellMar>
            <w:top w:w="0" w:type="dxa"/>
            <w:left w:w="108" w:type="dxa"/>
            <w:bottom w:w="0" w:type="dxa"/>
            <w:right w:w="108" w:type="dxa"/>
          </w:tblCellMar>
        </w:tblPrEx>
        <w:trPr>
          <w:trHeight w:val="336" w:hRule="atLeast"/>
          <w:jc w:val="center"/>
        </w:trPr>
        <w:tc>
          <w:tcPr>
            <w:tcW w:w="2020" w:type="dxa"/>
            <w:vMerge w:val="continue"/>
            <w:tcBorders>
              <w:top w:val="nil"/>
              <w:left w:val="single" w:color="auto" w:sz="4" w:space="0"/>
              <w:bottom w:val="single" w:color="auto" w:sz="4" w:space="0"/>
              <w:right w:val="single" w:color="auto" w:sz="4" w:space="0"/>
            </w:tcBorders>
            <w:noWrap w:val="0"/>
            <w:vAlign w:val="center"/>
          </w:tcPr>
          <w:p w14:paraId="6AB90AE3">
            <w:pPr>
              <w:keepNext w:val="0"/>
              <w:keepLines w:val="0"/>
              <w:widowControl/>
              <w:suppressLineNumbers w:val="0"/>
              <w:spacing w:before="0" w:beforeAutospacing="0" w:after="0" w:afterAutospacing="0"/>
              <w:ind w:left="0" w:right="0"/>
              <w:jc w:val="left"/>
              <w:rPr>
                <w:rFonts w:hint="eastAsia" w:ascii="宋体" w:hAnsi="宋体" w:cs="宋体"/>
                <w:b/>
                <w:bCs/>
                <w:color w:val="auto"/>
                <w:kern w:val="0"/>
                <w:szCs w:val="21"/>
                <w:highlight w:val="none"/>
              </w:rPr>
            </w:pPr>
          </w:p>
        </w:tc>
        <w:tc>
          <w:tcPr>
            <w:tcW w:w="1642" w:type="dxa"/>
            <w:tcBorders>
              <w:top w:val="nil"/>
              <w:left w:val="nil"/>
              <w:bottom w:val="single" w:color="auto" w:sz="4" w:space="0"/>
              <w:right w:val="single" w:color="auto" w:sz="4" w:space="0"/>
            </w:tcBorders>
            <w:noWrap w:val="0"/>
            <w:vAlign w:val="center"/>
          </w:tcPr>
          <w:p w14:paraId="2207CDE8">
            <w:pPr>
              <w:keepNext w:val="0"/>
              <w:keepLines w:val="0"/>
              <w:widowControl/>
              <w:suppressLineNumbers w:val="0"/>
              <w:spacing w:before="0" w:beforeAutospacing="0" w:after="0" w:afterAutospacing="0"/>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营业收入（Y）</w:t>
            </w:r>
          </w:p>
        </w:tc>
        <w:tc>
          <w:tcPr>
            <w:tcW w:w="1084" w:type="dxa"/>
            <w:tcBorders>
              <w:top w:val="nil"/>
              <w:left w:val="nil"/>
              <w:bottom w:val="single" w:color="auto" w:sz="4" w:space="0"/>
              <w:right w:val="single" w:color="auto" w:sz="4" w:space="0"/>
            </w:tcBorders>
            <w:noWrap w:val="0"/>
            <w:vAlign w:val="center"/>
          </w:tcPr>
          <w:p w14:paraId="67C18455">
            <w:pPr>
              <w:keepNext w:val="0"/>
              <w:keepLines w:val="0"/>
              <w:widowControl/>
              <w:suppressLineNumbers w:val="0"/>
              <w:spacing w:before="0" w:beforeAutospacing="0" w:after="0" w:afterAutospacing="0"/>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万元</w:t>
            </w:r>
          </w:p>
        </w:tc>
        <w:tc>
          <w:tcPr>
            <w:tcW w:w="1923" w:type="dxa"/>
            <w:tcBorders>
              <w:top w:val="nil"/>
              <w:left w:val="nil"/>
              <w:bottom w:val="single" w:color="auto" w:sz="4" w:space="0"/>
              <w:right w:val="single" w:color="auto" w:sz="4" w:space="0"/>
            </w:tcBorders>
            <w:noWrap w:val="0"/>
            <w:vAlign w:val="center"/>
          </w:tcPr>
          <w:p w14:paraId="3CA1F479">
            <w:pPr>
              <w:keepNext w:val="0"/>
              <w:keepLines w:val="0"/>
              <w:widowControl/>
              <w:suppressLineNumbers w:val="0"/>
              <w:spacing w:before="0" w:beforeAutospacing="0" w:after="0" w:afterAutospacing="0"/>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2000≤Y＜30000</w:t>
            </w:r>
          </w:p>
        </w:tc>
        <w:tc>
          <w:tcPr>
            <w:tcW w:w="1709" w:type="dxa"/>
            <w:tcBorders>
              <w:top w:val="nil"/>
              <w:left w:val="nil"/>
              <w:bottom w:val="single" w:color="auto" w:sz="4" w:space="0"/>
              <w:right w:val="single" w:color="auto" w:sz="4" w:space="0"/>
            </w:tcBorders>
            <w:noWrap w:val="0"/>
            <w:vAlign w:val="center"/>
          </w:tcPr>
          <w:p w14:paraId="4B53F58F">
            <w:pPr>
              <w:keepNext w:val="0"/>
              <w:keepLines w:val="0"/>
              <w:widowControl/>
              <w:suppressLineNumbers w:val="0"/>
              <w:spacing w:before="0" w:beforeAutospacing="0" w:after="0" w:afterAutospacing="0"/>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100≤Y＜2000</w:t>
            </w:r>
          </w:p>
        </w:tc>
        <w:tc>
          <w:tcPr>
            <w:tcW w:w="1098" w:type="dxa"/>
            <w:tcBorders>
              <w:top w:val="nil"/>
              <w:left w:val="nil"/>
              <w:bottom w:val="single" w:color="auto" w:sz="4" w:space="0"/>
              <w:right w:val="single" w:color="auto" w:sz="4" w:space="0"/>
            </w:tcBorders>
            <w:noWrap w:val="0"/>
            <w:vAlign w:val="center"/>
          </w:tcPr>
          <w:p w14:paraId="634444E1">
            <w:pPr>
              <w:keepNext w:val="0"/>
              <w:keepLines w:val="0"/>
              <w:widowControl/>
              <w:suppressLineNumbers w:val="0"/>
              <w:spacing w:before="0" w:beforeAutospacing="0" w:after="0" w:afterAutospacing="0"/>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Y＜100</w:t>
            </w:r>
          </w:p>
        </w:tc>
      </w:tr>
      <w:tr w14:paraId="670F3A9E">
        <w:tblPrEx>
          <w:tblCellMar>
            <w:top w:w="0" w:type="dxa"/>
            <w:left w:w="108" w:type="dxa"/>
            <w:bottom w:w="0" w:type="dxa"/>
            <w:right w:w="108" w:type="dxa"/>
          </w:tblCellMar>
        </w:tblPrEx>
        <w:trPr>
          <w:trHeight w:val="336" w:hRule="atLeast"/>
          <w:jc w:val="center"/>
        </w:trPr>
        <w:tc>
          <w:tcPr>
            <w:tcW w:w="2020" w:type="dxa"/>
            <w:vMerge w:val="restart"/>
            <w:tcBorders>
              <w:top w:val="nil"/>
              <w:left w:val="single" w:color="auto" w:sz="4" w:space="0"/>
              <w:bottom w:val="single" w:color="auto" w:sz="4" w:space="0"/>
              <w:right w:val="single" w:color="auto" w:sz="4" w:space="0"/>
            </w:tcBorders>
            <w:noWrap w:val="0"/>
            <w:vAlign w:val="bottom"/>
          </w:tcPr>
          <w:p w14:paraId="35E84A07">
            <w:pPr>
              <w:keepNext w:val="0"/>
              <w:keepLines w:val="0"/>
              <w:widowControl/>
              <w:suppressLineNumbers w:val="0"/>
              <w:spacing w:before="0" w:beforeAutospacing="0" w:after="0" w:afterAutospacing="0"/>
              <w:ind w:left="0" w:right="0"/>
              <w:jc w:val="center"/>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住宿业</w:t>
            </w:r>
          </w:p>
        </w:tc>
        <w:tc>
          <w:tcPr>
            <w:tcW w:w="1642" w:type="dxa"/>
            <w:tcBorders>
              <w:top w:val="nil"/>
              <w:left w:val="nil"/>
              <w:bottom w:val="single" w:color="auto" w:sz="4" w:space="0"/>
              <w:right w:val="single" w:color="auto" w:sz="4" w:space="0"/>
            </w:tcBorders>
            <w:noWrap w:val="0"/>
            <w:vAlign w:val="center"/>
          </w:tcPr>
          <w:p w14:paraId="60746AE4">
            <w:pPr>
              <w:keepNext w:val="0"/>
              <w:keepLines w:val="0"/>
              <w:widowControl/>
              <w:suppressLineNumbers w:val="0"/>
              <w:spacing w:before="0" w:beforeAutospacing="0" w:after="0" w:afterAutospacing="0"/>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从业人员（X）</w:t>
            </w:r>
          </w:p>
        </w:tc>
        <w:tc>
          <w:tcPr>
            <w:tcW w:w="1084" w:type="dxa"/>
            <w:tcBorders>
              <w:top w:val="nil"/>
              <w:left w:val="nil"/>
              <w:bottom w:val="single" w:color="auto" w:sz="4" w:space="0"/>
              <w:right w:val="single" w:color="auto" w:sz="4" w:space="0"/>
            </w:tcBorders>
            <w:noWrap w:val="0"/>
            <w:vAlign w:val="center"/>
          </w:tcPr>
          <w:p w14:paraId="279CC5A0">
            <w:pPr>
              <w:keepNext w:val="0"/>
              <w:keepLines w:val="0"/>
              <w:widowControl/>
              <w:suppressLineNumbers w:val="0"/>
              <w:spacing w:before="0" w:beforeAutospacing="0" w:after="0" w:afterAutospacing="0"/>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人</w:t>
            </w:r>
          </w:p>
        </w:tc>
        <w:tc>
          <w:tcPr>
            <w:tcW w:w="1923" w:type="dxa"/>
            <w:tcBorders>
              <w:top w:val="nil"/>
              <w:left w:val="nil"/>
              <w:bottom w:val="single" w:color="auto" w:sz="4" w:space="0"/>
              <w:right w:val="single" w:color="auto" w:sz="4" w:space="0"/>
            </w:tcBorders>
            <w:noWrap w:val="0"/>
            <w:vAlign w:val="center"/>
          </w:tcPr>
          <w:p w14:paraId="4EC17E47">
            <w:pPr>
              <w:keepNext w:val="0"/>
              <w:keepLines w:val="0"/>
              <w:widowControl/>
              <w:suppressLineNumbers w:val="0"/>
              <w:spacing w:before="0" w:beforeAutospacing="0" w:after="0" w:afterAutospacing="0"/>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100≤X＜300</w:t>
            </w:r>
          </w:p>
        </w:tc>
        <w:tc>
          <w:tcPr>
            <w:tcW w:w="1709" w:type="dxa"/>
            <w:tcBorders>
              <w:top w:val="nil"/>
              <w:left w:val="nil"/>
              <w:bottom w:val="single" w:color="auto" w:sz="4" w:space="0"/>
              <w:right w:val="single" w:color="auto" w:sz="4" w:space="0"/>
            </w:tcBorders>
            <w:noWrap w:val="0"/>
            <w:vAlign w:val="center"/>
          </w:tcPr>
          <w:p w14:paraId="64BEA869">
            <w:pPr>
              <w:keepNext w:val="0"/>
              <w:keepLines w:val="0"/>
              <w:widowControl/>
              <w:suppressLineNumbers w:val="0"/>
              <w:spacing w:before="0" w:beforeAutospacing="0" w:after="0" w:afterAutospacing="0"/>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10≤X＜100</w:t>
            </w:r>
          </w:p>
        </w:tc>
        <w:tc>
          <w:tcPr>
            <w:tcW w:w="1098" w:type="dxa"/>
            <w:tcBorders>
              <w:top w:val="nil"/>
              <w:left w:val="nil"/>
              <w:bottom w:val="single" w:color="auto" w:sz="4" w:space="0"/>
              <w:right w:val="single" w:color="auto" w:sz="4" w:space="0"/>
            </w:tcBorders>
            <w:noWrap w:val="0"/>
            <w:vAlign w:val="center"/>
          </w:tcPr>
          <w:p w14:paraId="50AB0C75">
            <w:pPr>
              <w:keepNext w:val="0"/>
              <w:keepLines w:val="0"/>
              <w:widowControl/>
              <w:suppressLineNumbers w:val="0"/>
              <w:spacing w:before="0" w:beforeAutospacing="0" w:after="0" w:afterAutospacing="0"/>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X＜10</w:t>
            </w:r>
          </w:p>
        </w:tc>
      </w:tr>
      <w:tr w14:paraId="0632BBD2">
        <w:tblPrEx>
          <w:tblCellMar>
            <w:top w:w="0" w:type="dxa"/>
            <w:left w:w="108" w:type="dxa"/>
            <w:bottom w:w="0" w:type="dxa"/>
            <w:right w:w="108" w:type="dxa"/>
          </w:tblCellMar>
        </w:tblPrEx>
        <w:trPr>
          <w:trHeight w:val="336" w:hRule="atLeast"/>
          <w:jc w:val="center"/>
        </w:trPr>
        <w:tc>
          <w:tcPr>
            <w:tcW w:w="2020" w:type="dxa"/>
            <w:vMerge w:val="continue"/>
            <w:tcBorders>
              <w:top w:val="nil"/>
              <w:left w:val="single" w:color="auto" w:sz="4" w:space="0"/>
              <w:bottom w:val="single" w:color="auto" w:sz="4" w:space="0"/>
              <w:right w:val="single" w:color="auto" w:sz="4" w:space="0"/>
            </w:tcBorders>
            <w:noWrap w:val="0"/>
            <w:vAlign w:val="center"/>
          </w:tcPr>
          <w:p w14:paraId="368F0A07">
            <w:pPr>
              <w:keepNext w:val="0"/>
              <w:keepLines w:val="0"/>
              <w:widowControl/>
              <w:suppressLineNumbers w:val="0"/>
              <w:spacing w:before="0" w:beforeAutospacing="0" w:after="0" w:afterAutospacing="0"/>
              <w:ind w:left="0" w:right="0"/>
              <w:jc w:val="left"/>
              <w:rPr>
                <w:rFonts w:hint="eastAsia" w:ascii="宋体" w:hAnsi="宋体" w:cs="宋体"/>
                <w:b/>
                <w:bCs/>
                <w:color w:val="auto"/>
                <w:kern w:val="0"/>
                <w:szCs w:val="21"/>
                <w:highlight w:val="none"/>
              </w:rPr>
            </w:pPr>
          </w:p>
        </w:tc>
        <w:tc>
          <w:tcPr>
            <w:tcW w:w="1642" w:type="dxa"/>
            <w:tcBorders>
              <w:top w:val="nil"/>
              <w:left w:val="nil"/>
              <w:bottom w:val="single" w:color="auto" w:sz="4" w:space="0"/>
              <w:right w:val="single" w:color="auto" w:sz="4" w:space="0"/>
            </w:tcBorders>
            <w:noWrap w:val="0"/>
            <w:vAlign w:val="center"/>
          </w:tcPr>
          <w:p w14:paraId="25ED00A3">
            <w:pPr>
              <w:keepNext w:val="0"/>
              <w:keepLines w:val="0"/>
              <w:widowControl/>
              <w:suppressLineNumbers w:val="0"/>
              <w:spacing w:before="0" w:beforeAutospacing="0" w:after="0" w:afterAutospacing="0"/>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营业收入（Y）</w:t>
            </w:r>
          </w:p>
        </w:tc>
        <w:tc>
          <w:tcPr>
            <w:tcW w:w="1084" w:type="dxa"/>
            <w:tcBorders>
              <w:top w:val="nil"/>
              <w:left w:val="nil"/>
              <w:bottom w:val="single" w:color="auto" w:sz="4" w:space="0"/>
              <w:right w:val="single" w:color="auto" w:sz="4" w:space="0"/>
            </w:tcBorders>
            <w:noWrap w:val="0"/>
            <w:vAlign w:val="center"/>
          </w:tcPr>
          <w:p w14:paraId="7CA93B8C">
            <w:pPr>
              <w:keepNext w:val="0"/>
              <w:keepLines w:val="0"/>
              <w:widowControl/>
              <w:suppressLineNumbers w:val="0"/>
              <w:spacing w:before="0" w:beforeAutospacing="0" w:after="0" w:afterAutospacing="0"/>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万元</w:t>
            </w:r>
          </w:p>
        </w:tc>
        <w:tc>
          <w:tcPr>
            <w:tcW w:w="1923" w:type="dxa"/>
            <w:tcBorders>
              <w:top w:val="nil"/>
              <w:left w:val="nil"/>
              <w:bottom w:val="single" w:color="auto" w:sz="4" w:space="0"/>
              <w:right w:val="single" w:color="auto" w:sz="4" w:space="0"/>
            </w:tcBorders>
            <w:noWrap w:val="0"/>
            <w:vAlign w:val="center"/>
          </w:tcPr>
          <w:p w14:paraId="4AA7C720">
            <w:pPr>
              <w:keepNext w:val="0"/>
              <w:keepLines w:val="0"/>
              <w:widowControl/>
              <w:suppressLineNumbers w:val="0"/>
              <w:spacing w:before="0" w:beforeAutospacing="0" w:after="0" w:afterAutospacing="0"/>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2000≤Y＜10000</w:t>
            </w:r>
          </w:p>
        </w:tc>
        <w:tc>
          <w:tcPr>
            <w:tcW w:w="1709" w:type="dxa"/>
            <w:tcBorders>
              <w:top w:val="nil"/>
              <w:left w:val="nil"/>
              <w:bottom w:val="single" w:color="auto" w:sz="4" w:space="0"/>
              <w:right w:val="single" w:color="auto" w:sz="4" w:space="0"/>
            </w:tcBorders>
            <w:noWrap w:val="0"/>
            <w:vAlign w:val="center"/>
          </w:tcPr>
          <w:p w14:paraId="1EE3DA6A">
            <w:pPr>
              <w:keepNext w:val="0"/>
              <w:keepLines w:val="0"/>
              <w:widowControl/>
              <w:suppressLineNumbers w:val="0"/>
              <w:spacing w:before="0" w:beforeAutospacing="0" w:after="0" w:afterAutospacing="0"/>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100≤Y＜2000</w:t>
            </w:r>
          </w:p>
        </w:tc>
        <w:tc>
          <w:tcPr>
            <w:tcW w:w="1098" w:type="dxa"/>
            <w:tcBorders>
              <w:top w:val="nil"/>
              <w:left w:val="nil"/>
              <w:bottom w:val="single" w:color="auto" w:sz="4" w:space="0"/>
              <w:right w:val="single" w:color="auto" w:sz="4" w:space="0"/>
            </w:tcBorders>
            <w:noWrap w:val="0"/>
            <w:vAlign w:val="center"/>
          </w:tcPr>
          <w:p w14:paraId="7CCFC164">
            <w:pPr>
              <w:keepNext w:val="0"/>
              <w:keepLines w:val="0"/>
              <w:widowControl/>
              <w:suppressLineNumbers w:val="0"/>
              <w:spacing w:before="0" w:beforeAutospacing="0" w:after="0" w:afterAutospacing="0"/>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Y＜100</w:t>
            </w:r>
          </w:p>
        </w:tc>
      </w:tr>
      <w:tr w14:paraId="2836F2F4">
        <w:tblPrEx>
          <w:tblCellMar>
            <w:top w:w="0" w:type="dxa"/>
            <w:left w:w="108" w:type="dxa"/>
            <w:bottom w:w="0" w:type="dxa"/>
            <w:right w:w="108" w:type="dxa"/>
          </w:tblCellMar>
        </w:tblPrEx>
        <w:trPr>
          <w:trHeight w:val="336" w:hRule="atLeast"/>
          <w:jc w:val="center"/>
        </w:trPr>
        <w:tc>
          <w:tcPr>
            <w:tcW w:w="2020" w:type="dxa"/>
            <w:vMerge w:val="restart"/>
            <w:tcBorders>
              <w:top w:val="nil"/>
              <w:left w:val="single" w:color="auto" w:sz="4" w:space="0"/>
              <w:bottom w:val="single" w:color="auto" w:sz="4" w:space="0"/>
              <w:right w:val="single" w:color="auto" w:sz="4" w:space="0"/>
            </w:tcBorders>
            <w:noWrap w:val="0"/>
            <w:vAlign w:val="bottom"/>
          </w:tcPr>
          <w:p w14:paraId="4EE1B489">
            <w:pPr>
              <w:keepNext w:val="0"/>
              <w:keepLines w:val="0"/>
              <w:widowControl/>
              <w:suppressLineNumbers w:val="0"/>
              <w:spacing w:before="0" w:beforeAutospacing="0" w:after="0" w:afterAutospacing="0"/>
              <w:ind w:left="0" w:right="0"/>
              <w:jc w:val="center"/>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餐饮业</w:t>
            </w:r>
          </w:p>
        </w:tc>
        <w:tc>
          <w:tcPr>
            <w:tcW w:w="1642" w:type="dxa"/>
            <w:tcBorders>
              <w:top w:val="nil"/>
              <w:left w:val="nil"/>
              <w:bottom w:val="single" w:color="auto" w:sz="4" w:space="0"/>
              <w:right w:val="single" w:color="auto" w:sz="4" w:space="0"/>
            </w:tcBorders>
            <w:noWrap w:val="0"/>
            <w:vAlign w:val="center"/>
          </w:tcPr>
          <w:p w14:paraId="09544D34">
            <w:pPr>
              <w:keepNext w:val="0"/>
              <w:keepLines w:val="0"/>
              <w:widowControl/>
              <w:suppressLineNumbers w:val="0"/>
              <w:spacing w:before="0" w:beforeAutospacing="0" w:after="0" w:afterAutospacing="0"/>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从业人员（X）</w:t>
            </w:r>
          </w:p>
        </w:tc>
        <w:tc>
          <w:tcPr>
            <w:tcW w:w="1084" w:type="dxa"/>
            <w:tcBorders>
              <w:top w:val="nil"/>
              <w:left w:val="nil"/>
              <w:bottom w:val="single" w:color="auto" w:sz="4" w:space="0"/>
              <w:right w:val="single" w:color="auto" w:sz="4" w:space="0"/>
            </w:tcBorders>
            <w:noWrap w:val="0"/>
            <w:vAlign w:val="center"/>
          </w:tcPr>
          <w:p w14:paraId="5F4844AC">
            <w:pPr>
              <w:keepNext w:val="0"/>
              <w:keepLines w:val="0"/>
              <w:widowControl/>
              <w:suppressLineNumbers w:val="0"/>
              <w:spacing w:before="0" w:beforeAutospacing="0" w:after="0" w:afterAutospacing="0"/>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人</w:t>
            </w:r>
          </w:p>
        </w:tc>
        <w:tc>
          <w:tcPr>
            <w:tcW w:w="1923" w:type="dxa"/>
            <w:tcBorders>
              <w:top w:val="nil"/>
              <w:left w:val="nil"/>
              <w:bottom w:val="single" w:color="auto" w:sz="4" w:space="0"/>
              <w:right w:val="single" w:color="auto" w:sz="4" w:space="0"/>
            </w:tcBorders>
            <w:noWrap w:val="0"/>
            <w:vAlign w:val="center"/>
          </w:tcPr>
          <w:p w14:paraId="65B2EC0C">
            <w:pPr>
              <w:keepNext w:val="0"/>
              <w:keepLines w:val="0"/>
              <w:widowControl/>
              <w:suppressLineNumbers w:val="0"/>
              <w:spacing w:before="0" w:beforeAutospacing="0" w:after="0" w:afterAutospacing="0"/>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100≤X＜300</w:t>
            </w:r>
          </w:p>
        </w:tc>
        <w:tc>
          <w:tcPr>
            <w:tcW w:w="1709" w:type="dxa"/>
            <w:tcBorders>
              <w:top w:val="nil"/>
              <w:left w:val="nil"/>
              <w:bottom w:val="single" w:color="auto" w:sz="4" w:space="0"/>
              <w:right w:val="single" w:color="auto" w:sz="4" w:space="0"/>
            </w:tcBorders>
            <w:noWrap w:val="0"/>
            <w:vAlign w:val="center"/>
          </w:tcPr>
          <w:p w14:paraId="60603C1F">
            <w:pPr>
              <w:keepNext w:val="0"/>
              <w:keepLines w:val="0"/>
              <w:widowControl/>
              <w:suppressLineNumbers w:val="0"/>
              <w:spacing w:before="0" w:beforeAutospacing="0" w:after="0" w:afterAutospacing="0"/>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10≤X＜100</w:t>
            </w:r>
          </w:p>
        </w:tc>
        <w:tc>
          <w:tcPr>
            <w:tcW w:w="1098" w:type="dxa"/>
            <w:tcBorders>
              <w:top w:val="nil"/>
              <w:left w:val="nil"/>
              <w:bottom w:val="single" w:color="auto" w:sz="4" w:space="0"/>
              <w:right w:val="single" w:color="auto" w:sz="4" w:space="0"/>
            </w:tcBorders>
            <w:noWrap w:val="0"/>
            <w:vAlign w:val="center"/>
          </w:tcPr>
          <w:p w14:paraId="7BBEA6C4">
            <w:pPr>
              <w:keepNext w:val="0"/>
              <w:keepLines w:val="0"/>
              <w:widowControl/>
              <w:suppressLineNumbers w:val="0"/>
              <w:spacing w:before="0" w:beforeAutospacing="0" w:after="0" w:afterAutospacing="0"/>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X＜10</w:t>
            </w:r>
          </w:p>
        </w:tc>
      </w:tr>
      <w:tr w14:paraId="143B114B">
        <w:tblPrEx>
          <w:tblCellMar>
            <w:top w:w="0" w:type="dxa"/>
            <w:left w:w="108" w:type="dxa"/>
            <w:bottom w:w="0" w:type="dxa"/>
            <w:right w:w="108" w:type="dxa"/>
          </w:tblCellMar>
        </w:tblPrEx>
        <w:trPr>
          <w:trHeight w:val="336" w:hRule="atLeast"/>
          <w:jc w:val="center"/>
        </w:trPr>
        <w:tc>
          <w:tcPr>
            <w:tcW w:w="2020" w:type="dxa"/>
            <w:vMerge w:val="continue"/>
            <w:tcBorders>
              <w:top w:val="nil"/>
              <w:left w:val="single" w:color="auto" w:sz="4" w:space="0"/>
              <w:bottom w:val="single" w:color="auto" w:sz="4" w:space="0"/>
              <w:right w:val="single" w:color="auto" w:sz="4" w:space="0"/>
            </w:tcBorders>
            <w:noWrap w:val="0"/>
            <w:vAlign w:val="center"/>
          </w:tcPr>
          <w:p w14:paraId="5DB242EF">
            <w:pPr>
              <w:keepNext w:val="0"/>
              <w:keepLines w:val="0"/>
              <w:widowControl/>
              <w:suppressLineNumbers w:val="0"/>
              <w:spacing w:before="0" w:beforeAutospacing="0" w:after="0" w:afterAutospacing="0"/>
              <w:ind w:left="0" w:right="0"/>
              <w:jc w:val="left"/>
              <w:rPr>
                <w:rFonts w:hint="eastAsia" w:ascii="宋体" w:hAnsi="宋体" w:cs="宋体"/>
                <w:b/>
                <w:bCs/>
                <w:color w:val="auto"/>
                <w:kern w:val="0"/>
                <w:szCs w:val="21"/>
                <w:highlight w:val="none"/>
              </w:rPr>
            </w:pPr>
          </w:p>
        </w:tc>
        <w:tc>
          <w:tcPr>
            <w:tcW w:w="1642" w:type="dxa"/>
            <w:tcBorders>
              <w:top w:val="nil"/>
              <w:left w:val="nil"/>
              <w:bottom w:val="single" w:color="auto" w:sz="4" w:space="0"/>
              <w:right w:val="single" w:color="auto" w:sz="4" w:space="0"/>
            </w:tcBorders>
            <w:noWrap w:val="0"/>
            <w:vAlign w:val="center"/>
          </w:tcPr>
          <w:p w14:paraId="67EE78CF">
            <w:pPr>
              <w:keepNext w:val="0"/>
              <w:keepLines w:val="0"/>
              <w:widowControl/>
              <w:suppressLineNumbers w:val="0"/>
              <w:spacing w:before="0" w:beforeAutospacing="0" w:after="0" w:afterAutospacing="0"/>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营业收入（Y）</w:t>
            </w:r>
          </w:p>
        </w:tc>
        <w:tc>
          <w:tcPr>
            <w:tcW w:w="1084" w:type="dxa"/>
            <w:tcBorders>
              <w:top w:val="nil"/>
              <w:left w:val="nil"/>
              <w:bottom w:val="single" w:color="auto" w:sz="4" w:space="0"/>
              <w:right w:val="single" w:color="auto" w:sz="4" w:space="0"/>
            </w:tcBorders>
            <w:noWrap w:val="0"/>
            <w:vAlign w:val="center"/>
          </w:tcPr>
          <w:p w14:paraId="57DB2AB4">
            <w:pPr>
              <w:keepNext w:val="0"/>
              <w:keepLines w:val="0"/>
              <w:widowControl/>
              <w:suppressLineNumbers w:val="0"/>
              <w:spacing w:before="0" w:beforeAutospacing="0" w:after="0" w:afterAutospacing="0"/>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万元</w:t>
            </w:r>
          </w:p>
        </w:tc>
        <w:tc>
          <w:tcPr>
            <w:tcW w:w="1923" w:type="dxa"/>
            <w:tcBorders>
              <w:top w:val="nil"/>
              <w:left w:val="nil"/>
              <w:bottom w:val="single" w:color="auto" w:sz="4" w:space="0"/>
              <w:right w:val="single" w:color="auto" w:sz="4" w:space="0"/>
            </w:tcBorders>
            <w:noWrap w:val="0"/>
            <w:vAlign w:val="center"/>
          </w:tcPr>
          <w:p w14:paraId="3A9B022E">
            <w:pPr>
              <w:keepNext w:val="0"/>
              <w:keepLines w:val="0"/>
              <w:widowControl/>
              <w:suppressLineNumbers w:val="0"/>
              <w:spacing w:before="0" w:beforeAutospacing="0" w:after="0" w:afterAutospacing="0"/>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2000≤Y＜10000</w:t>
            </w:r>
          </w:p>
        </w:tc>
        <w:tc>
          <w:tcPr>
            <w:tcW w:w="1709" w:type="dxa"/>
            <w:tcBorders>
              <w:top w:val="nil"/>
              <w:left w:val="nil"/>
              <w:bottom w:val="single" w:color="auto" w:sz="4" w:space="0"/>
              <w:right w:val="single" w:color="auto" w:sz="4" w:space="0"/>
            </w:tcBorders>
            <w:noWrap w:val="0"/>
            <w:vAlign w:val="center"/>
          </w:tcPr>
          <w:p w14:paraId="1F617878">
            <w:pPr>
              <w:keepNext w:val="0"/>
              <w:keepLines w:val="0"/>
              <w:widowControl/>
              <w:suppressLineNumbers w:val="0"/>
              <w:spacing w:before="0" w:beforeAutospacing="0" w:after="0" w:afterAutospacing="0"/>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100≤Y＜2000</w:t>
            </w:r>
          </w:p>
        </w:tc>
        <w:tc>
          <w:tcPr>
            <w:tcW w:w="1098" w:type="dxa"/>
            <w:tcBorders>
              <w:top w:val="nil"/>
              <w:left w:val="nil"/>
              <w:bottom w:val="single" w:color="auto" w:sz="4" w:space="0"/>
              <w:right w:val="single" w:color="auto" w:sz="4" w:space="0"/>
            </w:tcBorders>
            <w:noWrap w:val="0"/>
            <w:vAlign w:val="center"/>
          </w:tcPr>
          <w:p w14:paraId="38D4A72C">
            <w:pPr>
              <w:keepNext w:val="0"/>
              <w:keepLines w:val="0"/>
              <w:widowControl/>
              <w:suppressLineNumbers w:val="0"/>
              <w:spacing w:before="0" w:beforeAutospacing="0" w:after="0" w:afterAutospacing="0"/>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Y＜100</w:t>
            </w:r>
          </w:p>
        </w:tc>
      </w:tr>
      <w:tr w14:paraId="03FF88EE">
        <w:tblPrEx>
          <w:tblCellMar>
            <w:top w:w="0" w:type="dxa"/>
            <w:left w:w="108" w:type="dxa"/>
            <w:bottom w:w="0" w:type="dxa"/>
            <w:right w:w="108" w:type="dxa"/>
          </w:tblCellMar>
        </w:tblPrEx>
        <w:trPr>
          <w:trHeight w:val="336" w:hRule="atLeast"/>
          <w:jc w:val="center"/>
        </w:trPr>
        <w:tc>
          <w:tcPr>
            <w:tcW w:w="2020" w:type="dxa"/>
            <w:vMerge w:val="restart"/>
            <w:tcBorders>
              <w:top w:val="nil"/>
              <w:left w:val="single" w:color="auto" w:sz="4" w:space="0"/>
              <w:bottom w:val="single" w:color="auto" w:sz="4" w:space="0"/>
              <w:right w:val="single" w:color="auto" w:sz="4" w:space="0"/>
            </w:tcBorders>
            <w:noWrap w:val="0"/>
            <w:vAlign w:val="bottom"/>
          </w:tcPr>
          <w:p w14:paraId="23C052CA">
            <w:pPr>
              <w:keepNext w:val="0"/>
              <w:keepLines w:val="0"/>
              <w:widowControl/>
              <w:suppressLineNumbers w:val="0"/>
              <w:spacing w:before="0" w:beforeAutospacing="0" w:after="0" w:afterAutospacing="0"/>
              <w:ind w:left="0" w:right="0"/>
              <w:jc w:val="center"/>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信息传输业</w:t>
            </w:r>
          </w:p>
        </w:tc>
        <w:tc>
          <w:tcPr>
            <w:tcW w:w="1642" w:type="dxa"/>
            <w:tcBorders>
              <w:top w:val="nil"/>
              <w:left w:val="nil"/>
              <w:bottom w:val="single" w:color="auto" w:sz="4" w:space="0"/>
              <w:right w:val="single" w:color="auto" w:sz="4" w:space="0"/>
            </w:tcBorders>
            <w:noWrap w:val="0"/>
            <w:vAlign w:val="center"/>
          </w:tcPr>
          <w:p w14:paraId="67416AE2">
            <w:pPr>
              <w:keepNext w:val="0"/>
              <w:keepLines w:val="0"/>
              <w:widowControl/>
              <w:suppressLineNumbers w:val="0"/>
              <w:spacing w:before="0" w:beforeAutospacing="0" w:after="0" w:afterAutospacing="0"/>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从业人员（X）</w:t>
            </w:r>
          </w:p>
        </w:tc>
        <w:tc>
          <w:tcPr>
            <w:tcW w:w="1084" w:type="dxa"/>
            <w:tcBorders>
              <w:top w:val="nil"/>
              <w:left w:val="nil"/>
              <w:bottom w:val="single" w:color="auto" w:sz="4" w:space="0"/>
              <w:right w:val="single" w:color="auto" w:sz="4" w:space="0"/>
            </w:tcBorders>
            <w:noWrap w:val="0"/>
            <w:vAlign w:val="center"/>
          </w:tcPr>
          <w:p w14:paraId="7063F9E7">
            <w:pPr>
              <w:keepNext w:val="0"/>
              <w:keepLines w:val="0"/>
              <w:widowControl/>
              <w:suppressLineNumbers w:val="0"/>
              <w:spacing w:before="0" w:beforeAutospacing="0" w:after="0" w:afterAutospacing="0"/>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人</w:t>
            </w:r>
          </w:p>
        </w:tc>
        <w:tc>
          <w:tcPr>
            <w:tcW w:w="1923" w:type="dxa"/>
            <w:tcBorders>
              <w:top w:val="nil"/>
              <w:left w:val="nil"/>
              <w:bottom w:val="single" w:color="auto" w:sz="4" w:space="0"/>
              <w:right w:val="single" w:color="auto" w:sz="4" w:space="0"/>
            </w:tcBorders>
            <w:noWrap w:val="0"/>
            <w:vAlign w:val="center"/>
          </w:tcPr>
          <w:p w14:paraId="20456A33">
            <w:pPr>
              <w:keepNext w:val="0"/>
              <w:keepLines w:val="0"/>
              <w:widowControl/>
              <w:suppressLineNumbers w:val="0"/>
              <w:spacing w:before="0" w:beforeAutospacing="0" w:after="0" w:afterAutospacing="0"/>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100≤X＜2000</w:t>
            </w:r>
          </w:p>
        </w:tc>
        <w:tc>
          <w:tcPr>
            <w:tcW w:w="1709" w:type="dxa"/>
            <w:tcBorders>
              <w:top w:val="nil"/>
              <w:left w:val="nil"/>
              <w:bottom w:val="single" w:color="auto" w:sz="4" w:space="0"/>
              <w:right w:val="single" w:color="auto" w:sz="4" w:space="0"/>
            </w:tcBorders>
            <w:noWrap w:val="0"/>
            <w:vAlign w:val="center"/>
          </w:tcPr>
          <w:p w14:paraId="3B5C15F0">
            <w:pPr>
              <w:keepNext w:val="0"/>
              <w:keepLines w:val="0"/>
              <w:widowControl/>
              <w:suppressLineNumbers w:val="0"/>
              <w:spacing w:before="0" w:beforeAutospacing="0" w:after="0" w:afterAutospacing="0"/>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10≤X＜100</w:t>
            </w:r>
          </w:p>
        </w:tc>
        <w:tc>
          <w:tcPr>
            <w:tcW w:w="1098" w:type="dxa"/>
            <w:tcBorders>
              <w:top w:val="nil"/>
              <w:left w:val="nil"/>
              <w:bottom w:val="single" w:color="auto" w:sz="4" w:space="0"/>
              <w:right w:val="single" w:color="auto" w:sz="4" w:space="0"/>
            </w:tcBorders>
            <w:noWrap w:val="0"/>
            <w:vAlign w:val="center"/>
          </w:tcPr>
          <w:p w14:paraId="25558ECE">
            <w:pPr>
              <w:keepNext w:val="0"/>
              <w:keepLines w:val="0"/>
              <w:widowControl/>
              <w:suppressLineNumbers w:val="0"/>
              <w:spacing w:before="0" w:beforeAutospacing="0" w:after="0" w:afterAutospacing="0"/>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X＜10</w:t>
            </w:r>
          </w:p>
        </w:tc>
      </w:tr>
      <w:tr w14:paraId="61736BB5">
        <w:tblPrEx>
          <w:tblCellMar>
            <w:top w:w="0" w:type="dxa"/>
            <w:left w:w="108" w:type="dxa"/>
            <w:bottom w:w="0" w:type="dxa"/>
            <w:right w:w="108" w:type="dxa"/>
          </w:tblCellMar>
        </w:tblPrEx>
        <w:trPr>
          <w:trHeight w:val="336" w:hRule="atLeast"/>
          <w:jc w:val="center"/>
        </w:trPr>
        <w:tc>
          <w:tcPr>
            <w:tcW w:w="2020" w:type="dxa"/>
            <w:vMerge w:val="continue"/>
            <w:tcBorders>
              <w:top w:val="nil"/>
              <w:left w:val="single" w:color="auto" w:sz="4" w:space="0"/>
              <w:bottom w:val="single" w:color="auto" w:sz="4" w:space="0"/>
              <w:right w:val="single" w:color="auto" w:sz="4" w:space="0"/>
            </w:tcBorders>
            <w:noWrap w:val="0"/>
            <w:vAlign w:val="center"/>
          </w:tcPr>
          <w:p w14:paraId="191E1543">
            <w:pPr>
              <w:keepNext w:val="0"/>
              <w:keepLines w:val="0"/>
              <w:widowControl/>
              <w:suppressLineNumbers w:val="0"/>
              <w:spacing w:before="0" w:beforeAutospacing="0" w:after="0" w:afterAutospacing="0"/>
              <w:ind w:left="0" w:right="0"/>
              <w:jc w:val="left"/>
              <w:rPr>
                <w:rFonts w:hint="eastAsia" w:ascii="宋体" w:hAnsi="宋体" w:cs="宋体"/>
                <w:b/>
                <w:bCs/>
                <w:color w:val="auto"/>
                <w:kern w:val="0"/>
                <w:szCs w:val="21"/>
                <w:highlight w:val="none"/>
              </w:rPr>
            </w:pPr>
          </w:p>
        </w:tc>
        <w:tc>
          <w:tcPr>
            <w:tcW w:w="1642" w:type="dxa"/>
            <w:tcBorders>
              <w:top w:val="nil"/>
              <w:left w:val="nil"/>
              <w:bottom w:val="single" w:color="auto" w:sz="4" w:space="0"/>
              <w:right w:val="single" w:color="auto" w:sz="4" w:space="0"/>
            </w:tcBorders>
            <w:noWrap w:val="0"/>
            <w:vAlign w:val="center"/>
          </w:tcPr>
          <w:p w14:paraId="4B3A043D">
            <w:pPr>
              <w:keepNext w:val="0"/>
              <w:keepLines w:val="0"/>
              <w:widowControl/>
              <w:suppressLineNumbers w:val="0"/>
              <w:spacing w:before="0" w:beforeAutospacing="0" w:after="0" w:afterAutospacing="0"/>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营业收入（Y）</w:t>
            </w:r>
          </w:p>
        </w:tc>
        <w:tc>
          <w:tcPr>
            <w:tcW w:w="1084" w:type="dxa"/>
            <w:tcBorders>
              <w:top w:val="nil"/>
              <w:left w:val="nil"/>
              <w:bottom w:val="single" w:color="auto" w:sz="4" w:space="0"/>
              <w:right w:val="single" w:color="auto" w:sz="4" w:space="0"/>
            </w:tcBorders>
            <w:noWrap w:val="0"/>
            <w:vAlign w:val="center"/>
          </w:tcPr>
          <w:p w14:paraId="54E4FC1F">
            <w:pPr>
              <w:keepNext w:val="0"/>
              <w:keepLines w:val="0"/>
              <w:widowControl/>
              <w:suppressLineNumbers w:val="0"/>
              <w:spacing w:before="0" w:beforeAutospacing="0" w:after="0" w:afterAutospacing="0"/>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万元</w:t>
            </w:r>
          </w:p>
        </w:tc>
        <w:tc>
          <w:tcPr>
            <w:tcW w:w="1923" w:type="dxa"/>
            <w:tcBorders>
              <w:top w:val="nil"/>
              <w:left w:val="nil"/>
              <w:bottom w:val="single" w:color="auto" w:sz="4" w:space="0"/>
              <w:right w:val="single" w:color="auto" w:sz="4" w:space="0"/>
            </w:tcBorders>
            <w:noWrap w:val="0"/>
            <w:vAlign w:val="center"/>
          </w:tcPr>
          <w:p w14:paraId="04DDFCD1">
            <w:pPr>
              <w:keepNext w:val="0"/>
              <w:keepLines w:val="0"/>
              <w:widowControl/>
              <w:suppressLineNumbers w:val="0"/>
              <w:spacing w:before="0" w:beforeAutospacing="0" w:after="0" w:afterAutospacing="0"/>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1000≤Y＜100000</w:t>
            </w:r>
          </w:p>
        </w:tc>
        <w:tc>
          <w:tcPr>
            <w:tcW w:w="1709" w:type="dxa"/>
            <w:tcBorders>
              <w:top w:val="nil"/>
              <w:left w:val="nil"/>
              <w:bottom w:val="single" w:color="auto" w:sz="4" w:space="0"/>
              <w:right w:val="single" w:color="auto" w:sz="4" w:space="0"/>
            </w:tcBorders>
            <w:noWrap w:val="0"/>
            <w:vAlign w:val="center"/>
          </w:tcPr>
          <w:p w14:paraId="78908850">
            <w:pPr>
              <w:keepNext w:val="0"/>
              <w:keepLines w:val="0"/>
              <w:widowControl/>
              <w:suppressLineNumbers w:val="0"/>
              <w:spacing w:before="0" w:beforeAutospacing="0" w:after="0" w:afterAutospacing="0"/>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100≤Y＜1000</w:t>
            </w:r>
          </w:p>
        </w:tc>
        <w:tc>
          <w:tcPr>
            <w:tcW w:w="1098" w:type="dxa"/>
            <w:tcBorders>
              <w:top w:val="nil"/>
              <w:left w:val="nil"/>
              <w:bottom w:val="single" w:color="auto" w:sz="4" w:space="0"/>
              <w:right w:val="single" w:color="auto" w:sz="4" w:space="0"/>
            </w:tcBorders>
            <w:noWrap w:val="0"/>
            <w:vAlign w:val="center"/>
          </w:tcPr>
          <w:p w14:paraId="40EBD30D">
            <w:pPr>
              <w:keepNext w:val="0"/>
              <w:keepLines w:val="0"/>
              <w:widowControl/>
              <w:suppressLineNumbers w:val="0"/>
              <w:spacing w:before="0" w:beforeAutospacing="0" w:after="0" w:afterAutospacing="0"/>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Y＜100</w:t>
            </w:r>
          </w:p>
        </w:tc>
      </w:tr>
      <w:tr w14:paraId="7FE56A5B">
        <w:tblPrEx>
          <w:tblCellMar>
            <w:top w:w="0" w:type="dxa"/>
            <w:left w:w="108" w:type="dxa"/>
            <w:bottom w:w="0" w:type="dxa"/>
            <w:right w:w="108" w:type="dxa"/>
          </w:tblCellMar>
        </w:tblPrEx>
        <w:trPr>
          <w:trHeight w:val="336" w:hRule="atLeast"/>
          <w:jc w:val="center"/>
        </w:trPr>
        <w:tc>
          <w:tcPr>
            <w:tcW w:w="2020" w:type="dxa"/>
            <w:vMerge w:val="restart"/>
            <w:tcBorders>
              <w:top w:val="nil"/>
              <w:left w:val="single" w:color="auto" w:sz="4" w:space="0"/>
              <w:bottom w:val="single" w:color="auto" w:sz="4" w:space="0"/>
              <w:right w:val="single" w:color="auto" w:sz="4" w:space="0"/>
            </w:tcBorders>
            <w:noWrap w:val="0"/>
            <w:vAlign w:val="bottom"/>
          </w:tcPr>
          <w:p w14:paraId="6E23B36E">
            <w:pPr>
              <w:keepNext w:val="0"/>
              <w:keepLines w:val="0"/>
              <w:widowControl/>
              <w:suppressLineNumbers w:val="0"/>
              <w:spacing w:before="0" w:beforeAutospacing="0" w:after="0" w:afterAutospacing="0"/>
              <w:ind w:left="0" w:right="0"/>
              <w:jc w:val="center"/>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软件和信息技术服务业</w:t>
            </w:r>
          </w:p>
        </w:tc>
        <w:tc>
          <w:tcPr>
            <w:tcW w:w="1642" w:type="dxa"/>
            <w:tcBorders>
              <w:top w:val="nil"/>
              <w:left w:val="nil"/>
              <w:bottom w:val="single" w:color="auto" w:sz="4" w:space="0"/>
              <w:right w:val="single" w:color="auto" w:sz="4" w:space="0"/>
            </w:tcBorders>
            <w:noWrap w:val="0"/>
            <w:vAlign w:val="center"/>
          </w:tcPr>
          <w:p w14:paraId="3E0633C4">
            <w:pPr>
              <w:keepNext w:val="0"/>
              <w:keepLines w:val="0"/>
              <w:widowControl/>
              <w:suppressLineNumbers w:val="0"/>
              <w:spacing w:before="0" w:beforeAutospacing="0" w:after="0" w:afterAutospacing="0"/>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从业人员（X）</w:t>
            </w:r>
          </w:p>
        </w:tc>
        <w:tc>
          <w:tcPr>
            <w:tcW w:w="1084" w:type="dxa"/>
            <w:tcBorders>
              <w:top w:val="nil"/>
              <w:left w:val="nil"/>
              <w:bottom w:val="single" w:color="auto" w:sz="4" w:space="0"/>
              <w:right w:val="single" w:color="auto" w:sz="4" w:space="0"/>
            </w:tcBorders>
            <w:noWrap w:val="0"/>
            <w:vAlign w:val="center"/>
          </w:tcPr>
          <w:p w14:paraId="6074080A">
            <w:pPr>
              <w:keepNext w:val="0"/>
              <w:keepLines w:val="0"/>
              <w:widowControl/>
              <w:suppressLineNumbers w:val="0"/>
              <w:spacing w:before="0" w:beforeAutospacing="0" w:after="0" w:afterAutospacing="0"/>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人</w:t>
            </w:r>
          </w:p>
        </w:tc>
        <w:tc>
          <w:tcPr>
            <w:tcW w:w="1923" w:type="dxa"/>
            <w:tcBorders>
              <w:top w:val="nil"/>
              <w:left w:val="nil"/>
              <w:bottom w:val="single" w:color="auto" w:sz="4" w:space="0"/>
              <w:right w:val="single" w:color="auto" w:sz="4" w:space="0"/>
            </w:tcBorders>
            <w:noWrap w:val="0"/>
            <w:vAlign w:val="center"/>
          </w:tcPr>
          <w:p w14:paraId="5ADA9635">
            <w:pPr>
              <w:keepNext w:val="0"/>
              <w:keepLines w:val="0"/>
              <w:widowControl/>
              <w:suppressLineNumbers w:val="0"/>
              <w:spacing w:before="0" w:beforeAutospacing="0" w:after="0" w:afterAutospacing="0"/>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100≤X＜300</w:t>
            </w:r>
          </w:p>
        </w:tc>
        <w:tc>
          <w:tcPr>
            <w:tcW w:w="1709" w:type="dxa"/>
            <w:tcBorders>
              <w:top w:val="nil"/>
              <w:left w:val="nil"/>
              <w:bottom w:val="single" w:color="auto" w:sz="4" w:space="0"/>
              <w:right w:val="single" w:color="auto" w:sz="4" w:space="0"/>
            </w:tcBorders>
            <w:noWrap w:val="0"/>
            <w:vAlign w:val="center"/>
          </w:tcPr>
          <w:p w14:paraId="6D66E8A5">
            <w:pPr>
              <w:keepNext w:val="0"/>
              <w:keepLines w:val="0"/>
              <w:widowControl/>
              <w:suppressLineNumbers w:val="0"/>
              <w:spacing w:before="0" w:beforeAutospacing="0" w:after="0" w:afterAutospacing="0"/>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10≤X＜100</w:t>
            </w:r>
          </w:p>
        </w:tc>
        <w:tc>
          <w:tcPr>
            <w:tcW w:w="1098" w:type="dxa"/>
            <w:tcBorders>
              <w:top w:val="nil"/>
              <w:left w:val="nil"/>
              <w:bottom w:val="single" w:color="auto" w:sz="4" w:space="0"/>
              <w:right w:val="single" w:color="auto" w:sz="4" w:space="0"/>
            </w:tcBorders>
            <w:noWrap w:val="0"/>
            <w:vAlign w:val="center"/>
          </w:tcPr>
          <w:p w14:paraId="402A3DC8">
            <w:pPr>
              <w:keepNext w:val="0"/>
              <w:keepLines w:val="0"/>
              <w:widowControl/>
              <w:suppressLineNumbers w:val="0"/>
              <w:spacing w:before="0" w:beforeAutospacing="0" w:after="0" w:afterAutospacing="0"/>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X＜10</w:t>
            </w:r>
          </w:p>
        </w:tc>
      </w:tr>
      <w:tr w14:paraId="33F6C0E2">
        <w:tblPrEx>
          <w:tblCellMar>
            <w:top w:w="0" w:type="dxa"/>
            <w:left w:w="108" w:type="dxa"/>
            <w:bottom w:w="0" w:type="dxa"/>
            <w:right w:w="108" w:type="dxa"/>
          </w:tblCellMar>
        </w:tblPrEx>
        <w:trPr>
          <w:trHeight w:val="336" w:hRule="atLeast"/>
          <w:jc w:val="center"/>
        </w:trPr>
        <w:tc>
          <w:tcPr>
            <w:tcW w:w="2020" w:type="dxa"/>
            <w:vMerge w:val="continue"/>
            <w:tcBorders>
              <w:top w:val="nil"/>
              <w:left w:val="single" w:color="auto" w:sz="4" w:space="0"/>
              <w:bottom w:val="single" w:color="auto" w:sz="4" w:space="0"/>
              <w:right w:val="single" w:color="auto" w:sz="4" w:space="0"/>
            </w:tcBorders>
            <w:noWrap w:val="0"/>
            <w:vAlign w:val="center"/>
          </w:tcPr>
          <w:p w14:paraId="6CA039E9">
            <w:pPr>
              <w:keepNext w:val="0"/>
              <w:keepLines w:val="0"/>
              <w:widowControl/>
              <w:suppressLineNumbers w:val="0"/>
              <w:spacing w:before="0" w:beforeAutospacing="0" w:after="0" w:afterAutospacing="0"/>
              <w:ind w:left="0" w:right="0"/>
              <w:jc w:val="left"/>
              <w:rPr>
                <w:rFonts w:hint="eastAsia" w:ascii="宋体" w:hAnsi="宋体" w:cs="宋体"/>
                <w:b/>
                <w:bCs/>
                <w:color w:val="auto"/>
                <w:kern w:val="0"/>
                <w:szCs w:val="21"/>
                <w:highlight w:val="none"/>
              </w:rPr>
            </w:pPr>
          </w:p>
        </w:tc>
        <w:tc>
          <w:tcPr>
            <w:tcW w:w="1642" w:type="dxa"/>
            <w:tcBorders>
              <w:top w:val="nil"/>
              <w:left w:val="nil"/>
              <w:bottom w:val="single" w:color="auto" w:sz="4" w:space="0"/>
              <w:right w:val="single" w:color="auto" w:sz="4" w:space="0"/>
            </w:tcBorders>
            <w:noWrap w:val="0"/>
            <w:vAlign w:val="center"/>
          </w:tcPr>
          <w:p w14:paraId="6378F7D1">
            <w:pPr>
              <w:keepNext w:val="0"/>
              <w:keepLines w:val="0"/>
              <w:widowControl/>
              <w:suppressLineNumbers w:val="0"/>
              <w:spacing w:before="0" w:beforeAutospacing="0" w:after="0" w:afterAutospacing="0"/>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营业收入（Y）</w:t>
            </w:r>
          </w:p>
        </w:tc>
        <w:tc>
          <w:tcPr>
            <w:tcW w:w="1084" w:type="dxa"/>
            <w:tcBorders>
              <w:top w:val="nil"/>
              <w:left w:val="nil"/>
              <w:bottom w:val="single" w:color="auto" w:sz="4" w:space="0"/>
              <w:right w:val="single" w:color="auto" w:sz="4" w:space="0"/>
            </w:tcBorders>
            <w:noWrap w:val="0"/>
            <w:vAlign w:val="center"/>
          </w:tcPr>
          <w:p w14:paraId="364F747C">
            <w:pPr>
              <w:keepNext w:val="0"/>
              <w:keepLines w:val="0"/>
              <w:widowControl/>
              <w:suppressLineNumbers w:val="0"/>
              <w:spacing w:before="0" w:beforeAutospacing="0" w:after="0" w:afterAutospacing="0"/>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万元</w:t>
            </w:r>
          </w:p>
        </w:tc>
        <w:tc>
          <w:tcPr>
            <w:tcW w:w="1923" w:type="dxa"/>
            <w:tcBorders>
              <w:top w:val="nil"/>
              <w:left w:val="nil"/>
              <w:bottom w:val="single" w:color="auto" w:sz="4" w:space="0"/>
              <w:right w:val="single" w:color="auto" w:sz="4" w:space="0"/>
            </w:tcBorders>
            <w:noWrap w:val="0"/>
            <w:vAlign w:val="center"/>
          </w:tcPr>
          <w:p w14:paraId="193CBD80">
            <w:pPr>
              <w:keepNext w:val="0"/>
              <w:keepLines w:val="0"/>
              <w:widowControl/>
              <w:suppressLineNumbers w:val="0"/>
              <w:spacing w:before="0" w:beforeAutospacing="0" w:after="0" w:afterAutospacing="0"/>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1000≤Y＜10000</w:t>
            </w:r>
          </w:p>
        </w:tc>
        <w:tc>
          <w:tcPr>
            <w:tcW w:w="1709" w:type="dxa"/>
            <w:tcBorders>
              <w:top w:val="nil"/>
              <w:left w:val="nil"/>
              <w:bottom w:val="single" w:color="auto" w:sz="4" w:space="0"/>
              <w:right w:val="single" w:color="auto" w:sz="4" w:space="0"/>
            </w:tcBorders>
            <w:noWrap w:val="0"/>
            <w:vAlign w:val="center"/>
          </w:tcPr>
          <w:p w14:paraId="35B01B5A">
            <w:pPr>
              <w:keepNext w:val="0"/>
              <w:keepLines w:val="0"/>
              <w:widowControl/>
              <w:suppressLineNumbers w:val="0"/>
              <w:spacing w:before="0" w:beforeAutospacing="0" w:after="0" w:afterAutospacing="0"/>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50≤Y＜1000</w:t>
            </w:r>
          </w:p>
        </w:tc>
        <w:tc>
          <w:tcPr>
            <w:tcW w:w="1098" w:type="dxa"/>
            <w:tcBorders>
              <w:top w:val="nil"/>
              <w:left w:val="nil"/>
              <w:bottom w:val="single" w:color="auto" w:sz="4" w:space="0"/>
              <w:right w:val="single" w:color="auto" w:sz="4" w:space="0"/>
            </w:tcBorders>
            <w:noWrap w:val="0"/>
            <w:vAlign w:val="center"/>
          </w:tcPr>
          <w:p w14:paraId="538FF3FE">
            <w:pPr>
              <w:keepNext w:val="0"/>
              <w:keepLines w:val="0"/>
              <w:widowControl/>
              <w:suppressLineNumbers w:val="0"/>
              <w:spacing w:before="0" w:beforeAutospacing="0" w:after="0" w:afterAutospacing="0"/>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Y＜50</w:t>
            </w:r>
          </w:p>
        </w:tc>
      </w:tr>
      <w:tr w14:paraId="389DDE06">
        <w:tblPrEx>
          <w:tblCellMar>
            <w:top w:w="0" w:type="dxa"/>
            <w:left w:w="108" w:type="dxa"/>
            <w:bottom w:w="0" w:type="dxa"/>
            <w:right w:w="108" w:type="dxa"/>
          </w:tblCellMar>
        </w:tblPrEx>
        <w:trPr>
          <w:trHeight w:val="336" w:hRule="atLeast"/>
          <w:jc w:val="center"/>
        </w:trPr>
        <w:tc>
          <w:tcPr>
            <w:tcW w:w="2020" w:type="dxa"/>
            <w:vMerge w:val="restart"/>
            <w:tcBorders>
              <w:top w:val="nil"/>
              <w:left w:val="single" w:color="auto" w:sz="4" w:space="0"/>
              <w:bottom w:val="single" w:color="auto" w:sz="4" w:space="0"/>
              <w:right w:val="single" w:color="auto" w:sz="4" w:space="0"/>
            </w:tcBorders>
            <w:noWrap w:val="0"/>
            <w:vAlign w:val="bottom"/>
          </w:tcPr>
          <w:p w14:paraId="344A985C">
            <w:pPr>
              <w:keepNext w:val="0"/>
              <w:keepLines w:val="0"/>
              <w:widowControl/>
              <w:suppressLineNumbers w:val="0"/>
              <w:spacing w:before="0" w:beforeAutospacing="0" w:after="0" w:afterAutospacing="0"/>
              <w:ind w:left="0" w:right="0"/>
              <w:jc w:val="center"/>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房地产开发经营</w:t>
            </w:r>
          </w:p>
        </w:tc>
        <w:tc>
          <w:tcPr>
            <w:tcW w:w="1642" w:type="dxa"/>
            <w:tcBorders>
              <w:top w:val="nil"/>
              <w:left w:val="nil"/>
              <w:bottom w:val="single" w:color="auto" w:sz="4" w:space="0"/>
              <w:right w:val="single" w:color="auto" w:sz="4" w:space="0"/>
            </w:tcBorders>
            <w:noWrap w:val="0"/>
            <w:vAlign w:val="center"/>
          </w:tcPr>
          <w:p w14:paraId="7637BC49">
            <w:pPr>
              <w:keepNext w:val="0"/>
              <w:keepLines w:val="0"/>
              <w:widowControl/>
              <w:suppressLineNumbers w:val="0"/>
              <w:spacing w:before="0" w:beforeAutospacing="0" w:after="0" w:afterAutospacing="0"/>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营业收入（Y）</w:t>
            </w:r>
          </w:p>
        </w:tc>
        <w:tc>
          <w:tcPr>
            <w:tcW w:w="1084" w:type="dxa"/>
            <w:tcBorders>
              <w:top w:val="nil"/>
              <w:left w:val="nil"/>
              <w:bottom w:val="single" w:color="auto" w:sz="4" w:space="0"/>
              <w:right w:val="single" w:color="auto" w:sz="4" w:space="0"/>
            </w:tcBorders>
            <w:noWrap w:val="0"/>
            <w:vAlign w:val="center"/>
          </w:tcPr>
          <w:p w14:paraId="49199F03">
            <w:pPr>
              <w:keepNext w:val="0"/>
              <w:keepLines w:val="0"/>
              <w:widowControl/>
              <w:suppressLineNumbers w:val="0"/>
              <w:spacing w:before="0" w:beforeAutospacing="0" w:after="0" w:afterAutospacing="0"/>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万元</w:t>
            </w:r>
          </w:p>
        </w:tc>
        <w:tc>
          <w:tcPr>
            <w:tcW w:w="1923" w:type="dxa"/>
            <w:tcBorders>
              <w:top w:val="nil"/>
              <w:left w:val="nil"/>
              <w:bottom w:val="single" w:color="auto" w:sz="4" w:space="0"/>
              <w:right w:val="single" w:color="auto" w:sz="4" w:space="0"/>
            </w:tcBorders>
            <w:noWrap w:val="0"/>
            <w:vAlign w:val="center"/>
          </w:tcPr>
          <w:p w14:paraId="19A6D030">
            <w:pPr>
              <w:keepNext w:val="0"/>
              <w:keepLines w:val="0"/>
              <w:widowControl/>
              <w:suppressLineNumbers w:val="0"/>
              <w:spacing w:before="0" w:beforeAutospacing="0" w:after="0" w:afterAutospacing="0"/>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1000≤Y＜200000</w:t>
            </w:r>
          </w:p>
        </w:tc>
        <w:tc>
          <w:tcPr>
            <w:tcW w:w="1709" w:type="dxa"/>
            <w:tcBorders>
              <w:top w:val="nil"/>
              <w:left w:val="nil"/>
              <w:bottom w:val="single" w:color="auto" w:sz="4" w:space="0"/>
              <w:right w:val="single" w:color="auto" w:sz="4" w:space="0"/>
            </w:tcBorders>
            <w:noWrap w:val="0"/>
            <w:vAlign w:val="center"/>
          </w:tcPr>
          <w:p w14:paraId="429F15E8">
            <w:pPr>
              <w:keepNext w:val="0"/>
              <w:keepLines w:val="0"/>
              <w:widowControl/>
              <w:suppressLineNumbers w:val="0"/>
              <w:spacing w:before="0" w:beforeAutospacing="0" w:after="0" w:afterAutospacing="0"/>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100≤X＜1000</w:t>
            </w:r>
          </w:p>
        </w:tc>
        <w:tc>
          <w:tcPr>
            <w:tcW w:w="1098" w:type="dxa"/>
            <w:tcBorders>
              <w:top w:val="nil"/>
              <w:left w:val="nil"/>
              <w:bottom w:val="single" w:color="auto" w:sz="4" w:space="0"/>
              <w:right w:val="single" w:color="auto" w:sz="4" w:space="0"/>
            </w:tcBorders>
            <w:noWrap w:val="0"/>
            <w:vAlign w:val="center"/>
          </w:tcPr>
          <w:p w14:paraId="1F1B3307">
            <w:pPr>
              <w:keepNext w:val="0"/>
              <w:keepLines w:val="0"/>
              <w:widowControl/>
              <w:suppressLineNumbers w:val="0"/>
              <w:spacing w:before="0" w:beforeAutospacing="0" w:after="0" w:afterAutospacing="0"/>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X＜100</w:t>
            </w:r>
          </w:p>
        </w:tc>
      </w:tr>
      <w:tr w14:paraId="3C22F3FB">
        <w:tblPrEx>
          <w:tblCellMar>
            <w:top w:w="0" w:type="dxa"/>
            <w:left w:w="108" w:type="dxa"/>
            <w:bottom w:w="0" w:type="dxa"/>
            <w:right w:w="108" w:type="dxa"/>
          </w:tblCellMar>
        </w:tblPrEx>
        <w:trPr>
          <w:trHeight w:val="336" w:hRule="atLeast"/>
          <w:jc w:val="center"/>
        </w:trPr>
        <w:tc>
          <w:tcPr>
            <w:tcW w:w="2020" w:type="dxa"/>
            <w:vMerge w:val="continue"/>
            <w:tcBorders>
              <w:top w:val="nil"/>
              <w:left w:val="single" w:color="auto" w:sz="4" w:space="0"/>
              <w:bottom w:val="single" w:color="auto" w:sz="4" w:space="0"/>
              <w:right w:val="single" w:color="auto" w:sz="4" w:space="0"/>
            </w:tcBorders>
            <w:noWrap w:val="0"/>
            <w:vAlign w:val="center"/>
          </w:tcPr>
          <w:p w14:paraId="6359FFE7">
            <w:pPr>
              <w:keepNext w:val="0"/>
              <w:keepLines w:val="0"/>
              <w:widowControl/>
              <w:suppressLineNumbers w:val="0"/>
              <w:spacing w:before="0" w:beforeAutospacing="0" w:after="0" w:afterAutospacing="0"/>
              <w:ind w:left="0" w:right="0"/>
              <w:jc w:val="left"/>
              <w:rPr>
                <w:rFonts w:hint="eastAsia" w:ascii="宋体" w:hAnsi="宋体" w:cs="宋体"/>
                <w:b/>
                <w:bCs/>
                <w:color w:val="auto"/>
                <w:kern w:val="0"/>
                <w:szCs w:val="21"/>
                <w:highlight w:val="none"/>
              </w:rPr>
            </w:pPr>
          </w:p>
        </w:tc>
        <w:tc>
          <w:tcPr>
            <w:tcW w:w="1642" w:type="dxa"/>
            <w:tcBorders>
              <w:top w:val="nil"/>
              <w:left w:val="nil"/>
              <w:bottom w:val="single" w:color="auto" w:sz="4" w:space="0"/>
              <w:right w:val="single" w:color="auto" w:sz="4" w:space="0"/>
            </w:tcBorders>
            <w:noWrap w:val="0"/>
            <w:vAlign w:val="center"/>
          </w:tcPr>
          <w:p w14:paraId="4BC990C2">
            <w:pPr>
              <w:keepNext w:val="0"/>
              <w:keepLines w:val="0"/>
              <w:widowControl/>
              <w:suppressLineNumbers w:val="0"/>
              <w:spacing w:before="0" w:beforeAutospacing="0" w:after="0" w:afterAutospacing="0"/>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资产总额（Z）</w:t>
            </w:r>
          </w:p>
        </w:tc>
        <w:tc>
          <w:tcPr>
            <w:tcW w:w="1084" w:type="dxa"/>
            <w:tcBorders>
              <w:top w:val="nil"/>
              <w:left w:val="nil"/>
              <w:bottom w:val="single" w:color="auto" w:sz="4" w:space="0"/>
              <w:right w:val="single" w:color="auto" w:sz="4" w:space="0"/>
            </w:tcBorders>
            <w:noWrap w:val="0"/>
            <w:vAlign w:val="center"/>
          </w:tcPr>
          <w:p w14:paraId="600A1C54">
            <w:pPr>
              <w:keepNext w:val="0"/>
              <w:keepLines w:val="0"/>
              <w:widowControl/>
              <w:suppressLineNumbers w:val="0"/>
              <w:spacing w:before="0" w:beforeAutospacing="0" w:after="0" w:afterAutospacing="0"/>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万元</w:t>
            </w:r>
          </w:p>
        </w:tc>
        <w:tc>
          <w:tcPr>
            <w:tcW w:w="1923" w:type="dxa"/>
            <w:tcBorders>
              <w:top w:val="nil"/>
              <w:left w:val="nil"/>
              <w:bottom w:val="single" w:color="auto" w:sz="4" w:space="0"/>
              <w:right w:val="single" w:color="auto" w:sz="4" w:space="0"/>
            </w:tcBorders>
            <w:noWrap w:val="0"/>
            <w:vAlign w:val="center"/>
          </w:tcPr>
          <w:p w14:paraId="1AAD34C1">
            <w:pPr>
              <w:keepNext w:val="0"/>
              <w:keepLines w:val="0"/>
              <w:widowControl/>
              <w:suppressLineNumbers w:val="0"/>
              <w:spacing w:before="0" w:beforeAutospacing="0" w:after="0" w:afterAutospacing="0"/>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5000≤Z＜10000</w:t>
            </w:r>
          </w:p>
        </w:tc>
        <w:tc>
          <w:tcPr>
            <w:tcW w:w="1709" w:type="dxa"/>
            <w:tcBorders>
              <w:top w:val="nil"/>
              <w:left w:val="nil"/>
              <w:bottom w:val="single" w:color="auto" w:sz="4" w:space="0"/>
              <w:right w:val="single" w:color="auto" w:sz="4" w:space="0"/>
            </w:tcBorders>
            <w:noWrap w:val="0"/>
            <w:vAlign w:val="center"/>
          </w:tcPr>
          <w:p w14:paraId="63DA44C9">
            <w:pPr>
              <w:keepNext w:val="0"/>
              <w:keepLines w:val="0"/>
              <w:widowControl/>
              <w:suppressLineNumbers w:val="0"/>
              <w:spacing w:before="0" w:beforeAutospacing="0" w:after="0" w:afterAutospacing="0"/>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2000≤Y＜5000</w:t>
            </w:r>
          </w:p>
        </w:tc>
        <w:tc>
          <w:tcPr>
            <w:tcW w:w="1098" w:type="dxa"/>
            <w:tcBorders>
              <w:top w:val="nil"/>
              <w:left w:val="nil"/>
              <w:bottom w:val="single" w:color="auto" w:sz="4" w:space="0"/>
              <w:right w:val="single" w:color="auto" w:sz="4" w:space="0"/>
            </w:tcBorders>
            <w:noWrap w:val="0"/>
            <w:vAlign w:val="center"/>
          </w:tcPr>
          <w:p w14:paraId="0A03176D">
            <w:pPr>
              <w:keepNext w:val="0"/>
              <w:keepLines w:val="0"/>
              <w:widowControl/>
              <w:suppressLineNumbers w:val="0"/>
              <w:spacing w:before="0" w:beforeAutospacing="0" w:after="0" w:afterAutospacing="0"/>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Y＜2000</w:t>
            </w:r>
          </w:p>
        </w:tc>
      </w:tr>
      <w:tr w14:paraId="712867EB">
        <w:tblPrEx>
          <w:tblCellMar>
            <w:top w:w="0" w:type="dxa"/>
            <w:left w:w="108" w:type="dxa"/>
            <w:bottom w:w="0" w:type="dxa"/>
            <w:right w:w="108" w:type="dxa"/>
          </w:tblCellMar>
        </w:tblPrEx>
        <w:trPr>
          <w:trHeight w:val="336" w:hRule="atLeast"/>
          <w:jc w:val="center"/>
        </w:trPr>
        <w:tc>
          <w:tcPr>
            <w:tcW w:w="2020" w:type="dxa"/>
            <w:vMerge w:val="restart"/>
            <w:tcBorders>
              <w:top w:val="nil"/>
              <w:left w:val="single" w:color="auto" w:sz="4" w:space="0"/>
              <w:bottom w:val="single" w:color="auto" w:sz="4" w:space="0"/>
              <w:right w:val="single" w:color="auto" w:sz="4" w:space="0"/>
            </w:tcBorders>
            <w:noWrap w:val="0"/>
            <w:vAlign w:val="bottom"/>
          </w:tcPr>
          <w:p w14:paraId="5B4CBDC8">
            <w:pPr>
              <w:keepNext w:val="0"/>
              <w:keepLines w:val="0"/>
              <w:widowControl/>
              <w:suppressLineNumbers w:val="0"/>
              <w:spacing w:before="0" w:beforeAutospacing="0" w:after="0" w:afterAutospacing="0"/>
              <w:ind w:left="0" w:right="0"/>
              <w:jc w:val="center"/>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物业管理</w:t>
            </w:r>
          </w:p>
        </w:tc>
        <w:tc>
          <w:tcPr>
            <w:tcW w:w="1642" w:type="dxa"/>
            <w:tcBorders>
              <w:top w:val="nil"/>
              <w:left w:val="nil"/>
              <w:bottom w:val="single" w:color="auto" w:sz="4" w:space="0"/>
              <w:right w:val="single" w:color="auto" w:sz="4" w:space="0"/>
            </w:tcBorders>
            <w:noWrap w:val="0"/>
            <w:vAlign w:val="center"/>
          </w:tcPr>
          <w:p w14:paraId="05873B18">
            <w:pPr>
              <w:keepNext w:val="0"/>
              <w:keepLines w:val="0"/>
              <w:widowControl/>
              <w:suppressLineNumbers w:val="0"/>
              <w:spacing w:before="0" w:beforeAutospacing="0" w:after="0" w:afterAutospacing="0"/>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从业人员（X）</w:t>
            </w:r>
          </w:p>
        </w:tc>
        <w:tc>
          <w:tcPr>
            <w:tcW w:w="1084" w:type="dxa"/>
            <w:tcBorders>
              <w:top w:val="nil"/>
              <w:left w:val="nil"/>
              <w:bottom w:val="single" w:color="auto" w:sz="4" w:space="0"/>
              <w:right w:val="single" w:color="auto" w:sz="4" w:space="0"/>
            </w:tcBorders>
            <w:noWrap w:val="0"/>
            <w:vAlign w:val="center"/>
          </w:tcPr>
          <w:p w14:paraId="1F81F1DE">
            <w:pPr>
              <w:keepNext w:val="0"/>
              <w:keepLines w:val="0"/>
              <w:widowControl/>
              <w:suppressLineNumbers w:val="0"/>
              <w:spacing w:before="0" w:beforeAutospacing="0" w:after="0" w:afterAutospacing="0"/>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人</w:t>
            </w:r>
          </w:p>
        </w:tc>
        <w:tc>
          <w:tcPr>
            <w:tcW w:w="1923" w:type="dxa"/>
            <w:tcBorders>
              <w:top w:val="nil"/>
              <w:left w:val="nil"/>
              <w:bottom w:val="single" w:color="auto" w:sz="4" w:space="0"/>
              <w:right w:val="single" w:color="auto" w:sz="4" w:space="0"/>
            </w:tcBorders>
            <w:noWrap w:val="0"/>
            <w:vAlign w:val="center"/>
          </w:tcPr>
          <w:p w14:paraId="33D2075C">
            <w:pPr>
              <w:keepNext w:val="0"/>
              <w:keepLines w:val="0"/>
              <w:widowControl/>
              <w:suppressLineNumbers w:val="0"/>
              <w:spacing w:before="0" w:beforeAutospacing="0" w:after="0" w:afterAutospacing="0"/>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300≤X＜1000</w:t>
            </w:r>
          </w:p>
        </w:tc>
        <w:tc>
          <w:tcPr>
            <w:tcW w:w="1709" w:type="dxa"/>
            <w:tcBorders>
              <w:top w:val="nil"/>
              <w:left w:val="nil"/>
              <w:bottom w:val="single" w:color="auto" w:sz="4" w:space="0"/>
              <w:right w:val="single" w:color="auto" w:sz="4" w:space="0"/>
            </w:tcBorders>
            <w:noWrap w:val="0"/>
            <w:vAlign w:val="center"/>
          </w:tcPr>
          <w:p w14:paraId="49540A83">
            <w:pPr>
              <w:keepNext w:val="0"/>
              <w:keepLines w:val="0"/>
              <w:widowControl/>
              <w:suppressLineNumbers w:val="0"/>
              <w:spacing w:before="0" w:beforeAutospacing="0" w:after="0" w:afterAutospacing="0"/>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100≤X＜300</w:t>
            </w:r>
          </w:p>
        </w:tc>
        <w:tc>
          <w:tcPr>
            <w:tcW w:w="1098" w:type="dxa"/>
            <w:tcBorders>
              <w:top w:val="nil"/>
              <w:left w:val="nil"/>
              <w:bottom w:val="single" w:color="auto" w:sz="4" w:space="0"/>
              <w:right w:val="single" w:color="auto" w:sz="4" w:space="0"/>
            </w:tcBorders>
            <w:noWrap w:val="0"/>
            <w:vAlign w:val="center"/>
          </w:tcPr>
          <w:p w14:paraId="47DEAEE9">
            <w:pPr>
              <w:keepNext w:val="0"/>
              <w:keepLines w:val="0"/>
              <w:widowControl/>
              <w:suppressLineNumbers w:val="0"/>
              <w:spacing w:before="0" w:beforeAutospacing="0" w:after="0" w:afterAutospacing="0"/>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X＜100</w:t>
            </w:r>
          </w:p>
        </w:tc>
      </w:tr>
      <w:tr w14:paraId="5798B4AB">
        <w:tblPrEx>
          <w:tblCellMar>
            <w:top w:w="0" w:type="dxa"/>
            <w:left w:w="108" w:type="dxa"/>
            <w:bottom w:w="0" w:type="dxa"/>
            <w:right w:w="108" w:type="dxa"/>
          </w:tblCellMar>
        </w:tblPrEx>
        <w:trPr>
          <w:trHeight w:val="336" w:hRule="atLeast"/>
          <w:jc w:val="center"/>
        </w:trPr>
        <w:tc>
          <w:tcPr>
            <w:tcW w:w="2020" w:type="dxa"/>
            <w:vMerge w:val="continue"/>
            <w:tcBorders>
              <w:top w:val="nil"/>
              <w:left w:val="single" w:color="auto" w:sz="4" w:space="0"/>
              <w:bottom w:val="single" w:color="auto" w:sz="4" w:space="0"/>
              <w:right w:val="single" w:color="auto" w:sz="4" w:space="0"/>
            </w:tcBorders>
            <w:noWrap w:val="0"/>
            <w:vAlign w:val="center"/>
          </w:tcPr>
          <w:p w14:paraId="53523354">
            <w:pPr>
              <w:keepNext w:val="0"/>
              <w:keepLines w:val="0"/>
              <w:widowControl/>
              <w:suppressLineNumbers w:val="0"/>
              <w:spacing w:before="0" w:beforeAutospacing="0" w:after="0" w:afterAutospacing="0"/>
              <w:ind w:left="0" w:right="0"/>
              <w:jc w:val="left"/>
              <w:rPr>
                <w:rFonts w:hint="eastAsia" w:ascii="宋体" w:hAnsi="宋体" w:cs="宋体"/>
                <w:b/>
                <w:bCs/>
                <w:color w:val="auto"/>
                <w:kern w:val="0"/>
                <w:szCs w:val="21"/>
                <w:highlight w:val="none"/>
              </w:rPr>
            </w:pPr>
          </w:p>
        </w:tc>
        <w:tc>
          <w:tcPr>
            <w:tcW w:w="1642" w:type="dxa"/>
            <w:tcBorders>
              <w:top w:val="nil"/>
              <w:left w:val="nil"/>
              <w:bottom w:val="single" w:color="auto" w:sz="4" w:space="0"/>
              <w:right w:val="single" w:color="auto" w:sz="4" w:space="0"/>
            </w:tcBorders>
            <w:noWrap w:val="0"/>
            <w:vAlign w:val="center"/>
          </w:tcPr>
          <w:p w14:paraId="649DD5B9">
            <w:pPr>
              <w:keepNext w:val="0"/>
              <w:keepLines w:val="0"/>
              <w:widowControl/>
              <w:suppressLineNumbers w:val="0"/>
              <w:spacing w:before="0" w:beforeAutospacing="0" w:after="0" w:afterAutospacing="0"/>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营业收入（Y）</w:t>
            </w:r>
          </w:p>
        </w:tc>
        <w:tc>
          <w:tcPr>
            <w:tcW w:w="1084" w:type="dxa"/>
            <w:tcBorders>
              <w:top w:val="nil"/>
              <w:left w:val="nil"/>
              <w:bottom w:val="single" w:color="auto" w:sz="4" w:space="0"/>
              <w:right w:val="single" w:color="auto" w:sz="4" w:space="0"/>
            </w:tcBorders>
            <w:noWrap w:val="0"/>
            <w:vAlign w:val="center"/>
          </w:tcPr>
          <w:p w14:paraId="4CAE0F07">
            <w:pPr>
              <w:keepNext w:val="0"/>
              <w:keepLines w:val="0"/>
              <w:widowControl/>
              <w:suppressLineNumbers w:val="0"/>
              <w:spacing w:before="0" w:beforeAutospacing="0" w:after="0" w:afterAutospacing="0"/>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万元</w:t>
            </w:r>
          </w:p>
        </w:tc>
        <w:tc>
          <w:tcPr>
            <w:tcW w:w="1923" w:type="dxa"/>
            <w:tcBorders>
              <w:top w:val="nil"/>
              <w:left w:val="nil"/>
              <w:bottom w:val="single" w:color="auto" w:sz="4" w:space="0"/>
              <w:right w:val="single" w:color="auto" w:sz="4" w:space="0"/>
            </w:tcBorders>
            <w:noWrap w:val="0"/>
            <w:vAlign w:val="center"/>
          </w:tcPr>
          <w:p w14:paraId="052CD6A7">
            <w:pPr>
              <w:keepNext w:val="0"/>
              <w:keepLines w:val="0"/>
              <w:widowControl/>
              <w:suppressLineNumbers w:val="0"/>
              <w:spacing w:before="0" w:beforeAutospacing="0" w:after="0" w:afterAutospacing="0"/>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1000≤Y＜5000</w:t>
            </w:r>
          </w:p>
        </w:tc>
        <w:tc>
          <w:tcPr>
            <w:tcW w:w="1709" w:type="dxa"/>
            <w:tcBorders>
              <w:top w:val="nil"/>
              <w:left w:val="nil"/>
              <w:bottom w:val="single" w:color="auto" w:sz="4" w:space="0"/>
              <w:right w:val="single" w:color="auto" w:sz="4" w:space="0"/>
            </w:tcBorders>
            <w:noWrap w:val="0"/>
            <w:vAlign w:val="center"/>
          </w:tcPr>
          <w:p w14:paraId="2AAE3F59">
            <w:pPr>
              <w:keepNext w:val="0"/>
              <w:keepLines w:val="0"/>
              <w:widowControl/>
              <w:suppressLineNumbers w:val="0"/>
              <w:spacing w:before="0" w:beforeAutospacing="0" w:after="0" w:afterAutospacing="0"/>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500≤Y＜1000</w:t>
            </w:r>
          </w:p>
        </w:tc>
        <w:tc>
          <w:tcPr>
            <w:tcW w:w="1098" w:type="dxa"/>
            <w:tcBorders>
              <w:top w:val="nil"/>
              <w:left w:val="nil"/>
              <w:bottom w:val="single" w:color="auto" w:sz="4" w:space="0"/>
              <w:right w:val="single" w:color="auto" w:sz="4" w:space="0"/>
            </w:tcBorders>
            <w:noWrap w:val="0"/>
            <w:vAlign w:val="center"/>
          </w:tcPr>
          <w:p w14:paraId="4D1499F6">
            <w:pPr>
              <w:keepNext w:val="0"/>
              <w:keepLines w:val="0"/>
              <w:widowControl/>
              <w:suppressLineNumbers w:val="0"/>
              <w:spacing w:before="0" w:beforeAutospacing="0" w:after="0" w:afterAutospacing="0"/>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Y＜500</w:t>
            </w:r>
          </w:p>
        </w:tc>
      </w:tr>
      <w:tr w14:paraId="344ECABF">
        <w:tblPrEx>
          <w:tblCellMar>
            <w:top w:w="0" w:type="dxa"/>
            <w:left w:w="108" w:type="dxa"/>
            <w:bottom w:w="0" w:type="dxa"/>
            <w:right w:w="108" w:type="dxa"/>
          </w:tblCellMar>
        </w:tblPrEx>
        <w:trPr>
          <w:trHeight w:val="336" w:hRule="atLeast"/>
          <w:jc w:val="center"/>
        </w:trPr>
        <w:tc>
          <w:tcPr>
            <w:tcW w:w="2020" w:type="dxa"/>
            <w:vMerge w:val="restart"/>
            <w:tcBorders>
              <w:top w:val="nil"/>
              <w:left w:val="single" w:color="auto" w:sz="4" w:space="0"/>
              <w:bottom w:val="single" w:color="auto" w:sz="4" w:space="0"/>
              <w:right w:val="single" w:color="auto" w:sz="4" w:space="0"/>
            </w:tcBorders>
            <w:noWrap w:val="0"/>
            <w:vAlign w:val="bottom"/>
          </w:tcPr>
          <w:p w14:paraId="2EE46F7F">
            <w:pPr>
              <w:keepNext w:val="0"/>
              <w:keepLines w:val="0"/>
              <w:widowControl/>
              <w:suppressLineNumbers w:val="0"/>
              <w:spacing w:before="0" w:beforeAutospacing="0" w:after="0" w:afterAutospacing="0"/>
              <w:ind w:left="0" w:right="0"/>
              <w:jc w:val="center"/>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租赁和商务服务业</w:t>
            </w:r>
          </w:p>
        </w:tc>
        <w:tc>
          <w:tcPr>
            <w:tcW w:w="1642" w:type="dxa"/>
            <w:tcBorders>
              <w:top w:val="nil"/>
              <w:left w:val="nil"/>
              <w:bottom w:val="single" w:color="auto" w:sz="4" w:space="0"/>
              <w:right w:val="single" w:color="auto" w:sz="4" w:space="0"/>
            </w:tcBorders>
            <w:noWrap w:val="0"/>
            <w:vAlign w:val="center"/>
          </w:tcPr>
          <w:p w14:paraId="381D5093">
            <w:pPr>
              <w:keepNext w:val="0"/>
              <w:keepLines w:val="0"/>
              <w:widowControl/>
              <w:suppressLineNumbers w:val="0"/>
              <w:spacing w:before="0" w:beforeAutospacing="0" w:after="0" w:afterAutospacing="0"/>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从业人员（X）</w:t>
            </w:r>
          </w:p>
        </w:tc>
        <w:tc>
          <w:tcPr>
            <w:tcW w:w="1084" w:type="dxa"/>
            <w:tcBorders>
              <w:top w:val="nil"/>
              <w:left w:val="nil"/>
              <w:bottom w:val="single" w:color="auto" w:sz="4" w:space="0"/>
              <w:right w:val="single" w:color="auto" w:sz="4" w:space="0"/>
            </w:tcBorders>
            <w:noWrap w:val="0"/>
            <w:vAlign w:val="center"/>
          </w:tcPr>
          <w:p w14:paraId="24F5BB34">
            <w:pPr>
              <w:keepNext w:val="0"/>
              <w:keepLines w:val="0"/>
              <w:widowControl/>
              <w:suppressLineNumbers w:val="0"/>
              <w:spacing w:before="0" w:beforeAutospacing="0" w:after="0" w:afterAutospacing="0"/>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人</w:t>
            </w:r>
          </w:p>
        </w:tc>
        <w:tc>
          <w:tcPr>
            <w:tcW w:w="1923" w:type="dxa"/>
            <w:tcBorders>
              <w:top w:val="nil"/>
              <w:left w:val="nil"/>
              <w:bottom w:val="single" w:color="auto" w:sz="4" w:space="0"/>
              <w:right w:val="single" w:color="auto" w:sz="4" w:space="0"/>
            </w:tcBorders>
            <w:noWrap w:val="0"/>
            <w:vAlign w:val="center"/>
          </w:tcPr>
          <w:p w14:paraId="09E1D626">
            <w:pPr>
              <w:keepNext w:val="0"/>
              <w:keepLines w:val="0"/>
              <w:widowControl/>
              <w:suppressLineNumbers w:val="0"/>
              <w:spacing w:before="0" w:beforeAutospacing="0" w:after="0" w:afterAutospacing="0"/>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100≤X＜300</w:t>
            </w:r>
          </w:p>
        </w:tc>
        <w:tc>
          <w:tcPr>
            <w:tcW w:w="1709" w:type="dxa"/>
            <w:tcBorders>
              <w:top w:val="nil"/>
              <w:left w:val="nil"/>
              <w:bottom w:val="single" w:color="auto" w:sz="4" w:space="0"/>
              <w:right w:val="single" w:color="auto" w:sz="4" w:space="0"/>
            </w:tcBorders>
            <w:noWrap w:val="0"/>
            <w:vAlign w:val="center"/>
          </w:tcPr>
          <w:p w14:paraId="5397899D">
            <w:pPr>
              <w:keepNext w:val="0"/>
              <w:keepLines w:val="0"/>
              <w:widowControl/>
              <w:suppressLineNumbers w:val="0"/>
              <w:spacing w:before="0" w:beforeAutospacing="0" w:after="0" w:afterAutospacing="0"/>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10≤X＜100</w:t>
            </w:r>
          </w:p>
        </w:tc>
        <w:tc>
          <w:tcPr>
            <w:tcW w:w="1098" w:type="dxa"/>
            <w:tcBorders>
              <w:top w:val="nil"/>
              <w:left w:val="nil"/>
              <w:bottom w:val="single" w:color="auto" w:sz="4" w:space="0"/>
              <w:right w:val="single" w:color="auto" w:sz="4" w:space="0"/>
            </w:tcBorders>
            <w:noWrap w:val="0"/>
            <w:vAlign w:val="center"/>
          </w:tcPr>
          <w:p w14:paraId="1D71CF75">
            <w:pPr>
              <w:keepNext w:val="0"/>
              <w:keepLines w:val="0"/>
              <w:widowControl/>
              <w:suppressLineNumbers w:val="0"/>
              <w:spacing w:before="0" w:beforeAutospacing="0" w:after="0" w:afterAutospacing="0"/>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X＜10</w:t>
            </w:r>
          </w:p>
        </w:tc>
      </w:tr>
      <w:tr w14:paraId="29914FC0">
        <w:tblPrEx>
          <w:tblCellMar>
            <w:top w:w="0" w:type="dxa"/>
            <w:left w:w="108" w:type="dxa"/>
            <w:bottom w:w="0" w:type="dxa"/>
            <w:right w:w="108" w:type="dxa"/>
          </w:tblCellMar>
        </w:tblPrEx>
        <w:trPr>
          <w:trHeight w:val="336" w:hRule="atLeast"/>
          <w:jc w:val="center"/>
        </w:trPr>
        <w:tc>
          <w:tcPr>
            <w:tcW w:w="2020" w:type="dxa"/>
            <w:vMerge w:val="continue"/>
            <w:tcBorders>
              <w:top w:val="nil"/>
              <w:left w:val="single" w:color="auto" w:sz="4" w:space="0"/>
              <w:bottom w:val="single" w:color="auto" w:sz="4" w:space="0"/>
              <w:right w:val="single" w:color="auto" w:sz="4" w:space="0"/>
            </w:tcBorders>
            <w:noWrap w:val="0"/>
            <w:vAlign w:val="center"/>
          </w:tcPr>
          <w:p w14:paraId="78C2DB92">
            <w:pPr>
              <w:keepNext w:val="0"/>
              <w:keepLines w:val="0"/>
              <w:widowControl/>
              <w:suppressLineNumbers w:val="0"/>
              <w:spacing w:before="0" w:beforeAutospacing="0" w:after="0" w:afterAutospacing="0"/>
              <w:ind w:left="0" w:right="0"/>
              <w:jc w:val="left"/>
              <w:rPr>
                <w:rFonts w:hint="eastAsia" w:ascii="宋体" w:hAnsi="宋体" w:cs="宋体"/>
                <w:b/>
                <w:bCs/>
                <w:color w:val="auto"/>
                <w:kern w:val="0"/>
                <w:szCs w:val="21"/>
                <w:highlight w:val="none"/>
              </w:rPr>
            </w:pPr>
          </w:p>
        </w:tc>
        <w:tc>
          <w:tcPr>
            <w:tcW w:w="1642" w:type="dxa"/>
            <w:tcBorders>
              <w:top w:val="nil"/>
              <w:left w:val="nil"/>
              <w:bottom w:val="single" w:color="auto" w:sz="4" w:space="0"/>
              <w:right w:val="single" w:color="auto" w:sz="4" w:space="0"/>
            </w:tcBorders>
            <w:noWrap w:val="0"/>
            <w:vAlign w:val="center"/>
          </w:tcPr>
          <w:p w14:paraId="1501D0BE">
            <w:pPr>
              <w:keepNext w:val="0"/>
              <w:keepLines w:val="0"/>
              <w:widowControl/>
              <w:suppressLineNumbers w:val="0"/>
              <w:spacing w:before="0" w:beforeAutospacing="0" w:after="0" w:afterAutospacing="0"/>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资产总额（Z）</w:t>
            </w:r>
          </w:p>
        </w:tc>
        <w:tc>
          <w:tcPr>
            <w:tcW w:w="1084" w:type="dxa"/>
            <w:tcBorders>
              <w:top w:val="nil"/>
              <w:left w:val="nil"/>
              <w:bottom w:val="single" w:color="auto" w:sz="4" w:space="0"/>
              <w:right w:val="single" w:color="auto" w:sz="4" w:space="0"/>
            </w:tcBorders>
            <w:noWrap w:val="0"/>
            <w:vAlign w:val="center"/>
          </w:tcPr>
          <w:p w14:paraId="0DBA8A05">
            <w:pPr>
              <w:keepNext w:val="0"/>
              <w:keepLines w:val="0"/>
              <w:widowControl/>
              <w:suppressLineNumbers w:val="0"/>
              <w:spacing w:before="0" w:beforeAutospacing="0" w:after="0" w:afterAutospacing="0"/>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万元</w:t>
            </w:r>
          </w:p>
        </w:tc>
        <w:tc>
          <w:tcPr>
            <w:tcW w:w="1923" w:type="dxa"/>
            <w:tcBorders>
              <w:top w:val="nil"/>
              <w:left w:val="nil"/>
              <w:bottom w:val="single" w:color="auto" w:sz="4" w:space="0"/>
              <w:right w:val="single" w:color="auto" w:sz="4" w:space="0"/>
            </w:tcBorders>
            <w:noWrap w:val="0"/>
            <w:vAlign w:val="center"/>
          </w:tcPr>
          <w:p w14:paraId="6C448E9C">
            <w:pPr>
              <w:keepNext w:val="0"/>
              <w:keepLines w:val="0"/>
              <w:widowControl/>
              <w:suppressLineNumbers w:val="0"/>
              <w:spacing w:before="0" w:beforeAutospacing="0" w:after="0" w:afterAutospacing="0"/>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8000≤Z＜120000</w:t>
            </w:r>
          </w:p>
        </w:tc>
        <w:tc>
          <w:tcPr>
            <w:tcW w:w="1709" w:type="dxa"/>
            <w:tcBorders>
              <w:top w:val="nil"/>
              <w:left w:val="nil"/>
              <w:bottom w:val="single" w:color="auto" w:sz="4" w:space="0"/>
              <w:right w:val="single" w:color="auto" w:sz="4" w:space="0"/>
            </w:tcBorders>
            <w:noWrap w:val="0"/>
            <w:vAlign w:val="center"/>
          </w:tcPr>
          <w:p w14:paraId="708768EB">
            <w:pPr>
              <w:keepNext w:val="0"/>
              <w:keepLines w:val="0"/>
              <w:widowControl/>
              <w:suppressLineNumbers w:val="0"/>
              <w:spacing w:before="0" w:beforeAutospacing="0" w:after="0" w:afterAutospacing="0"/>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100≤Z＜8000</w:t>
            </w:r>
          </w:p>
        </w:tc>
        <w:tc>
          <w:tcPr>
            <w:tcW w:w="1098" w:type="dxa"/>
            <w:tcBorders>
              <w:top w:val="nil"/>
              <w:left w:val="nil"/>
              <w:bottom w:val="single" w:color="auto" w:sz="4" w:space="0"/>
              <w:right w:val="single" w:color="auto" w:sz="4" w:space="0"/>
            </w:tcBorders>
            <w:noWrap w:val="0"/>
            <w:vAlign w:val="center"/>
          </w:tcPr>
          <w:p w14:paraId="0FFB68C3">
            <w:pPr>
              <w:keepNext w:val="0"/>
              <w:keepLines w:val="0"/>
              <w:widowControl/>
              <w:suppressLineNumbers w:val="0"/>
              <w:spacing w:before="0" w:beforeAutospacing="0" w:after="0" w:afterAutospacing="0"/>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Y＜100</w:t>
            </w:r>
          </w:p>
        </w:tc>
      </w:tr>
      <w:tr w14:paraId="65E13E5E">
        <w:tblPrEx>
          <w:tblCellMar>
            <w:top w:w="0" w:type="dxa"/>
            <w:left w:w="108" w:type="dxa"/>
            <w:bottom w:w="0" w:type="dxa"/>
            <w:right w:w="108" w:type="dxa"/>
          </w:tblCellMar>
        </w:tblPrEx>
        <w:trPr>
          <w:trHeight w:val="346" w:hRule="atLeast"/>
          <w:jc w:val="center"/>
        </w:trPr>
        <w:tc>
          <w:tcPr>
            <w:tcW w:w="2020" w:type="dxa"/>
            <w:tcBorders>
              <w:top w:val="nil"/>
              <w:left w:val="single" w:color="auto" w:sz="4" w:space="0"/>
              <w:bottom w:val="single" w:color="auto" w:sz="4" w:space="0"/>
              <w:right w:val="single" w:color="auto" w:sz="4" w:space="0"/>
            </w:tcBorders>
            <w:noWrap w:val="0"/>
            <w:vAlign w:val="bottom"/>
          </w:tcPr>
          <w:p w14:paraId="39BC8117">
            <w:pPr>
              <w:keepNext w:val="0"/>
              <w:keepLines w:val="0"/>
              <w:widowControl/>
              <w:suppressLineNumbers w:val="0"/>
              <w:spacing w:before="0" w:beforeAutospacing="0" w:after="0" w:afterAutospacing="0"/>
              <w:ind w:left="0" w:right="0"/>
              <w:jc w:val="center"/>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其他未列明行业</w:t>
            </w:r>
          </w:p>
        </w:tc>
        <w:tc>
          <w:tcPr>
            <w:tcW w:w="1642" w:type="dxa"/>
            <w:tcBorders>
              <w:top w:val="nil"/>
              <w:left w:val="nil"/>
              <w:bottom w:val="single" w:color="auto" w:sz="4" w:space="0"/>
              <w:right w:val="single" w:color="auto" w:sz="4" w:space="0"/>
            </w:tcBorders>
            <w:noWrap w:val="0"/>
            <w:vAlign w:val="center"/>
          </w:tcPr>
          <w:p w14:paraId="3596A316">
            <w:pPr>
              <w:keepNext w:val="0"/>
              <w:keepLines w:val="0"/>
              <w:widowControl/>
              <w:suppressLineNumbers w:val="0"/>
              <w:spacing w:before="0" w:beforeAutospacing="0" w:after="0" w:afterAutospacing="0"/>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从业人员（X）</w:t>
            </w:r>
          </w:p>
        </w:tc>
        <w:tc>
          <w:tcPr>
            <w:tcW w:w="1084" w:type="dxa"/>
            <w:tcBorders>
              <w:top w:val="nil"/>
              <w:left w:val="nil"/>
              <w:bottom w:val="single" w:color="auto" w:sz="4" w:space="0"/>
              <w:right w:val="single" w:color="auto" w:sz="4" w:space="0"/>
            </w:tcBorders>
            <w:noWrap w:val="0"/>
            <w:vAlign w:val="center"/>
          </w:tcPr>
          <w:p w14:paraId="105B8440">
            <w:pPr>
              <w:keepNext w:val="0"/>
              <w:keepLines w:val="0"/>
              <w:widowControl/>
              <w:suppressLineNumbers w:val="0"/>
              <w:spacing w:before="0" w:beforeAutospacing="0" w:after="0" w:afterAutospacing="0"/>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人</w:t>
            </w:r>
          </w:p>
        </w:tc>
        <w:tc>
          <w:tcPr>
            <w:tcW w:w="1923" w:type="dxa"/>
            <w:tcBorders>
              <w:top w:val="nil"/>
              <w:left w:val="nil"/>
              <w:bottom w:val="single" w:color="auto" w:sz="4" w:space="0"/>
              <w:right w:val="single" w:color="auto" w:sz="4" w:space="0"/>
            </w:tcBorders>
            <w:noWrap w:val="0"/>
            <w:vAlign w:val="center"/>
          </w:tcPr>
          <w:p w14:paraId="428FA4F0">
            <w:pPr>
              <w:keepNext w:val="0"/>
              <w:keepLines w:val="0"/>
              <w:widowControl/>
              <w:suppressLineNumbers w:val="0"/>
              <w:spacing w:before="0" w:beforeAutospacing="0" w:after="0" w:afterAutospacing="0"/>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100≤X＜300</w:t>
            </w:r>
          </w:p>
        </w:tc>
        <w:tc>
          <w:tcPr>
            <w:tcW w:w="1709" w:type="dxa"/>
            <w:tcBorders>
              <w:top w:val="nil"/>
              <w:left w:val="nil"/>
              <w:bottom w:val="single" w:color="auto" w:sz="4" w:space="0"/>
              <w:right w:val="single" w:color="auto" w:sz="4" w:space="0"/>
            </w:tcBorders>
            <w:noWrap w:val="0"/>
            <w:vAlign w:val="center"/>
          </w:tcPr>
          <w:p w14:paraId="669A435E">
            <w:pPr>
              <w:keepNext w:val="0"/>
              <w:keepLines w:val="0"/>
              <w:widowControl/>
              <w:suppressLineNumbers w:val="0"/>
              <w:spacing w:before="0" w:beforeAutospacing="0" w:after="0" w:afterAutospacing="0"/>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10≤X＜100</w:t>
            </w:r>
          </w:p>
        </w:tc>
        <w:tc>
          <w:tcPr>
            <w:tcW w:w="1098" w:type="dxa"/>
            <w:tcBorders>
              <w:top w:val="nil"/>
              <w:left w:val="nil"/>
              <w:bottom w:val="single" w:color="auto" w:sz="4" w:space="0"/>
              <w:right w:val="single" w:color="auto" w:sz="4" w:space="0"/>
            </w:tcBorders>
            <w:noWrap w:val="0"/>
            <w:vAlign w:val="center"/>
          </w:tcPr>
          <w:p w14:paraId="0FA402D6">
            <w:pPr>
              <w:keepNext w:val="0"/>
              <w:keepLines w:val="0"/>
              <w:widowControl/>
              <w:suppressLineNumbers w:val="0"/>
              <w:spacing w:before="0" w:beforeAutospacing="0" w:after="0" w:afterAutospacing="0"/>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X＜10</w:t>
            </w:r>
          </w:p>
        </w:tc>
      </w:tr>
    </w:tbl>
    <w:p w14:paraId="08CA1B81">
      <w:pPr>
        <w:spacing w:line="360" w:lineRule="auto"/>
        <w:ind w:firstLine="525" w:firstLineChars="250"/>
        <w:rPr>
          <w:rFonts w:hint="eastAsia" w:ascii="宋体" w:hAnsi="宋体" w:cs="宋体"/>
          <w:color w:val="auto"/>
          <w:highlight w:val="none"/>
        </w:rPr>
      </w:pPr>
      <w:r>
        <w:rPr>
          <w:rFonts w:hint="eastAsia" w:ascii="宋体" w:hAnsi="宋体" w:cs="宋体"/>
          <w:color w:val="auto"/>
          <w:szCs w:val="21"/>
          <w:highlight w:val="none"/>
        </w:rPr>
        <w:t>说明：上述标准参照《关于印发中小企业划型标准规定的通知》（工信部联企业</w:t>
      </w:r>
      <w:r>
        <w:rPr>
          <w:rFonts w:hint="eastAsia" w:ascii="宋体" w:hAnsi="宋体" w:cs="宋体"/>
          <w:color w:val="auto"/>
          <w:szCs w:val="21"/>
          <w:highlight w:val="none"/>
          <w:lang w:eastAsia="zh-CN"/>
        </w:rPr>
        <w:t>〔2011〕300号</w:t>
      </w:r>
      <w:r>
        <w:rPr>
          <w:rFonts w:hint="eastAsia" w:ascii="宋体" w:hAnsi="宋体" w:cs="宋体"/>
          <w:color w:val="auto"/>
          <w:szCs w:val="21"/>
          <w:highlight w:val="none"/>
        </w:rPr>
        <w:t>），大型、中型和小型企业须同时满足所列指标的下限，否则下划一档；微型企业只须满足所列指标中的一项即可。</w:t>
      </w:r>
      <w:bookmarkStart w:id="51" w:name="_Toc21295"/>
      <w:bookmarkStart w:id="52" w:name="_Toc24453"/>
      <w:bookmarkStart w:id="53" w:name="_Toc6950"/>
    </w:p>
    <w:p w14:paraId="45D1B390">
      <w:pPr>
        <w:pStyle w:val="3"/>
        <w:keepNext w:val="0"/>
        <w:keepLines w:val="0"/>
        <w:tabs>
          <w:tab w:val="left" w:pos="0"/>
          <w:tab w:val="left" w:pos="3165"/>
          <w:tab w:val="center" w:pos="4153"/>
        </w:tabs>
        <w:autoSpaceDE w:val="0"/>
        <w:autoSpaceDN w:val="0"/>
        <w:adjustRightInd w:val="0"/>
        <w:spacing w:before="0" w:after="0" w:line="240" w:lineRule="auto"/>
        <w:jc w:val="center"/>
        <w:rPr>
          <w:rFonts w:hint="eastAsia" w:ascii="宋体" w:hAnsi="宋体" w:cs="宋体"/>
          <w:color w:val="auto"/>
          <w:highlight w:val="none"/>
        </w:rPr>
        <w:sectPr>
          <w:footerReference r:id="rId9" w:type="first"/>
          <w:footerReference r:id="rId8" w:type="default"/>
          <w:pgSz w:w="11906" w:h="16838"/>
          <w:pgMar w:top="1440" w:right="1803" w:bottom="1440" w:left="1803" w:header="850" w:footer="850" w:gutter="0"/>
          <w:pgNumType w:fmt="decimal"/>
          <w:cols w:space="720" w:num="1"/>
          <w:docGrid w:linePitch="312" w:charSpace="0"/>
        </w:sectPr>
      </w:pPr>
    </w:p>
    <w:p w14:paraId="2B4B4E4A">
      <w:pPr>
        <w:spacing w:line="360" w:lineRule="auto"/>
        <w:jc w:val="center"/>
        <w:rPr>
          <w:rFonts w:hint="eastAsia" w:ascii="宋体" w:hAnsi="宋体" w:eastAsia="宋体" w:cs="宋体"/>
          <w:color w:val="auto"/>
          <w:szCs w:val="21"/>
          <w:highlight w:val="none"/>
        </w:rPr>
      </w:pPr>
      <w:r>
        <w:rPr>
          <w:rFonts w:hint="eastAsia" w:ascii="宋体" w:hAnsi="宋体" w:eastAsia="宋体" w:cs="宋体"/>
          <w:b/>
          <w:bCs/>
          <w:color w:val="auto"/>
          <w:sz w:val="32"/>
          <w:szCs w:val="32"/>
          <w:highlight w:val="none"/>
        </w:rPr>
        <w:t>关于印发《金融业企业划型标准规定》的通知</w:t>
      </w:r>
      <w:r>
        <w:rPr>
          <w:rFonts w:hint="eastAsia" w:ascii="宋体" w:hAnsi="宋体" w:eastAsia="宋体" w:cs="宋体"/>
          <w:color w:val="auto"/>
          <w:szCs w:val="21"/>
          <w:highlight w:val="none"/>
        </w:rPr>
        <w:br w:type="textWrapping"/>
      </w:r>
      <w:r>
        <w:rPr>
          <w:rFonts w:hint="eastAsia" w:ascii="宋体" w:hAnsi="宋体" w:eastAsia="宋体" w:cs="宋体"/>
          <w:color w:val="auto"/>
          <w:szCs w:val="21"/>
          <w:highlight w:val="none"/>
        </w:rPr>
        <w:t>银发〔2015〕309号</w:t>
      </w:r>
    </w:p>
    <w:p w14:paraId="0A63530C">
      <w:pPr>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为进一步贯彻落实《中华人民共和国中小企业促进法》、《国务院关于进一步促进中小企业发展的若干意见》（国发〔2009〕36号）、《国务院办公厅关于金融支持小微企业发展的实施意见》（国办发〔2013〕87号），推动中小金融机构健康发展，加大金融对实体经济的支持，人民银行会同银监会、证监会、保监会和国家统计局联合研究制定了《金融业企业划型标准规定》（见附件）。经国务院同意，现印发给你们，请遵照执行。</w:t>
      </w:r>
    </w:p>
    <w:p w14:paraId="57BEEA01">
      <w:pPr>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请人民银行上海总部，各分行、营业管理部、省会（首府）城市中心支行、副省级城市中心支行会同所在省（区、市）银监局、证监局、保监局、统计局将本通知联合转发至辖内相关机构。</w:t>
      </w:r>
    </w:p>
    <w:p w14:paraId="5032CF74">
      <w:pPr>
        <w:spacing w:line="360" w:lineRule="auto"/>
        <w:ind w:firstLine="420" w:firstLineChars="200"/>
        <w:jc w:val="right"/>
        <w:rPr>
          <w:rFonts w:hint="eastAsia" w:ascii="宋体" w:hAnsi="宋体" w:eastAsia="宋体" w:cs="宋体"/>
          <w:color w:val="auto"/>
          <w:szCs w:val="21"/>
          <w:highlight w:val="none"/>
        </w:rPr>
      </w:pPr>
      <w:r>
        <w:rPr>
          <w:rFonts w:hint="eastAsia" w:ascii="宋体" w:hAnsi="宋体" w:eastAsia="宋体" w:cs="宋体"/>
          <w:color w:val="auto"/>
          <w:szCs w:val="21"/>
          <w:highlight w:val="none"/>
        </w:rPr>
        <w:t>附件：金融业企业划型标准规定</w:t>
      </w:r>
    </w:p>
    <w:p w14:paraId="0BDB6619">
      <w:pPr>
        <w:spacing w:line="360" w:lineRule="auto"/>
        <w:ind w:firstLine="420" w:firstLineChars="200"/>
        <w:jc w:val="right"/>
        <w:rPr>
          <w:rFonts w:hint="eastAsia" w:ascii="宋体" w:hAnsi="宋体" w:eastAsia="宋体" w:cs="宋体"/>
          <w:color w:val="auto"/>
          <w:szCs w:val="21"/>
          <w:highlight w:val="none"/>
        </w:rPr>
      </w:pPr>
      <w:r>
        <w:rPr>
          <w:rFonts w:hint="eastAsia" w:ascii="宋体" w:hAnsi="宋体" w:eastAsia="宋体" w:cs="宋体"/>
          <w:color w:val="auto"/>
          <w:szCs w:val="21"/>
          <w:highlight w:val="none"/>
        </w:rPr>
        <w:t>中国人民银行</w:t>
      </w:r>
    </w:p>
    <w:p w14:paraId="2521288A">
      <w:pPr>
        <w:spacing w:line="360" w:lineRule="auto"/>
        <w:ind w:firstLine="420" w:firstLineChars="200"/>
        <w:jc w:val="right"/>
        <w:rPr>
          <w:rFonts w:hint="eastAsia" w:ascii="宋体" w:hAnsi="宋体" w:eastAsia="宋体" w:cs="宋体"/>
          <w:color w:val="auto"/>
          <w:szCs w:val="21"/>
          <w:highlight w:val="none"/>
        </w:rPr>
      </w:pPr>
      <w:r>
        <w:rPr>
          <w:rFonts w:hint="eastAsia" w:ascii="宋体" w:hAnsi="宋体" w:eastAsia="宋体" w:cs="宋体"/>
          <w:color w:val="auto"/>
          <w:szCs w:val="21"/>
          <w:highlight w:val="none"/>
        </w:rPr>
        <w:t>中国银行业监督管理委员会</w:t>
      </w:r>
    </w:p>
    <w:p w14:paraId="2232EA29">
      <w:pPr>
        <w:spacing w:line="360" w:lineRule="auto"/>
        <w:ind w:firstLine="420" w:firstLineChars="200"/>
        <w:jc w:val="right"/>
        <w:rPr>
          <w:rFonts w:hint="eastAsia" w:ascii="宋体" w:hAnsi="宋体" w:eastAsia="宋体" w:cs="宋体"/>
          <w:color w:val="auto"/>
          <w:szCs w:val="21"/>
          <w:highlight w:val="none"/>
        </w:rPr>
      </w:pPr>
      <w:r>
        <w:rPr>
          <w:rFonts w:hint="eastAsia" w:ascii="宋体" w:hAnsi="宋体" w:eastAsia="宋体" w:cs="宋体"/>
          <w:color w:val="auto"/>
          <w:szCs w:val="21"/>
          <w:highlight w:val="none"/>
        </w:rPr>
        <w:t>中国证券监督管理委员会</w:t>
      </w:r>
    </w:p>
    <w:p w14:paraId="77EA550F">
      <w:pPr>
        <w:spacing w:line="360" w:lineRule="auto"/>
        <w:ind w:firstLine="420" w:firstLineChars="200"/>
        <w:jc w:val="right"/>
        <w:rPr>
          <w:rFonts w:hint="eastAsia" w:ascii="宋体" w:hAnsi="宋体" w:eastAsia="宋体" w:cs="宋体"/>
          <w:color w:val="auto"/>
          <w:szCs w:val="21"/>
          <w:highlight w:val="none"/>
        </w:rPr>
      </w:pPr>
      <w:r>
        <w:rPr>
          <w:rFonts w:hint="eastAsia" w:ascii="宋体" w:hAnsi="宋体" w:eastAsia="宋体" w:cs="宋体"/>
          <w:color w:val="auto"/>
          <w:szCs w:val="21"/>
          <w:highlight w:val="none"/>
        </w:rPr>
        <w:t>中国保险监督管理委员会</w:t>
      </w:r>
    </w:p>
    <w:p w14:paraId="2BA545E5">
      <w:pPr>
        <w:spacing w:line="360" w:lineRule="auto"/>
        <w:ind w:firstLine="420" w:firstLineChars="200"/>
        <w:jc w:val="right"/>
        <w:rPr>
          <w:rFonts w:hint="eastAsia" w:ascii="宋体" w:hAnsi="宋体" w:eastAsia="宋体" w:cs="宋体"/>
          <w:color w:val="auto"/>
          <w:szCs w:val="21"/>
          <w:highlight w:val="none"/>
        </w:rPr>
      </w:pPr>
      <w:r>
        <w:rPr>
          <w:rFonts w:hint="eastAsia" w:ascii="宋体" w:hAnsi="宋体" w:eastAsia="宋体" w:cs="宋体"/>
          <w:color w:val="auto"/>
          <w:szCs w:val="21"/>
          <w:highlight w:val="none"/>
        </w:rPr>
        <w:t>中华人民共和国国家统计局</w:t>
      </w:r>
    </w:p>
    <w:p w14:paraId="734B990D">
      <w:pPr>
        <w:spacing w:line="360" w:lineRule="auto"/>
        <w:ind w:firstLine="420" w:firstLineChars="200"/>
        <w:jc w:val="right"/>
        <w:rPr>
          <w:rFonts w:hint="eastAsia" w:ascii="宋体" w:hAnsi="宋体" w:eastAsia="宋体" w:cs="宋体"/>
          <w:color w:val="auto"/>
          <w:szCs w:val="21"/>
          <w:highlight w:val="none"/>
        </w:rPr>
      </w:pPr>
      <w:r>
        <w:rPr>
          <w:rFonts w:hint="eastAsia" w:ascii="宋体" w:hAnsi="宋体" w:eastAsia="宋体" w:cs="宋体"/>
          <w:color w:val="auto"/>
          <w:szCs w:val="21"/>
          <w:highlight w:val="none"/>
        </w:rPr>
        <w:t>2015年9月28日</w:t>
      </w:r>
    </w:p>
    <w:p w14:paraId="1E92CEBA">
      <w:pPr>
        <w:spacing w:line="360" w:lineRule="auto"/>
        <w:jc w:val="center"/>
        <w:rPr>
          <w:rFonts w:hint="eastAsia" w:ascii="宋体" w:hAnsi="宋体" w:eastAsia="宋体" w:cs="宋体"/>
          <w:b/>
          <w:bCs/>
          <w:color w:val="auto"/>
          <w:sz w:val="32"/>
          <w:szCs w:val="32"/>
          <w:highlight w:val="none"/>
        </w:rPr>
      </w:pPr>
      <w:r>
        <w:rPr>
          <w:rFonts w:hint="eastAsia" w:ascii="宋体" w:hAnsi="宋体" w:eastAsia="宋体" w:cs="宋体"/>
          <w:color w:val="auto"/>
          <w:szCs w:val="21"/>
          <w:highlight w:val="none"/>
        </w:rPr>
        <w:br w:type="page"/>
      </w:r>
      <w:r>
        <w:rPr>
          <w:rFonts w:hint="eastAsia" w:ascii="宋体" w:hAnsi="宋体" w:eastAsia="宋体" w:cs="宋体"/>
          <w:b/>
          <w:bCs/>
          <w:color w:val="auto"/>
          <w:sz w:val="32"/>
          <w:szCs w:val="32"/>
          <w:highlight w:val="none"/>
        </w:rPr>
        <w:t>金融业企业划型标准规定</w:t>
      </w:r>
    </w:p>
    <w:p w14:paraId="4F07669F">
      <w:pPr>
        <w:numPr>
          <w:ilvl w:val="0"/>
          <w:numId w:val="0"/>
        </w:numPr>
        <w:spacing w:line="360" w:lineRule="auto"/>
        <w:ind w:firstLine="525" w:firstLineChars="250"/>
        <w:rPr>
          <w:rFonts w:hint="eastAsia" w:ascii="宋体" w:hAnsi="宋体" w:eastAsia="宋体" w:cs="宋体"/>
          <w:color w:val="auto"/>
          <w:szCs w:val="21"/>
          <w:highlight w:val="none"/>
        </w:rPr>
      </w:pPr>
      <w:r>
        <w:rPr>
          <w:rFonts w:hint="eastAsia" w:ascii="宋体" w:hAnsi="宋体" w:eastAsia="宋体" w:cs="宋体"/>
          <w:color w:val="auto"/>
          <w:kern w:val="2"/>
          <w:sz w:val="21"/>
          <w:szCs w:val="21"/>
          <w:highlight w:val="none"/>
          <w:lang w:val="en-US" w:eastAsia="zh-CN" w:bidi="ar-SA"/>
        </w:rPr>
        <w:t>一、</w:t>
      </w:r>
      <w:r>
        <w:rPr>
          <w:rFonts w:hint="eastAsia" w:ascii="宋体" w:hAnsi="宋体" w:eastAsia="宋体" w:cs="宋体"/>
          <w:color w:val="auto"/>
          <w:szCs w:val="21"/>
          <w:highlight w:val="none"/>
        </w:rPr>
        <w:t>根据《中华人民共和国中小企业促进法</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国务院关于进一步促进中小企业发展的若干意见》（国发〔2009〕36号）和《国务院办公厅关于金融支持小微企业发展的实施意见》（国办发〔2013〕87号），制定本规定。</w:t>
      </w:r>
    </w:p>
    <w:p w14:paraId="6680192B">
      <w:pPr>
        <w:numPr>
          <w:ilvl w:val="0"/>
          <w:numId w:val="0"/>
        </w:numPr>
        <w:spacing w:line="360" w:lineRule="auto"/>
        <w:ind w:firstLine="525" w:firstLineChars="250"/>
        <w:rPr>
          <w:rFonts w:hint="eastAsia" w:ascii="宋体" w:hAnsi="宋体" w:eastAsia="宋体" w:cs="宋体"/>
          <w:color w:val="auto"/>
          <w:szCs w:val="21"/>
          <w:highlight w:val="none"/>
        </w:rPr>
      </w:pPr>
      <w:r>
        <w:rPr>
          <w:rFonts w:hint="eastAsia" w:ascii="宋体" w:hAnsi="宋体" w:eastAsia="宋体" w:cs="宋体"/>
          <w:color w:val="auto"/>
          <w:szCs w:val="21"/>
          <w:highlight w:val="none"/>
        </w:rPr>
        <w:t>二、适用范围。本规定适用于从事《国民经济行业分类》（GB/T4754-2011）中J门类（金融业）活动的企业。</w:t>
      </w:r>
    </w:p>
    <w:p w14:paraId="52E3F4C0">
      <w:pPr>
        <w:numPr>
          <w:ilvl w:val="0"/>
          <w:numId w:val="0"/>
        </w:numPr>
        <w:spacing w:line="360" w:lineRule="auto"/>
        <w:ind w:firstLine="525" w:firstLineChars="250"/>
        <w:rPr>
          <w:rFonts w:hint="eastAsia" w:ascii="宋体" w:hAnsi="宋体" w:eastAsia="宋体" w:cs="宋体"/>
          <w:color w:val="auto"/>
          <w:szCs w:val="21"/>
          <w:highlight w:val="none"/>
        </w:rPr>
      </w:pPr>
      <w:r>
        <w:rPr>
          <w:rFonts w:hint="eastAsia" w:ascii="宋体" w:hAnsi="宋体" w:eastAsia="宋体" w:cs="宋体"/>
          <w:color w:val="auto"/>
          <w:szCs w:val="21"/>
          <w:highlight w:val="none"/>
        </w:rPr>
        <w:t>三、行业分类。采用复合分类方法对金融业企业进行分类。首先，按《国民经济行业分类》将金融业企业分为货币金融服务、资本市场服务、保险业、其他金融业四大类。其次，将货币金融服务分为货币银行服务和非货币银行服务两类，将其他金融业分为金融信托与管理服务、控股公司服务和其他未包括的金融业三类。最后，按经济性质将货币银行服务类金融企业划为银行业存款类金融机构；将非货币银行服务类金融业企业分为银行业非存款类金融机构，贷款公司、小额贷款公司及典当行；将资本市场服务类金融业企业划为证券业金融机构；将保险业金融企业划为保险业金融机构；将其他金融业企业分为信托公司，金融控股公司和除贷款公司、小额贷款公司、典当行以外的其他金融机构。</w:t>
      </w:r>
    </w:p>
    <w:p w14:paraId="76F8D707">
      <w:pPr>
        <w:numPr>
          <w:ilvl w:val="0"/>
          <w:numId w:val="0"/>
        </w:numPr>
        <w:spacing w:line="360" w:lineRule="auto"/>
        <w:ind w:firstLine="525" w:firstLineChars="250"/>
        <w:rPr>
          <w:rFonts w:hint="eastAsia" w:ascii="宋体" w:hAnsi="宋体" w:eastAsia="宋体" w:cs="宋体"/>
          <w:color w:val="auto"/>
          <w:szCs w:val="21"/>
          <w:highlight w:val="none"/>
        </w:rPr>
      </w:pPr>
      <w:r>
        <w:rPr>
          <w:rFonts w:hint="eastAsia" w:ascii="宋体" w:hAnsi="宋体" w:eastAsia="宋体" w:cs="宋体"/>
          <w:color w:val="auto"/>
          <w:szCs w:val="21"/>
          <w:highlight w:val="none"/>
        </w:rPr>
        <w:t>四、划型标准指标。采用一个完整会计年度中四个季度末法人并表口径的资产总额（信托公司为信托资产）平均值作为划型指标，该指标以监管部门数据为准。</w:t>
      </w:r>
    </w:p>
    <w:p w14:paraId="64C10FAF">
      <w:pPr>
        <w:numPr>
          <w:ilvl w:val="0"/>
          <w:numId w:val="0"/>
        </w:numPr>
        <w:spacing w:line="360" w:lineRule="auto"/>
        <w:ind w:firstLine="525" w:firstLineChars="250"/>
        <w:rPr>
          <w:rFonts w:hint="eastAsia" w:ascii="宋体" w:hAnsi="宋体" w:eastAsia="宋体" w:cs="宋体"/>
          <w:color w:val="auto"/>
          <w:szCs w:val="21"/>
          <w:highlight w:val="none"/>
        </w:rPr>
      </w:pPr>
      <w:r>
        <w:rPr>
          <w:rFonts w:hint="eastAsia" w:ascii="宋体" w:hAnsi="宋体" w:eastAsia="宋体" w:cs="宋体"/>
          <w:color w:val="auto"/>
          <w:szCs w:val="21"/>
          <w:highlight w:val="none"/>
        </w:rPr>
        <w:t>五、指标标准值。依据指标标准值，将各类金融业企业划分为大、中、小、微四个规模类型，中型企业标准上限及以上的为大型企业。</w:t>
      </w:r>
    </w:p>
    <w:p w14:paraId="79693D8E">
      <w:pPr>
        <w:numPr>
          <w:ilvl w:val="0"/>
          <w:numId w:val="0"/>
        </w:numPr>
        <w:spacing w:line="360" w:lineRule="auto"/>
        <w:ind w:firstLine="525" w:firstLineChars="250"/>
        <w:rPr>
          <w:rFonts w:hint="eastAsia" w:ascii="宋体" w:hAnsi="宋体" w:eastAsia="宋体" w:cs="宋体"/>
          <w:color w:val="auto"/>
          <w:szCs w:val="21"/>
          <w:highlight w:val="none"/>
        </w:rPr>
      </w:pPr>
      <w:r>
        <w:rPr>
          <w:rFonts w:hint="eastAsia" w:ascii="宋体" w:hAnsi="宋体" w:eastAsia="宋体" w:cs="宋体"/>
          <w:color w:val="auto"/>
          <w:szCs w:val="21"/>
          <w:highlight w:val="none"/>
        </w:rPr>
        <w:t>（一）银行业存款类金融机构。资产总额40000亿元以下的为中小微型企业。其中，资产总额5000亿元及以上的为中型企业，资产总额50亿元及以上的为小型企业，资产总额50亿元以下的为微型企业。</w:t>
      </w:r>
    </w:p>
    <w:p w14:paraId="10625F26">
      <w:pPr>
        <w:numPr>
          <w:ilvl w:val="0"/>
          <w:numId w:val="0"/>
        </w:numPr>
        <w:spacing w:line="360" w:lineRule="auto"/>
        <w:ind w:firstLine="525" w:firstLineChars="250"/>
        <w:rPr>
          <w:rFonts w:hint="eastAsia" w:ascii="宋体" w:hAnsi="宋体" w:eastAsia="宋体" w:cs="宋体"/>
          <w:color w:val="auto"/>
          <w:szCs w:val="21"/>
          <w:highlight w:val="none"/>
        </w:rPr>
      </w:pPr>
      <w:r>
        <w:rPr>
          <w:rFonts w:hint="eastAsia" w:ascii="宋体" w:hAnsi="宋体" w:eastAsia="宋体" w:cs="宋体"/>
          <w:color w:val="auto"/>
          <w:szCs w:val="21"/>
          <w:highlight w:val="none"/>
        </w:rPr>
        <w:t>（二）银行业非存款类金融机构。资产总额1000亿元以下的为中小微企业。其中，资产总额200亿元及以上的为中型企业，资产总额50亿元及以上的为小型企业，资产总额50亿元以下的为微型企业。</w:t>
      </w:r>
    </w:p>
    <w:p w14:paraId="4846A6C3">
      <w:pPr>
        <w:numPr>
          <w:ilvl w:val="0"/>
          <w:numId w:val="0"/>
        </w:numPr>
        <w:spacing w:line="360" w:lineRule="auto"/>
        <w:ind w:firstLine="525" w:firstLineChars="250"/>
        <w:rPr>
          <w:rFonts w:hint="eastAsia" w:ascii="宋体" w:hAnsi="宋体" w:eastAsia="宋体" w:cs="宋体"/>
          <w:color w:val="auto"/>
          <w:szCs w:val="21"/>
          <w:highlight w:val="none"/>
        </w:rPr>
      </w:pPr>
      <w:r>
        <w:rPr>
          <w:rFonts w:hint="eastAsia" w:ascii="宋体" w:hAnsi="宋体" w:eastAsia="宋体" w:cs="宋体"/>
          <w:color w:val="auto"/>
          <w:szCs w:val="21"/>
          <w:highlight w:val="none"/>
        </w:rPr>
        <w:t>（三）贷款公司、小额贷款公司及典当行。资产总额1000亿元以下的为中小微型企业。其中，资产总额200亿元及以上的为中型企业，资产总额50亿元及以上的为小型企业，资产总额50亿元以下的为微型企业。</w:t>
      </w:r>
    </w:p>
    <w:p w14:paraId="28E3D22D">
      <w:pPr>
        <w:numPr>
          <w:ilvl w:val="0"/>
          <w:numId w:val="0"/>
        </w:numPr>
        <w:spacing w:line="360" w:lineRule="auto"/>
        <w:ind w:firstLine="525" w:firstLineChars="250"/>
        <w:rPr>
          <w:rFonts w:hint="eastAsia" w:ascii="宋体" w:hAnsi="宋体" w:eastAsia="宋体" w:cs="宋体"/>
          <w:color w:val="auto"/>
          <w:szCs w:val="21"/>
          <w:highlight w:val="none"/>
        </w:rPr>
      </w:pPr>
      <w:r>
        <w:rPr>
          <w:rFonts w:hint="eastAsia" w:ascii="宋体" w:hAnsi="宋体" w:eastAsia="宋体" w:cs="宋体"/>
          <w:color w:val="auto"/>
          <w:szCs w:val="21"/>
          <w:highlight w:val="none"/>
        </w:rPr>
        <w:t>（四）证券业金融机构。资产总额1000亿元以下的为中小微型企业。其中，资产总额100亿元及以上的为中型企业，资产总额10亿元及以上的为小型企业，资产总额10亿元以下的为微型企业。</w:t>
      </w:r>
    </w:p>
    <w:p w14:paraId="55FADEF9">
      <w:pPr>
        <w:numPr>
          <w:ilvl w:val="0"/>
          <w:numId w:val="0"/>
        </w:numPr>
        <w:spacing w:line="360" w:lineRule="auto"/>
        <w:ind w:firstLine="525" w:firstLineChars="250"/>
        <w:rPr>
          <w:rFonts w:hint="eastAsia" w:ascii="宋体" w:hAnsi="宋体" w:eastAsia="宋体" w:cs="宋体"/>
          <w:color w:val="auto"/>
          <w:szCs w:val="21"/>
          <w:highlight w:val="none"/>
        </w:rPr>
      </w:pPr>
      <w:r>
        <w:rPr>
          <w:rFonts w:hint="eastAsia" w:ascii="宋体" w:hAnsi="宋体" w:eastAsia="宋体" w:cs="宋体"/>
          <w:color w:val="auto"/>
          <w:szCs w:val="21"/>
          <w:highlight w:val="none"/>
        </w:rPr>
        <w:t>（五）保险业金融机构。资产总额5000亿元以下的为中小微型企业。其中，资产总额400亿元及以上的为中型企业，资产总额20亿元及以上的为小型企业，资产总额20亿元以下的为微型企业。</w:t>
      </w:r>
    </w:p>
    <w:p w14:paraId="72F25D94">
      <w:pPr>
        <w:numPr>
          <w:ilvl w:val="0"/>
          <w:numId w:val="0"/>
        </w:numPr>
        <w:spacing w:line="360" w:lineRule="auto"/>
        <w:ind w:firstLine="525" w:firstLineChars="250"/>
        <w:rPr>
          <w:rFonts w:hint="eastAsia" w:ascii="宋体" w:hAnsi="宋体" w:eastAsia="宋体" w:cs="宋体"/>
          <w:color w:val="auto"/>
          <w:szCs w:val="21"/>
          <w:highlight w:val="none"/>
        </w:rPr>
      </w:pPr>
      <w:r>
        <w:rPr>
          <w:rFonts w:hint="eastAsia" w:ascii="宋体" w:hAnsi="宋体" w:eastAsia="宋体" w:cs="宋体"/>
          <w:color w:val="auto"/>
          <w:szCs w:val="21"/>
          <w:highlight w:val="none"/>
        </w:rPr>
        <w:t>（六）信托公司。信托资产1000亿元以下的为中小微型企业。其中，信托资产400亿元及以上的为中型企业，信托资产20亿元及以上的为小型企业，信托资产20亿元以下的为微型企业。</w:t>
      </w:r>
    </w:p>
    <w:p w14:paraId="17D028E7">
      <w:pPr>
        <w:numPr>
          <w:ilvl w:val="0"/>
          <w:numId w:val="0"/>
        </w:numPr>
        <w:spacing w:line="360" w:lineRule="auto"/>
        <w:ind w:firstLine="525" w:firstLineChars="250"/>
        <w:rPr>
          <w:rFonts w:hint="eastAsia" w:ascii="宋体" w:hAnsi="宋体" w:eastAsia="宋体" w:cs="宋体"/>
          <w:color w:val="auto"/>
          <w:szCs w:val="21"/>
          <w:highlight w:val="none"/>
        </w:rPr>
      </w:pPr>
      <w:r>
        <w:rPr>
          <w:rFonts w:hint="eastAsia" w:ascii="宋体" w:hAnsi="宋体" w:eastAsia="宋体" w:cs="宋体"/>
          <w:color w:val="auto"/>
          <w:szCs w:val="21"/>
          <w:highlight w:val="none"/>
        </w:rPr>
        <w:t>（七）金融控股公司。资产总额40000亿元以下的为中小微企业。其中，资产总额5000亿元及以上的为中型企业，资产总额50亿元及以上的为小型企业，资产总额50亿元以下的为微型企业。</w:t>
      </w:r>
    </w:p>
    <w:p w14:paraId="5B136CBF">
      <w:pPr>
        <w:numPr>
          <w:ilvl w:val="0"/>
          <w:numId w:val="0"/>
        </w:numPr>
        <w:spacing w:line="360" w:lineRule="auto"/>
        <w:ind w:firstLine="525" w:firstLineChars="250"/>
        <w:rPr>
          <w:rFonts w:hint="eastAsia" w:ascii="宋体" w:hAnsi="宋体" w:eastAsia="宋体" w:cs="宋体"/>
          <w:color w:val="auto"/>
          <w:szCs w:val="21"/>
          <w:highlight w:val="none"/>
        </w:rPr>
      </w:pPr>
      <w:r>
        <w:rPr>
          <w:rFonts w:hint="eastAsia" w:ascii="宋体" w:hAnsi="宋体" w:eastAsia="宋体" w:cs="宋体"/>
          <w:color w:val="auto"/>
          <w:szCs w:val="21"/>
          <w:highlight w:val="none"/>
        </w:rPr>
        <w:t>（八）除贷款公司、小额贷款公司、典当行以外的其他金融机构。资产总额1000亿元以下的为中小微型企业。其中，资产总额200亿元及以上的为中型企业，资产总额50亿元及以上的为小型企业，资产总额50亿元以下的为微型企业。</w:t>
      </w:r>
    </w:p>
    <w:p w14:paraId="70F807BF">
      <w:pPr>
        <w:numPr>
          <w:ilvl w:val="0"/>
          <w:numId w:val="0"/>
        </w:numPr>
        <w:spacing w:line="360" w:lineRule="auto"/>
        <w:ind w:firstLine="525" w:firstLineChars="250"/>
        <w:rPr>
          <w:rFonts w:hint="eastAsia" w:ascii="宋体" w:hAnsi="宋体" w:eastAsia="宋体" w:cs="宋体"/>
          <w:color w:val="auto"/>
          <w:szCs w:val="21"/>
          <w:highlight w:val="none"/>
        </w:rPr>
      </w:pPr>
      <w:r>
        <w:rPr>
          <w:rFonts w:hint="eastAsia" w:ascii="宋体" w:hAnsi="宋体" w:eastAsia="宋体" w:cs="宋体"/>
          <w:color w:val="auto"/>
          <w:szCs w:val="21"/>
          <w:highlight w:val="none"/>
        </w:rPr>
        <w:t>六、组织实施。由人民银行会同银监会、证监会、保监会和统计局联合组成金融业企业划型标准工作组，负责金融业企业划型标准的实施、后期评估和调整工作，按年组织金融业企业规模认定，并在人民银行建立《金融业机构信息管理系统》中增加相应的字段模块。经过认定的金融业企业在系统中进行规模登记，方便政府部门和社会各界查询使用。</w:t>
      </w:r>
    </w:p>
    <w:p w14:paraId="1EFE3FC2">
      <w:pPr>
        <w:numPr>
          <w:ilvl w:val="0"/>
          <w:numId w:val="0"/>
        </w:numPr>
        <w:spacing w:line="360" w:lineRule="auto"/>
        <w:ind w:firstLine="525" w:firstLineChars="250"/>
        <w:rPr>
          <w:rFonts w:hint="eastAsia" w:ascii="宋体" w:hAnsi="宋体" w:eastAsia="宋体" w:cs="宋体"/>
          <w:color w:val="auto"/>
          <w:szCs w:val="21"/>
          <w:highlight w:val="none"/>
        </w:rPr>
      </w:pPr>
      <w:r>
        <w:rPr>
          <w:rFonts w:hint="eastAsia" w:ascii="宋体" w:hAnsi="宋体" w:eastAsia="宋体" w:cs="宋体"/>
          <w:color w:val="auto"/>
          <w:szCs w:val="21"/>
          <w:highlight w:val="none"/>
        </w:rPr>
        <w:t>七、标准值的评估和调整。金融业企业划型标准工作组每五年对划型标准值受经济发展与通货膨胀等因素的影响程度进行评估和调整。</w:t>
      </w:r>
    </w:p>
    <w:p w14:paraId="620F12AC">
      <w:pPr>
        <w:numPr>
          <w:ilvl w:val="0"/>
          <w:numId w:val="0"/>
        </w:numPr>
        <w:spacing w:line="360" w:lineRule="auto"/>
        <w:ind w:firstLine="525" w:firstLineChars="250"/>
        <w:rPr>
          <w:rFonts w:hint="eastAsia" w:ascii="宋体" w:hAnsi="宋体" w:eastAsia="宋体" w:cs="宋体"/>
          <w:color w:val="auto"/>
          <w:szCs w:val="21"/>
          <w:highlight w:val="none"/>
        </w:rPr>
      </w:pPr>
      <w:r>
        <w:rPr>
          <w:rFonts w:hint="eastAsia" w:ascii="宋体" w:hAnsi="宋体" w:eastAsia="宋体" w:cs="宋体"/>
          <w:color w:val="auto"/>
          <w:szCs w:val="21"/>
          <w:highlight w:val="none"/>
        </w:rPr>
        <w:t>八、本规定的中型金融业企业标准上限即为大型金融业企业下限。国务院有关部门据此进行相关数据的统计分析，不得制定与本规定不一致的金融业企业划型标准。</w:t>
      </w:r>
    </w:p>
    <w:p w14:paraId="3239016C">
      <w:pPr>
        <w:numPr>
          <w:ilvl w:val="0"/>
          <w:numId w:val="0"/>
        </w:numPr>
        <w:spacing w:line="360" w:lineRule="auto"/>
        <w:ind w:firstLine="525" w:firstLineChars="250"/>
        <w:rPr>
          <w:rFonts w:hint="eastAsia" w:ascii="宋体" w:hAnsi="宋体" w:eastAsia="宋体" w:cs="宋体"/>
          <w:color w:val="auto"/>
          <w:szCs w:val="21"/>
          <w:highlight w:val="none"/>
        </w:rPr>
      </w:pPr>
      <w:r>
        <w:rPr>
          <w:rFonts w:hint="eastAsia" w:ascii="宋体" w:hAnsi="宋体" w:eastAsia="宋体" w:cs="宋体"/>
          <w:color w:val="auto"/>
          <w:szCs w:val="21"/>
          <w:highlight w:val="none"/>
        </w:rPr>
        <w:t>九、融资担保公司参照本规定中“除贷款公司、小额贷款公司、典当行以外的其他金融机构”标准划型。</w:t>
      </w:r>
    </w:p>
    <w:p w14:paraId="61A6F736">
      <w:pPr>
        <w:numPr>
          <w:ilvl w:val="0"/>
          <w:numId w:val="0"/>
        </w:numPr>
        <w:spacing w:line="360" w:lineRule="auto"/>
        <w:ind w:firstLine="525" w:firstLineChars="250"/>
        <w:rPr>
          <w:rFonts w:hint="eastAsia" w:ascii="宋体" w:hAnsi="宋体" w:eastAsia="宋体" w:cs="宋体"/>
          <w:color w:val="auto"/>
          <w:szCs w:val="21"/>
          <w:highlight w:val="none"/>
        </w:rPr>
      </w:pPr>
      <w:r>
        <w:rPr>
          <w:rFonts w:hint="eastAsia" w:ascii="宋体" w:hAnsi="宋体" w:eastAsia="宋体" w:cs="宋体"/>
          <w:color w:val="auto"/>
          <w:szCs w:val="21"/>
          <w:highlight w:val="none"/>
        </w:rPr>
        <w:t>十、本规定由人民银行会同银监会、证监会、保监会和统计局负责解释。</w:t>
      </w:r>
    </w:p>
    <w:p w14:paraId="0E0965E6">
      <w:pPr>
        <w:numPr>
          <w:ilvl w:val="0"/>
          <w:numId w:val="0"/>
        </w:numPr>
        <w:spacing w:line="360" w:lineRule="auto"/>
        <w:ind w:firstLine="525" w:firstLineChars="250"/>
        <w:rPr>
          <w:rFonts w:hint="eastAsia" w:ascii="宋体" w:hAnsi="宋体" w:eastAsia="宋体" w:cs="宋体"/>
          <w:color w:val="auto"/>
          <w:szCs w:val="21"/>
          <w:highlight w:val="none"/>
        </w:rPr>
      </w:pPr>
      <w:r>
        <w:rPr>
          <w:rFonts w:hint="eastAsia" w:ascii="宋体" w:hAnsi="宋体" w:eastAsia="宋体" w:cs="宋体"/>
          <w:color w:val="auto"/>
          <w:szCs w:val="21"/>
          <w:highlight w:val="none"/>
        </w:rPr>
        <w:t>十一、本规定自发布之日起实施。</w:t>
      </w:r>
    </w:p>
    <w:p w14:paraId="4BFE049C">
      <w:pPr>
        <w:pStyle w:val="3"/>
        <w:keepNext w:val="0"/>
        <w:keepLines w:val="0"/>
        <w:tabs>
          <w:tab w:val="left" w:pos="0"/>
          <w:tab w:val="left" w:pos="3165"/>
          <w:tab w:val="center" w:pos="4153"/>
        </w:tabs>
        <w:autoSpaceDE w:val="0"/>
        <w:autoSpaceDN w:val="0"/>
        <w:adjustRightInd w:val="0"/>
        <w:spacing w:before="0" w:after="0" w:line="240" w:lineRule="auto"/>
        <w:jc w:val="center"/>
        <w:rPr>
          <w:rFonts w:hint="eastAsia" w:ascii="宋体" w:hAnsi="宋体" w:cs="宋体"/>
          <w:color w:val="auto"/>
          <w:highlight w:val="none"/>
        </w:rPr>
        <w:sectPr>
          <w:pgSz w:w="11906" w:h="16838"/>
          <w:pgMar w:top="1440" w:right="1803" w:bottom="1440" w:left="1803" w:header="850" w:footer="850" w:gutter="0"/>
          <w:pgNumType w:fmt="decimal"/>
          <w:cols w:space="720" w:num="1"/>
          <w:docGrid w:linePitch="312" w:charSpace="0"/>
        </w:sectPr>
      </w:pPr>
    </w:p>
    <w:p w14:paraId="737DC989">
      <w:pPr>
        <w:pStyle w:val="3"/>
        <w:keepNext w:val="0"/>
        <w:keepLines w:val="0"/>
        <w:tabs>
          <w:tab w:val="left" w:pos="0"/>
          <w:tab w:val="left" w:pos="3165"/>
          <w:tab w:val="center" w:pos="4153"/>
        </w:tabs>
        <w:autoSpaceDE w:val="0"/>
        <w:autoSpaceDN w:val="0"/>
        <w:adjustRightInd w:val="0"/>
        <w:spacing w:before="0" w:after="0" w:line="240" w:lineRule="auto"/>
        <w:jc w:val="center"/>
        <w:rPr>
          <w:rFonts w:hint="eastAsia" w:ascii="宋体" w:hAnsi="宋体" w:cs="宋体"/>
          <w:color w:val="auto"/>
          <w:highlight w:val="none"/>
        </w:rPr>
      </w:pPr>
      <w:r>
        <w:rPr>
          <w:rFonts w:hint="eastAsia" w:ascii="宋体" w:hAnsi="宋体" w:cs="宋体"/>
          <w:color w:val="auto"/>
          <w:highlight w:val="none"/>
        </w:rPr>
        <w:t>第三章  投标人须知</w:t>
      </w:r>
      <w:bookmarkEnd w:id="51"/>
      <w:bookmarkEnd w:id="52"/>
      <w:bookmarkEnd w:id="53"/>
    </w:p>
    <w:p w14:paraId="080DE147">
      <w:pPr>
        <w:pStyle w:val="4"/>
        <w:spacing w:line="240" w:lineRule="auto"/>
        <w:jc w:val="center"/>
        <w:rPr>
          <w:rFonts w:hint="eastAsia" w:ascii="宋体" w:hAnsi="宋体" w:eastAsia="宋体" w:cs="宋体"/>
          <w:color w:val="auto"/>
          <w:sz w:val="36"/>
          <w:szCs w:val="36"/>
          <w:highlight w:val="none"/>
        </w:rPr>
      </w:pPr>
      <w:bookmarkStart w:id="54" w:name="_Toc254970526"/>
      <w:bookmarkStart w:id="55" w:name="_Toc254970667"/>
      <w:bookmarkStart w:id="56" w:name="_Toc25167"/>
      <w:bookmarkStart w:id="57" w:name="_Toc4963"/>
      <w:bookmarkStart w:id="58" w:name="_Toc3016"/>
      <w:r>
        <w:rPr>
          <w:rFonts w:hint="eastAsia" w:ascii="宋体" w:hAnsi="宋体" w:eastAsia="宋体" w:cs="宋体"/>
          <w:color w:val="auto"/>
          <w:sz w:val="36"/>
          <w:szCs w:val="36"/>
          <w:highlight w:val="none"/>
        </w:rPr>
        <w:t>投标人须知前附表</w:t>
      </w:r>
      <w:bookmarkEnd w:id="54"/>
      <w:bookmarkEnd w:id="55"/>
      <w:bookmarkEnd w:id="56"/>
      <w:bookmarkEnd w:id="57"/>
      <w:bookmarkEnd w:id="58"/>
    </w:p>
    <w:tbl>
      <w:tblPr>
        <w:tblStyle w:val="39"/>
        <w:tblW w:w="9153"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978"/>
        <w:gridCol w:w="8175"/>
      </w:tblGrid>
      <w:tr w14:paraId="721D5EC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78" w:type="dxa"/>
            <w:tcBorders>
              <w:top w:val="single" w:color="auto" w:sz="4" w:space="0"/>
              <w:left w:val="single" w:color="auto" w:sz="4" w:space="0"/>
              <w:bottom w:val="single" w:color="auto" w:sz="4" w:space="0"/>
              <w:right w:val="single" w:color="auto" w:sz="4" w:space="0"/>
            </w:tcBorders>
            <w:noWrap w:val="0"/>
            <w:vAlign w:val="center"/>
          </w:tcPr>
          <w:p w14:paraId="309CAAD1">
            <w:pPr>
              <w:keepNext w:val="0"/>
              <w:keepLines w:val="0"/>
              <w:pageBreakBefore w:val="0"/>
              <w:widowControl w:val="0"/>
              <w:suppressLineNumbers w:val="0"/>
              <w:kinsoku/>
              <w:overflowPunct/>
              <w:topLinePunct w:val="0"/>
              <w:bidi w:val="0"/>
              <w:spacing w:before="120" w:beforeLines="50" w:beforeAutospacing="0" w:after="0" w:afterAutospacing="0" w:line="400" w:lineRule="exact"/>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条款号</w:t>
            </w:r>
          </w:p>
        </w:tc>
        <w:tc>
          <w:tcPr>
            <w:tcW w:w="8175" w:type="dxa"/>
            <w:tcBorders>
              <w:top w:val="single" w:color="auto" w:sz="4" w:space="0"/>
              <w:left w:val="single" w:color="auto" w:sz="4" w:space="0"/>
              <w:bottom w:val="single" w:color="auto" w:sz="4" w:space="0"/>
              <w:right w:val="single" w:color="auto" w:sz="4" w:space="0"/>
            </w:tcBorders>
            <w:noWrap w:val="0"/>
            <w:vAlign w:val="center"/>
          </w:tcPr>
          <w:p w14:paraId="21CA640E">
            <w:pPr>
              <w:keepNext w:val="0"/>
              <w:keepLines w:val="0"/>
              <w:pageBreakBefore w:val="0"/>
              <w:widowControl w:val="0"/>
              <w:suppressLineNumbers w:val="0"/>
              <w:kinsoku/>
              <w:overflowPunct/>
              <w:topLinePunct w:val="0"/>
              <w:bidi w:val="0"/>
              <w:spacing w:before="120" w:beforeLines="50" w:beforeAutospacing="0" w:after="0" w:afterAutospacing="0" w:line="400" w:lineRule="exact"/>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编列内容</w:t>
            </w:r>
          </w:p>
        </w:tc>
      </w:tr>
      <w:tr w14:paraId="5733E98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78" w:type="dxa"/>
            <w:tcBorders>
              <w:top w:val="single" w:color="auto" w:sz="4" w:space="0"/>
              <w:left w:val="single" w:color="auto" w:sz="4" w:space="0"/>
              <w:bottom w:val="single" w:color="auto" w:sz="4" w:space="0"/>
              <w:right w:val="single" w:color="auto" w:sz="4" w:space="0"/>
            </w:tcBorders>
            <w:noWrap w:val="0"/>
            <w:vAlign w:val="center"/>
          </w:tcPr>
          <w:p w14:paraId="29BA1829">
            <w:pPr>
              <w:keepNext w:val="0"/>
              <w:keepLines w:val="0"/>
              <w:pageBreakBefore w:val="0"/>
              <w:widowControl w:val="0"/>
              <w:suppressLineNumbers w:val="0"/>
              <w:kinsoku/>
              <w:overflowPunct/>
              <w:topLinePunct w:val="0"/>
              <w:bidi w:val="0"/>
              <w:spacing w:before="0" w:beforeAutospacing="0" w:after="0" w:afterAutospacing="0" w:line="400" w:lineRule="exact"/>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3</w:t>
            </w:r>
          </w:p>
        </w:tc>
        <w:tc>
          <w:tcPr>
            <w:tcW w:w="8175" w:type="dxa"/>
            <w:tcBorders>
              <w:top w:val="single" w:color="auto" w:sz="4" w:space="0"/>
              <w:left w:val="single" w:color="auto" w:sz="4" w:space="0"/>
              <w:bottom w:val="single" w:color="auto" w:sz="4" w:space="0"/>
              <w:right w:val="single" w:color="auto" w:sz="4" w:space="0"/>
            </w:tcBorders>
            <w:noWrap w:val="0"/>
            <w:vAlign w:val="center"/>
          </w:tcPr>
          <w:p w14:paraId="47A941E8">
            <w:pPr>
              <w:keepNext w:val="0"/>
              <w:keepLines w:val="0"/>
              <w:pageBreakBefore w:val="0"/>
              <w:widowControl w:val="0"/>
              <w:suppressLineNumbers w:val="0"/>
              <w:kinsoku/>
              <w:wordWrap w:val="0"/>
              <w:overflowPunct/>
              <w:topLinePunct w:val="0"/>
              <w:bidi w:val="0"/>
              <w:snapToGrid w:val="0"/>
              <w:spacing w:before="0" w:beforeAutospacing="0" w:after="0" w:afterAutospacing="0" w:line="400" w:lineRule="exact"/>
              <w:ind w:left="0" w:right="0"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1.投标人的资格要求详见招标公告。</w:t>
            </w:r>
          </w:p>
          <w:p w14:paraId="4324121E">
            <w:pPr>
              <w:keepNext w:val="0"/>
              <w:keepLines w:val="0"/>
              <w:pageBreakBefore w:val="0"/>
              <w:widowControl w:val="0"/>
              <w:suppressLineNumbers w:val="0"/>
              <w:kinsoku/>
              <w:wordWrap w:val="0"/>
              <w:overflowPunct/>
              <w:topLinePunct w:val="0"/>
              <w:bidi w:val="0"/>
              <w:snapToGrid w:val="0"/>
              <w:spacing w:before="0" w:beforeAutospacing="0" w:after="0" w:afterAutospacing="0" w:line="400" w:lineRule="exact"/>
              <w:ind w:left="0" w:right="0"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2.投标人出现下列情形之一的，不得参加政府采购活动：</w:t>
            </w:r>
          </w:p>
          <w:p w14:paraId="08626C4B">
            <w:pPr>
              <w:keepNext w:val="0"/>
              <w:keepLines w:val="0"/>
              <w:pageBreakBefore w:val="0"/>
              <w:widowControl w:val="0"/>
              <w:suppressLineNumbers w:val="0"/>
              <w:kinsoku/>
              <w:wordWrap w:val="0"/>
              <w:overflowPunct/>
              <w:topLinePunct w:val="0"/>
              <w:bidi w:val="0"/>
              <w:snapToGrid w:val="0"/>
              <w:spacing w:before="0" w:beforeAutospacing="0" w:after="0" w:afterAutospacing="0" w:line="400" w:lineRule="exact"/>
              <w:ind w:left="0" w:right="0"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2.1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32078C2C">
            <w:pPr>
              <w:keepNext w:val="0"/>
              <w:keepLines w:val="0"/>
              <w:pageBreakBefore w:val="0"/>
              <w:widowControl w:val="0"/>
              <w:suppressLineNumbers w:val="0"/>
              <w:kinsoku/>
              <w:wordWrap w:val="0"/>
              <w:overflowPunct/>
              <w:topLinePunct w:val="0"/>
              <w:bidi w:val="0"/>
              <w:snapToGrid w:val="0"/>
              <w:spacing w:before="0" w:beforeAutospacing="0" w:after="0" w:afterAutospacing="0" w:line="400" w:lineRule="exact"/>
              <w:ind w:left="0" w:right="0"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2.2对在“信用中国”网站（www.creditchina.gov.cn）、中国政府采购网（www.ccgp.gov.cn）被列入失信被执行人、重大税收违法失信主体、政府采购严重违法失信行为记录名单及其他不符合《中华人民共和国政府采购法》第二十二条规定条件的供应商，不得参与政府采购活动。</w:t>
            </w:r>
          </w:p>
        </w:tc>
      </w:tr>
      <w:tr w14:paraId="1B88E72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78" w:type="dxa"/>
            <w:tcBorders>
              <w:top w:val="single" w:color="auto" w:sz="4" w:space="0"/>
              <w:left w:val="single" w:color="auto" w:sz="4" w:space="0"/>
              <w:bottom w:val="single" w:color="auto" w:sz="4" w:space="0"/>
              <w:right w:val="single" w:color="auto" w:sz="4" w:space="0"/>
            </w:tcBorders>
            <w:noWrap w:val="0"/>
            <w:vAlign w:val="center"/>
          </w:tcPr>
          <w:p w14:paraId="32AC842A">
            <w:pPr>
              <w:keepNext w:val="0"/>
              <w:keepLines w:val="0"/>
              <w:pageBreakBefore w:val="0"/>
              <w:widowControl w:val="0"/>
              <w:suppressLineNumbers w:val="0"/>
              <w:kinsoku/>
              <w:overflowPunct/>
              <w:topLinePunct w:val="0"/>
              <w:bidi w:val="0"/>
              <w:spacing w:before="0" w:beforeAutospacing="0" w:after="0" w:afterAutospacing="0" w:line="400" w:lineRule="exact"/>
              <w:ind w:left="0" w:right="0"/>
              <w:jc w:val="center"/>
              <w:rPr>
                <w:rFonts w:hint="eastAsia" w:ascii="宋体" w:hAnsi="宋体" w:cs="宋体"/>
                <w:color w:val="auto"/>
                <w:szCs w:val="21"/>
                <w:highlight w:val="none"/>
              </w:rPr>
            </w:pPr>
            <w:bookmarkStart w:id="59" w:name="_8.1"/>
            <w:bookmarkEnd w:id="59"/>
            <w:bookmarkStart w:id="60" w:name="_9.2"/>
            <w:bookmarkEnd w:id="60"/>
            <w:bookmarkStart w:id="61" w:name="_5"/>
            <w:bookmarkEnd w:id="61"/>
            <w:r>
              <w:rPr>
                <w:rFonts w:hint="eastAsia" w:ascii="宋体" w:hAnsi="宋体" w:cs="宋体"/>
                <w:color w:val="auto"/>
                <w:szCs w:val="21"/>
                <w:highlight w:val="none"/>
              </w:rPr>
              <w:t>6.1</w:t>
            </w:r>
          </w:p>
        </w:tc>
        <w:tc>
          <w:tcPr>
            <w:tcW w:w="8175" w:type="dxa"/>
            <w:tcBorders>
              <w:top w:val="single" w:color="auto" w:sz="4" w:space="0"/>
              <w:left w:val="single" w:color="auto" w:sz="4" w:space="0"/>
              <w:bottom w:val="single" w:color="auto" w:sz="4" w:space="0"/>
              <w:right w:val="single" w:color="auto" w:sz="4" w:space="0"/>
            </w:tcBorders>
            <w:noWrap w:val="0"/>
            <w:vAlign w:val="center"/>
          </w:tcPr>
          <w:p w14:paraId="712E233A">
            <w:pPr>
              <w:pStyle w:val="12"/>
              <w:keepNext w:val="0"/>
              <w:keepLines w:val="0"/>
              <w:pageBreakBefore w:val="0"/>
              <w:widowControl w:val="0"/>
              <w:suppressLineNumbers w:val="0"/>
              <w:kinsoku/>
              <w:overflowPunct/>
              <w:topLinePunct w:val="0"/>
              <w:bidi w:val="0"/>
              <w:spacing w:before="0" w:beforeAutospacing="0" w:after="0" w:afterAutospacing="0" w:line="400" w:lineRule="exact"/>
              <w:ind w:left="0" w:right="0"/>
              <w:rPr>
                <w:rFonts w:hint="eastAsia" w:ascii="宋体" w:hAnsi="宋体" w:cs="宋体"/>
                <w:b/>
                <w:color w:val="auto"/>
                <w:szCs w:val="21"/>
                <w:highlight w:val="none"/>
              </w:rPr>
            </w:pPr>
            <w:r>
              <w:rPr>
                <w:rFonts w:hint="eastAsia" w:ascii="宋体" w:hAnsi="宋体" w:cs="宋体"/>
                <w:color w:val="auto"/>
                <w:szCs w:val="21"/>
                <w:highlight w:val="none"/>
              </w:rPr>
              <w:t>本项目是否接受联合体投标：</w:t>
            </w:r>
            <w:r>
              <w:rPr>
                <w:rFonts w:hint="eastAsia" w:ascii="宋体" w:hAnsi="宋体" w:cs="宋体"/>
                <w:b/>
                <w:bCs/>
                <w:color w:val="auto"/>
                <w:szCs w:val="21"/>
                <w:highlight w:val="none"/>
                <w:lang w:eastAsia="zh-CN"/>
              </w:rPr>
              <w:t>不接受联合体投标</w:t>
            </w:r>
            <w:r>
              <w:rPr>
                <w:rFonts w:hint="eastAsia" w:ascii="宋体" w:hAnsi="宋体" w:cs="宋体"/>
                <w:color w:val="auto"/>
                <w:szCs w:val="21"/>
                <w:highlight w:val="none"/>
                <w:lang w:eastAsia="zh-CN"/>
              </w:rPr>
              <w:t>，</w:t>
            </w:r>
            <w:r>
              <w:rPr>
                <w:rFonts w:hint="eastAsia" w:ascii="宋体" w:hAnsi="宋体" w:cs="宋体"/>
                <w:color w:val="auto"/>
                <w:szCs w:val="21"/>
                <w:highlight w:val="none"/>
              </w:rPr>
              <w:t>详见招标公告。</w:t>
            </w:r>
          </w:p>
        </w:tc>
      </w:tr>
      <w:tr w14:paraId="5964E96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78" w:type="dxa"/>
            <w:tcBorders>
              <w:top w:val="single" w:color="auto" w:sz="4" w:space="0"/>
              <w:left w:val="single" w:color="auto" w:sz="4" w:space="0"/>
              <w:bottom w:val="single" w:color="auto" w:sz="4" w:space="0"/>
              <w:right w:val="single" w:color="auto" w:sz="4" w:space="0"/>
            </w:tcBorders>
            <w:noWrap w:val="0"/>
            <w:vAlign w:val="center"/>
          </w:tcPr>
          <w:p w14:paraId="3C6CE1D9">
            <w:pPr>
              <w:keepNext w:val="0"/>
              <w:keepLines w:val="0"/>
              <w:pageBreakBefore w:val="0"/>
              <w:widowControl w:val="0"/>
              <w:suppressLineNumbers w:val="0"/>
              <w:kinsoku/>
              <w:overflowPunct/>
              <w:topLinePunct w:val="0"/>
              <w:bidi w:val="0"/>
              <w:spacing w:before="0" w:beforeAutospacing="0" w:after="0" w:afterAutospacing="0" w:line="400" w:lineRule="exact"/>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6.2</w:t>
            </w:r>
          </w:p>
        </w:tc>
        <w:tc>
          <w:tcPr>
            <w:tcW w:w="8175" w:type="dxa"/>
            <w:tcBorders>
              <w:top w:val="single" w:color="auto" w:sz="4" w:space="0"/>
              <w:left w:val="single" w:color="auto" w:sz="4" w:space="0"/>
              <w:bottom w:val="single" w:color="auto" w:sz="4" w:space="0"/>
              <w:right w:val="single" w:color="auto" w:sz="4" w:space="0"/>
            </w:tcBorders>
            <w:noWrap w:val="0"/>
            <w:vAlign w:val="center"/>
          </w:tcPr>
          <w:p w14:paraId="157FD94E">
            <w:pPr>
              <w:pStyle w:val="12"/>
              <w:keepNext w:val="0"/>
              <w:keepLines w:val="0"/>
              <w:pageBreakBefore w:val="0"/>
              <w:widowControl w:val="0"/>
              <w:suppressLineNumbers w:val="0"/>
              <w:kinsoku/>
              <w:overflowPunct/>
              <w:topLinePunct w:val="0"/>
              <w:bidi w:val="0"/>
              <w:spacing w:before="0" w:beforeAutospacing="0" w:after="0" w:afterAutospacing="0" w:line="400" w:lineRule="exact"/>
              <w:ind w:left="0" w:right="0"/>
              <w:rPr>
                <w:rFonts w:hint="eastAsia" w:ascii="宋体" w:hAnsi="宋体" w:cs="宋体"/>
                <w:color w:val="auto"/>
                <w:szCs w:val="21"/>
                <w:highlight w:val="none"/>
              </w:rPr>
            </w:pPr>
            <w:bookmarkStart w:id="62" w:name="_Hlk54105293"/>
            <w:r>
              <w:rPr>
                <w:rFonts w:hint="eastAsia" w:ascii="宋体" w:hAnsi="宋体" w:cs="宋体"/>
                <w:color w:val="auto"/>
                <w:szCs w:val="21"/>
                <w:highlight w:val="none"/>
              </w:rPr>
              <w:t>如接受联合体投标，</w:t>
            </w:r>
            <w:bookmarkEnd w:id="62"/>
            <w:r>
              <w:rPr>
                <w:rFonts w:hint="eastAsia" w:ascii="宋体" w:hAnsi="宋体" w:cs="宋体"/>
                <w:color w:val="auto"/>
                <w:szCs w:val="21"/>
                <w:highlight w:val="none"/>
              </w:rPr>
              <w:t>联合体投标要求如下：</w:t>
            </w:r>
          </w:p>
          <w:p w14:paraId="3D51DD51">
            <w:pPr>
              <w:pStyle w:val="12"/>
              <w:keepNext w:val="0"/>
              <w:keepLines w:val="0"/>
              <w:pageBreakBefore w:val="0"/>
              <w:widowControl w:val="0"/>
              <w:suppressLineNumbers w:val="0"/>
              <w:kinsoku/>
              <w:overflowPunct/>
              <w:topLinePunct w:val="0"/>
              <w:bidi w:val="0"/>
              <w:spacing w:before="0" w:beforeAutospacing="0" w:after="0" w:afterAutospacing="0" w:line="400" w:lineRule="exact"/>
              <w:ind w:left="0" w:right="0" w:firstLine="420" w:firstLineChars="200"/>
              <w:rPr>
                <w:rFonts w:hint="eastAsia" w:ascii="宋体" w:hAnsi="宋体" w:cs="宋体"/>
                <w:color w:val="auto"/>
                <w:szCs w:val="21"/>
                <w:highlight w:val="none"/>
              </w:rPr>
            </w:pPr>
            <w:r>
              <w:rPr>
                <w:rFonts w:hint="eastAsia" w:ascii="宋体" w:hAnsi="宋体" w:cs="宋体"/>
                <w:color w:val="auto"/>
                <w:szCs w:val="21"/>
                <w:highlight w:val="none"/>
              </w:rPr>
              <w:t>1.两个或两个以上投标人可以组成一个投标联合体，以一个投标人的身份共同参加投标。</w:t>
            </w:r>
            <w:r>
              <w:rPr>
                <w:rFonts w:hint="eastAsia" w:ascii="宋体" w:hAnsi="宋体" w:cs="宋体"/>
                <w:b/>
                <w:bCs/>
                <w:color w:val="auto"/>
                <w:szCs w:val="21"/>
                <w:highlight w:val="none"/>
              </w:rPr>
              <w:t>联合体投标人的名称应统一按“XXX公司与XXX公司的联合体”的规则填写</w:t>
            </w:r>
            <w:r>
              <w:rPr>
                <w:rFonts w:hint="eastAsia" w:ascii="宋体" w:hAnsi="宋体" w:cs="宋体"/>
                <w:color w:val="auto"/>
                <w:szCs w:val="21"/>
                <w:highlight w:val="none"/>
              </w:rPr>
              <w:t>。联合体投标的，须提供《联合体投标协议书》（格式后附）。</w:t>
            </w:r>
          </w:p>
          <w:p w14:paraId="21A8D28A">
            <w:pPr>
              <w:pStyle w:val="12"/>
              <w:keepNext w:val="0"/>
              <w:keepLines w:val="0"/>
              <w:pageBreakBefore w:val="0"/>
              <w:widowControl w:val="0"/>
              <w:suppressLineNumbers w:val="0"/>
              <w:kinsoku/>
              <w:overflowPunct/>
              <w:topLinePunct w:val="0"/>
              <w:bidi w:val="0"/>
              <w:spacing w:before="0" w:beforeAutospacing="0" w:after="0" w:afterAutospacing="0" w:line="400" w:lineRule="exact"/>
              <w:ind w:left="0" w:right="0" w:firstLine="420" w:firstLineChars="200"/>
              <w:rPr>
                <w:rFonts w:hint="eastAsia" w:ascii="宋体" w:hAnsi="宋体" w:cs="宋体"/>
                <w:color w:val="auto"/>
                <w:szCs w:val="21"/>
                <w:highlight w:val="none"/>
              </w:rPr>
            </w:pPr>
            <w:r>
              <w:rPr>
                <w:rFonts w:hint="eastAsia" w:ascii="宋体" w:hAnsi="宋体" w:cs="宋体"/>
                <w:color w:val="auto"/>
                <w:szCs w:val="21"/>
                <w:highlight w:val="none"/>
              </w:rPr>
              <w:t>2.以联合体形式参加投标的，联合体各方均必须具备《中华人民共和国政府采购法》第二十二条第一款规定的基本条件（涉及行政许可范围的内容，联合体各方均应具备相应资质）。本项目有特殊要求规定投标人特定条件的，联合体各方中至少有一方必须符合招标文件规定的特定条件。</w:t>
            </w:r>
          </w:p>
          <w:p w14:paraId="50DE9A79">
            <w:pPr>
              <w:pStyle w:val="12"/>
              <w:keepNext w:val="0"/>
              <w:keepLines w:val="0"/>
              <w:pageBreakBefore w:val="0"/>
              <w:widowControl w:val="0"/>
              <w:suppressLineNumbers w:val="0"/>
              <w:kinsoku/>
              <w:overflowPunct/>
              <w:topLinePunct w:val="0"/>
              <w:bidi w:val="0"/>
              <w:spacing w:before="0" w:beforeAutospacing="0" w:after="0" w:afterAutospacing="0" w:line="400" w:lineRule="exact"/>
              <w:ind w:left="0" w:right="0" w:firstLine="420" w:firstLineChars="200"/>
              <w:rPr>
                <w:rFonts w:hint="eastAsia" w:ascii="宋体" w:hAnsi="宋体" w:cs="宋体"/>
                <w:color w:val="auto"/>
                <w:szCs w:val="21"/>
                <w:highlight w:val="none"/>
              </w:rPr>
            </w:pPr>
            <w:r>
              <w:rPr>
                <w:rFonts w:hint="eastAsia" w:ascii="宋体" w:hAnsi="宋体" w:cs="宋体"/>
                <w:color w:val="auto"/>
                <w:szCs w:val="21"/>
                <w:highlight w:val="none"/>
              </w:rPr>
              <w:t>3.联合体各方之间必须签订联合投标协议，协议书必须明确主体方（或者牵头方）并明确约定联合体各方承担的工作和相应的责任（</w:t>
            </w:r>
            <w:r>
              <w:rPr>
                <w:rFonts w:hint="eastAsia" w:ascii="宋体" w:hAnsi="宋体" w:cs="宋体"/>
                <w:b/>
                <w:color w:val="auto"/>
                <w:szCs w:val="21"/>
                <w:highlight w:val="none"/>
              </w:rPr>
              <w:t>各方承担责任与义务的分工必须符合采购需求，否则，联合体投标无效</w:t>
            </w:r>
            <w:r>
              <w:rPr>
                <w:rFonts w:hint="eastAsia" w:ascii="宋体" w:hAnsi="宋体" w:cs="宋体"/>
                <w:color w:val="auto"/>
                <w:szCs w:val="21"/>
                <w:highlight w:val="none"/>
              </w:rPr>
              <w:t>），并将联合投标协议放入投标文件。联合体各方必须共同与采购人签订采购合同，就采购合同约定的事项对采购人承担连带责任。</w:t>
            </w:r>
          </w:p>
          <w:p w14:paraId="511740FF">
            <w:pPr>
              <w:pStyle w:val="12"/>
              <w:keepNext w:val="0"/>
              <w:keepLines w:val="0"/>
              <w:pageBreakBefore w:val="0"/>
              <w:widowControl w:val="0"/>
              <w:suppressLineNumbers w:val="0"/>
              <w:kinsoku/>
              <w:overflowPunct/>
              <w:topLinePunct w:val="0"/>
              <w:bidi w:val="0"/>
              <w:spacing w:before="0" w:beforeAutospacing="0" w:after="0" w:afterAutospacing="0" w:line="400" w:lineRule="exact"/>
              <w:ind w:left="0" w:right="0" w:firstLine="420" w:firstLineChars="200"/>
              <w:rPr>
                <w:rFonts w:hint="eastAsia" w:ascii="宋体" w:hAnsi="宋体" w:cs="宋体"/>
                <w:color w:val="auto"/>
                <w:szCs w:val="21"/>
                <w:highlight w:val="none"/>
              </w:rPr>
            </w:pPr>
            <w:r>
              <w:rPr>
                <w:rFonts w:hint="eastAsia" w:ascii="宋体" w:hAnsi="宋体" w:cs="宋体"/>
                <w:color w:val="auto"/>
                <w:szCs w:val="21"/>
                <w:highlight w:val="none"/>
              </w:rPr>
              <w:t>4.以联合体形式参加政府采购活动的，联合体各方不得再单独参加或者与其他投标人另外组成联合体参加同一合同项下的政府采购活动。</w:t>
            </w:r>
          </w:p>
          <w:p w14:paraId="3C8D42C2">
            <w:pPr>
              <w:pStyle w:val="12"/>
              <w:keepNext w:val="0"/>
              <w:keepLines w:val="0"/>
              <w:pageBreakBefore w:val="0"/>
              <w:widowControl w:val="0"/>
              <w:suppressLineNumbers w:val="0"/>
              <w:kinsoku/>
              <w:overflowPunct/>
              <w:topLinePunct w:val="0"/>
              <w:bidi w:val="0"/>
              <w:spacing w:before="0" w:beforeAutospacing="0" w:after="0" w:afterAutospacing="0" w:line="400" w:lineRule="exact"/>
              <w:ind w:left="0" w:right="0" w:firstLine="420" w:firstLineChars="200"/>
              <w:rPr>
                <w:rFonts w:hint="eastAsia" w:ascii="宋体" w:hAnsi="宋体" w:cs="宋体"/>
                <w:color w:val="auto"/>
                <w:szCs w:val="21"/>
                <w:highlight w:val="none"/>
              </w:rPr>
            </w:pPr>
            <w:r>
              <w:rPr>
                <w:rFonts w:hint="eastAsia" w:ascii="宋体" w:hAnsi="宋体" w:cs="宋体"/>
                <w:color w:val="auto"/>
                <w:szCs w:val="21"/>
                <w:highlight w:val="none"/>
              </w:rPr>
              <w:t>5.联合体中有同类资质的投标人按照联合体分工承担相同工作的，应当按照资质等级较低的投标人确定资质等级。</w:t>
            </w:r>
          </w:p>
          <w:p w14:paraId="45EED0C3">
            <w:pPr>
              <w:pStyle w:val="12"/>
              <w:keepNext w:val="0"/>
              <w:keepLines w:val="0"/>
              <w:pageBreakBefore w:val="0"/>
              <w:widowControl w:val="0"/>
              <w:suppressLineNumbers w:val="0"/>
              <w:kinsoku/>
              <w:overflowPunct/>
              <w:topLinePunct w:val="0"/>
              <w:bidi w:val="0"/>
              <w:spacing w:before="0" w:beforeAutospacing="0" w:after="0" w:afterAutospacing="0" w:line="400" w:lineRule="exact"/>
              <w:ind w:left="0" w:right="0" w:firstLine="420" w:firstLineChars="200"/>
              <w:rPr>
                <w:rFonts w:hint="eastAsia" w:ascii="宋体" w:hAnsi="宋体" w:cs="宋体"/>
                <w:color w:val="auto"/>
                <w:szCs w:val="21"/>
                <w:highlight w:val="none"/>
              </w:rPr>
            </w:pPr>
            <w:r>
              <w:rPr>
                <w:rFonts w:hint="eastAsia" w:ascii="宋体" w:hAnsi="宋体" w:cs="宋体"/>
                <w:color w:val="auto"/>
                <w:szCs w:val="21"/>
                <w:highlight w:val="none"/>
              </w:rPr>
              <w:t>6.联合体投标业绩、履约能力按照联合体各方其中较高的一方认定并计算（招标文件另有规定的除外）。</w:t>
            </w:r>
          </w:p>
          <w:p w14:paraId="53ACE420">
            <w:pPr>
              <w:pStyle w:val="12"/>
              <w:keepNext w:val="0"/>
              <w:keepLines w:val="0"/>
              <w:pageBreakBefore w:val="0"/>
              <w:widowControl w:val="0"/>
              <w:suppressLineNumbers w:val="0"/>
              <w:kinsoku/>
              <w:overflowPunct/>
              <w:topLinePunct w:val="0"/>
              <w:bidi w:val="0"/>
              <w:spacing w:before="0" w:beforeAutospacing="0" w:after="0" w:afterAutospacing="0" w:line="400" w:lineRule="exact"/>
              <w:ind w:left="0" w:right="0" w:firstLine="420" w:firstLineChars="200"/>
              <w:rPr>
                <w:rFonts w:hint="eastAsia" w:ascii="宋体" w:hAnsi="宋体" w:cs="宋体"/>
                <w:color w:val="auto"/>
                <w:szCs w:val="21"/>
                <w:highlight w:val="none"/>
              </w:rPr>
            </w:pPr>
            <w:r>
              <w:rPr>
                <w:rFonts w:hint="eastAsia" w:ascii="宋体" w:hAnsi="宋体" w:cs="宋体"/>
                <w:color w:val="auto"/>
                <w:szCs w:val="21"/>
                <w:highlight w:val="none"/>
              </w:rPr>
              <w:t>7.投标人为联合体的，可以由联合体中的一方或者多方共同交纳投标保证金，其交纳的保证金对联合体各方均具有约束力。</w:t>
            </w:r>
          </w:p>
          <w:p w14:paraId="06D54EAE">
            <w:pPr>
              <w:pStyle w:val="12"/>
              <w:keepNext w:val="0"/>
              <w:keepLines w:val="0"/>
              <w:pageBreakBefore w:val="0"/>
              <w:widowControl w:val="0"/>
              <w:suppressLineNumbers w:val="0"/>
              <w:kinsoku/>
              <w:overflowPunct/>
              <w:topLinePunct w:val="0"/>
              <w:bidi w:val="0"/>
              <w:spacing w:before="0" w:beforeAutospacing="0" w:after="0" w:afterAutospacing="0" w:line="400" w:lineRule="exact"/>
              <w:ind w:left="0" w:right="0" w:firstLine="420" w:firstLineChars="200"/>
              <w:rPr>
                <w:rFonts w:hint="eastAsia" w:ascii="宋体" w:hAnsi="宋体" w:cs="宋体"/>
                <w:color w:val="auto"/>
                <w:szCs w:val="21"/>
                <w:highlight w:val="none"/>
              </w:rPr>
            </w:pPr>
            <w:r>
              <w:rPr>
                <w:rFonts w:hint="eastAsia" w:ascii="宋体" w:hAnsi="宋体" w:cs="宋体"/>
                <w:color w:val="auto"/>
                <w:szCs w:val="21"/>
                <w:highlight w:val="none"/>
              </w:rPr>
              <w:t>8.联合体各方均应按照招标文件的规定提交资格证明文件。</w:t>
            </w:r>
          </w:p>
        </w:tc>
      </w:tr>
      <w:tr w14:paraId="370F681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78" w:type="dxa"/>
            <w:tcBorders>
              <w:top w:val="single" w:color="auto" w:sz="4" w:space="0"/>
              <w:left w:val="single" w:color="auto" w:sz="4" w:space="0"/>
              <w:bottom w:val="single" w:color="auto" w:sz="4" w:space="0"/>
              <w:right w:val="single" w:color="auto" w:sz="4" w:space="0"/>
            </w:tcBorders>
            <w:noWrap w:val="0"/>
            <w:vAlign w:val="center"/>
          </w:tcPr>
          <w:p w14:paraId="4649E558">
            <w:pPr>
              <w:keepNext w:val="0"/>
              <w:keepLines w:val="0"/>
              <w:pageBreakBefore w:val="0"/>
              <w:widowControl w:val="0"/>
              <w:suppressLineNumbers w:val="0"/>
              <w:kinsoku/>
              <w:overflowPunct/>
              <w:topLinePunct w:val="0"/>
              <w:bidi w:val="0"/>
              <w:spacing w:before="0" w:beforeAutospacing="0" w:after="0" w:afterAutospacing="0" w:line="400" w:lineRule="exact"/>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7.2</w:t>
            </w:r>
          </w:p>
        </w:tc>
        <w:tc>
          <w:tcPr>
            <w:tcW w:w="8175" w:type="dxa"/>
            <w:tcBorders>
              <w:top w:val="single" w:color="auto" w:sz="4" w:space="0"/>
              <w:left w:val="single" w:color="auto" w:sz="4" w:space="0"/>
              <w:bottom w:val="single" w:color="auto" w:sz="4" w:space="0"/>
              <w:right w:val="single" w:color="auto" w:sz="4" w:space="0"/>
            </w:tcBorders>
            <w:noWrap w:val="0"/>
            <w:vAlign w:val="center"/>
          </w:tcPr>
          <w:p w14:paraId="4AE8C66E">
            <w:pPr>
              <w:pStyle w:val="12"/>
              <w:keepNext w:val="0"/>
              <w:keepLines w:val="0"/>
              <w:pageBreakBefore w:val="0"/>
              <w:widowControl w:val="0"/>
              <w:suppressLineNumbers w:val="0"/>
              <w:kinsoku/>
              <w:overflowPunct/>
              <w:topLinePunct w:val="0"/>
              <w:bidi w:val="0"/>
              <w:spacing w:before="0" w:beforeAutospacing="0" w:after="0" w:afterAutospacing="0" w:line="400" w:lineRule="exact"/>
              <w:ind w:left="0" w:right="0"/>
              <w:rPr>
                <w:rFonts w:hint="eastAsia" w:ascii="宋体" w:hAnsi="宋体" w:cs="宋体"/>
                <w:color w:val="auto"/>
                <w:szCs w:val="21"/>
                <w:highlight w:val="none"/>
              </w:rPr>
            </w:pPr>
            <w:r>
              <w:rPr>
                <w:rFonts w:hint="eastAsia" w:ascii="宋体" w:hAnsi="宋体" w:cs="宋体"/>
                <w:color w:val="auto"/>
                <w:szCs w:val="21"/>
                <w:highlight w:val="none"/>
              </w:rPr>
              <w:t>☑不允许分包</w:t>
            </w:r>
          </w:p>
          <w:p w14:paraId="5F5512AA">
            <w:pPr>
              <w:pStyle w:val="12"/>
              <w:keepNext w:val="0"/>
              <w:keepLines w:val="0"/>
              <w:pageBreakBefore w:val="0"/>
              <w:widowControl w:val="0"/>
              <w:suppressLineNumbers w:val="0"/>
              <w:kinsoku/>
              <w:overflowPunct/>
              <w:topLinePunct w:val="0"/>
              <w:bidi w:val="0"/>
              <w:spacing w:before="0" w:beforeAutospacing="0" w:after="0" w:afterAutospacing="0" w:line="400" w:lineRule="exact"/>
              <w:ind w:left="0" w:right="0"/>
              <w:rPr>
                <w:rFonts w:hint="eastAsia" w:ascii="宋体" w:hAnsi="宋体" w:cs="宋体"/>
                <w:color w:val="auto"/>
                <w:szCs w:val="21"/>
                <w:highlight w:val="none"/>
              </w:rPr>
            </w:pPr>
            <w:bookmarkStart w:id="63" w:name="OLE_LINK12"/>
            <w:r>
              <w:rPr>
                <w:rFonts w:hint="eastAsia" w:ascii="宋体" w:hAnsi="宋体" w:cs="宋体"/>
                <w:color w:val="auto"/>
                <w:szCs w:val="21"/>
                <w:highlight w:val="none"/>
              </w:rPr>
              <w:t>□</w:t>
            </w:r>
            <w:bookmarkEnd w:id="63"/>
            <w:r>
              <w:rPr>
                <w:rFonts w:hint="eastAsia" w:ascii="宋体" w:hAnsi="宋体" w:cs="宋体"/>
                <w:color w:val="auto"/>
                <w:szCs w:val="21"/>
                <w:highlight w:val="none"/>
              </w:rPr>
              <w:t>允许分包</w:t>
            </w:r>
          </w:p>
          <w:p w14:paraId="03011466">
            <w:pPr>
              <w:pStyle w:val="12"/>
              <w:keepNext w:val="0"/>
              <w:keepLines w:val="0"/>
              <w:pageBreakBefore w:val="0"/>
              <w:widowControl w:val="0"/>
              <w:suppressLineNumbers w:val="0"/>
              <w:kinsoku/>
              <w:overflowPunct/>
              <w:topLinePunct w:val="0"/>
              <w:bidi w:val="0"/>
              <w:spacing w:before="0" w:beforeAutospacing="0" w:after="0" w:afterAutospacing="0" w:line="400" w:lineRule="exact"/>
              <w:ind w:left="0" w:right="0"/>
              <w:rPr>
                <w:rFonts w:hint="eastAsia" w:ascii="宋体" w:hAnsi="宋体" w:cs="宋体"/>
                <w:color w:val="auto"/>
                <w:szCs w:val="21"/>
                <w:highlight w:val="none"/>
                <w:u w:val="single"/>
              </w:rPr>
            </w:pPr>
            <w:r>
              <w:rPr>
                <w:rFonts w:hint="eastAsia" w:ascii="宋体" w:hAnsi="宋体" w:cs="宋体"/>
                <w:color w:val="auto"/>
                <w:szCs w:val="21"/>
                <w:highlight w:val="none"/>
              </w:rPr>
              <w:t>分包内容：</w:t>
            </w:r>
            <w:r>
              <w:rPr>
                <w:rFonts w:hint="eastAsia" w:ascii="宋体" w:hAnsi="宋体" w:cs="宋体"/>
                <w:color w:val="auto"/>
                <w:szCs w:val="21"/>
                <w:highlight w:val="none"/>
                <w:u w:val="single"/>
              </w:rPr>
              <w:t xml:space="preserve">                                     。</w:t>
            </w:r>
          </w:p>
          <w:p w14:paraId="6FB7D11A">
            <w:pPr>
              <w:pStyle w:val="12"/>
              <w:keepNext w:val="0"/>
              <w:keepLines w:val="0"/>
              <w:pageBreakBefore w:val="0"/>
              <w:widowControl w:val="0"/>
              <w:suppressLineNumbers w:val="0"/>
              <w:kinsoku/>
              <w:overflowPunct/>
              <w:topLinePunct w:val="0"/>
              <w:bidi w:val="0"/>
              <w:spacing w:before="0" w:beforeAutospacing="0" w:after="0" w:afterAutospacing="0" w:line="400" w:lineRule="exact"/>
              <w:ind w:left="0" w:right="0"/>
              <w:jc w:val="both"/>
              <w:rPr>
                <w:rFonts w:hint="eastAsia" w:ascii="宋体" w:hAnsi="宋体" w:cs="宋体"/>
                <w:color w:val="auto"/>
                <w:szCs w:val="21"/>
                <w:highlight w:val="none"/>
                <w:u w:val="single"/>
              </w:rPr>
            </w:pPr>
            <w:r>
              <w:rPr>
                <w:rFonts w:hint="eastAsia" w:ascii="宋体" w:hAnsi="宋体" w:cs="宋体"/>
                <w:color w:val="auto"/>
                <w:szCs w:val="21"/>
                <w:highlight w:val="none"/>
              </w:rPr>
              <w:t>分包金额或者比例：</w:t>
            </w:r>
            <w:r>
              <w:rPr>
                <w:rFonts w:hint="eastAsia" w:ascii="宋体" w:hAnsi="宋体" w:cs="宋体"/>
                <w:color w:val="auto"/>
                <w:szCs w:val="21"/>
                <w:highlight w:val="none"/>
                <w:u w:val="single"/>
              </w:rPr>
              <w:t xml:space="preserve">                                     。</w:t>
            </w:r>
          </w:p>
        </w:tc>
      </w:tr>
      <w:tr w14:paraId="11FB9A4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978" w:type="dxa"/>
            <w:vMerge w:val="restart"/>
            <w:tcBorders>
              <w:top w:val="single" w:color="auto" w:sz="4" w:space="0"/>
              <w:left w:val="single" w:color="auto" w:sz="4" w:space="0"/>
              <w:right w:val="single" w:color="auto" w:sz="4" w:space="0"/>
            </w:tcBorders>
            <w:noWrap w:val="0"/>
            <w:vAlign w:val="center"/>
          </w:tcPr>
          <w:p w14:paraId="4F5F4DC0">
            <w:pPr>
              <w:keepNext w:val="0"/>
              <w:keepLines w:val="0"/>
              <w:pageBreakBefore w:val="0"/>
              <w:widowControl w:val="0"/>
              <w:suppressLineNumbers w:val="0"/>
              <w:kinsoku/>
              <w:overflowPunct/>
              <w:topLinePunct w:val="0"/>
              <w:bidi w:val="0"/>
              <w:spacing w:before="0" w:beforeAutospacing="0" w:after="0" w:afterAutospacing="0" w:line="400" w:lineRule="exact"/>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11.2</w:t>
            </w:r>
          </w:p>
        </w:tc>
        <w:tc>
          <w:tcPr>
            <w:tcW w:w="8175" w:type="dxa"/>
            <w:tcBorders>
              <w:top w:val="single" w:color="auto" w:sz="4" w:space="0"/>
              <w:left w:val="single" w:color="auto" w:sz="4" w:space="0"/>
              <w:bottom w:val="single" w:color="auto" w:sz="4" w:space="0"/>
              <w:right w:val="single" w:color="auto" w:sz="4" w:space="0"/>
            </w:tcBorders>
            <w:noWrap w:val="0"/>
            <w:vAlign w:val="center"/>
          </w:tcPr>
          <w:p w14:paraId="6BC56BEB">
            <w:pPr>
              <w:keepNext w:val="0"/>
              <w:keepLines w:val="0"/>
              <w:pageBreakBefore w:val="0"/>
              <w:widowControl w:val="0"/>
              <w:suppressLineNumbers w:val="0"/>
              <w:kinsoku/>
              <w:overflowPunct/>
              <w:topLinePunct w:val="0"/>
              <w:bidi w:val="0"/>
              <w:snapToGrid w:val="0"/>
              <w:spacing w:before="0" w:beforeAutospacing="0" w:after="0" w:afterAutospacing="0" w:line="400" w:lineRule="exact"/>
              <w:ind w:left="0" w:right="0"/>
              <w:rPr>
                <w:rFonts w:hint="eastAsia" w:ascii="宋体" w:hAnsi="宋体" w:cs="宋体"/>
                <w:color w:val="auto"/>
                <w:szCs w:val="21"/>
                <w:highlight w:val="none"/>
              </w:rPr>
            </w:pPr>
            <w:bookmarkStart w:id="64" w:name="OLE_LINK13"/>
            <w:r>
              <w:rPr>
                <w:rFonts w:hint="eastAsia" w:ascii="宋体" w:hAnsi="宋体" w:cs="宋体"/>
                <w:color w:val="auto"/>
                <w:szCs w:val="21"/>
                <w:highlight w:val="none"/>
              </w:rPr>
              <w:t>☑</w:t>
            </w:r>
            <w:bookmarkEnd w:id="64"/>
            <w:r>
              <w:rPr>
                <w:rFonts w:hint="eastAsia" w:ascii="宋体" w:hAnsi="宋体" w:cs="宋体"/>
                <w:color w:val="auto"/>
                <w:szCs w:val="21"/>
                <w:highlight w:val="none"/>
              </w:rPr>
              <w:t>不组织现场考察</w:t>
            </w:r>
          </w:p>
        </w:tc>
      </w:tr>
      <w:tr w14:paraId="55DF85F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3" w:hRule="atLeast"/>
        </w:trPr>
        <w:tc>
          <w:tcPr>
            <w:tcW w:w="978" w:type="dxa"/>
            <w:vMerge w:val="continue"/>
            <w:tcBorders>
              <w:left w:val="single" w:color="auto" w:sz="4" w:space="0"/>
              <w:bottom w:val="single" w:color="auto" w:sz="4" w:space="0"/>
              <w:right w:val="single" w:color="auto" w:sz="4" w:space="0"/>
            </w:tcBorders>
            <w:noWrap w:val="0"/>
            <w:vAlign w:val="center"/>
          </w:tcPr>
          <w:p w14:paraId="0C313BAD">
            <w:pPr>
              <w:keepNext w:val="0"/>
              <w:keepLines w:val="0"/>
              <w:pageBreakBefore w:val="0"/>
              <w:widowControl w:val="0"/>
              <w:suppressLineNumbers w:val="0"/>
              <w:kinsoku/>
              <w:overflowPunct/>
              <w:topLinePunct w:val="0"/>
              <w:bidi w:val="0"/>
              <w:spacing w:before="0" w:beforeAutospacing="0" w:after="0" w:afterAutospacing="0" w:line="400" w:lineRule="exact"/>
              <w:ind w:left="0" w:right="0"/>
              <w:jc w:val="center"/>
              <w:rPr>
                <w:rFonts w:hint="eastAsia" w:ascii="宋体" w:hAnsi="宋体" w:cs="宋体"/>
                <w:color w:val="auto"/>
                <w:szCs w:val="21"/>
                <w:highlight w:val="none"/>
              </w:rPr>
            </w:pPr>
          </w:p>
        </w:tc>
        <w:tc>
          <w:tcPr>
            <w:tcW w:w="8175" w:type="dxa"/>
            <w:tcBorders>
              <w:top w:val="single" w:color="auto" w:sz="4" w:space="0"/>
              <w:left w:val="single" w:color="auto" w:sz="4" w:space="0"/>
              <w:bottom w:val="single" w:color="auto" w:sz="4" w:space="0"/>
              <w:right w:val="single" w:color="auto" w:sz="4" w:space="0"/>
            </w:tcBorders>
            <w:noWrap w:val="0"/>
            <w:vAlign w:val="center"/>
          </w:tcPr>
          <w:p w14:paraId="7DDA222F">
            <w:pPr>
              <w:keepNext w:val="0"/>
              <w:keepLines w:val="0"/>
              <w:pageBreakBefore w:val="0"/>
              <w:widowControl w:val="0"/>
              <w:suppressLineNumbers w:val="0"/>
              <w:kinsoku/>
              <w:overflowPunct/>
              <w:topLinePunct w:val="0"/>
              <w:bidi w:val="0"/>
              <w:snapToGrid w:val="0"/>
              <w:spacing w:before="0" w:beforeAutospacing="0" w:after="0" w:afterAutospacing="0" w:line="400" w:lineRule="exact"/>
              <w:ind w:left="0" w:right="0"/>
              <w:rPr>
                <w:rFonts w:hint="eastAsia" w:ascii="宋体" w:hAnsi="宋体" w:cs="宋体"/>
                <w:color w:val="auto"/>
                <w:szCs w:val="21"/>
                <w:highlight w:val="none"/>
              </w:rPr>
            </w:pPr>
            <w:r>
              <w:rPr>
                <w:rFonts w:hint="eastAsia" w:ascii="宋体" w:hAnsi="宋体" w:cs="宋体"/>
                <w:color w:val="auto"/>
                <w:szCs w:val="21"/>
                <w:highlight w:val="none"/>
                <w:lang w:eastAsia="zh-CN"/>
              </w:rPr>
              <w:sym w:font="Wingdings 2" w:char="0052"/>
            </w:r>
            <w:r>
              <w:rPr>
                <w:rFonts w:hint="eastAsia" w:ascii="宋体" w:hAnsi="宋体" w:cs="宋体"/>
                <w:color w:val="auto"/>
                <w:szCs w:val="21"/>
                <w:highlight w:val="none"/>
              </w:rPr>
              <w:t>不组织召开开标前答疑会</w:t>
            </w:r>
          </w:p>
        </w:tc>
      </w:tr>
      <w:tr w14:paraId="090574A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78" w:type="dxa"/>
            <w:vMerge w:val="restart"/>
            <w:tcBorders>
              <w:top w:val="single" w:color="auto" w:sz="4" w:space="0"/>
              <w:left w:val="single" w:color="auto" w:sz="4" w:space="0"/>
              <w:right w:val="single" w:color="auto" w:sz="4" w:space="0"/>
            </w:tcBorders>
            <w:noWrap w:val="0"/>
            <w:vAlign w:val="center"/>
          </w:tcPr>
          <w:p w14:paraId="10C360EC">
            <w:pPr>
              <w:keepNext w:val="0"/>
              <w:keepLines w:val="0"/>
              <w:pageBreakBefore w:val="0"/>
              <w:widowControl w:val="0"/>
              <w:suppressLineNumbers w:val="0"/>
              <w:kinsoku/>
              <w:overflowPunct/>
              <w:topLinePunct w:val="0"/>
              <w:bidi w:val="0"/>
              <w:spacing w:before="0" w:beforeAutospacing="0" w:after="0" w:afterAutospacing="0" w:line="400" w:lineRule="exact"/>
              <w:ind w:left="0" w:right="0"/>
              <w:jc w:val="center"/>
              <w:rPr>
                <w:rFonts w:hint="eastAsia" w:ascii="宋体" w:hAnsi="宋体" w:cs="宋体"/>
                <w:color w:val="auto"/>
                <w:szCs w:val="21"/>
                <w:highlight w:val="none"/>
              </w:rPr>
            </w:pPr>
            <w:bookmarkStart w:id="65" w:name="_13.1"/>
            <w:bookmarkEnd w:id="65"/>
            <w:r>
              <w:rPr>
                <w:rFonts w:hint="eastAsia" w:ascii="宋体" w:hAnsi="宋体" w:cs="宋体"/>
                <w:color w:val="auto"/>
                <w:szCs w:val="21"/>
                <w:highlight w:val="none"/>
              </w:rPr>
              <w:t>13</w:t>
            </w:r>
          </w:p>
        </w:tc>
        <w:tc>
          <w:tcPr>
            <w:tcW w:w="8175" w:type="dxa"/>
            <w:tcBorders>
              <w:top w:val="single" w:color="auto" w:sz="4" w:space="0"/>
              <w:left w:val="single" w:color="auto" w:sz="4" w:space="0"/>
              <w:bottom w:val="single" w:color="auto" w:sz="4" w:space="0"/>
              <w:right w:val="single" w:color="auto" w:sz="4" w:space="0"/>
            </w:tcBorders>
            <w:noWrap w:val="0"/>
            <w:vAlign w:val="center"/>
          </w:tcPr>
          <w:p w14:paraId="1E18EE9F">
            <w:pPr>
              <w:keepNext w:val="0"/>
              <w:keepLines w:val="0"/>
              <w:pageBreakBefore w:val="0"/>
              <w:widowControl w:val="0"/>
              <w:suppressLineNumbers w:val="0"/>
              <w:kinsoku/>
              <w:overflowPunct/>
              <w:topLinePunct w:val="0"/>
              <w:bidi w:val="0"/>
              <w:snapToGrid w:val="0"/>
              <w:spacing w:before="0" w:beforeAutospacing="0" w:after="0" w:afterAutospacing="0" w:line="400" w:lineRule="exact"/>
              <w:ind w:left="0" w:right="0"/>
              <w:rPr>
                <w:rFonts w:hint="eastAsia" w:ascii="宋体" w:hAnsi="宋体" w:cs="宋体"/>
                <w:b/>
                <w:color w:val="auto"/>
                <w:szCs w:val="21"/>
                <w:highlight w:val="none"/>
              </w:rPr>
            </w:pPr>
            <w:r>
              <w:rPr>
                <w:rFonts w:hint="eastAsia" w:ascii="宋体" w:hAnsi="宋体" w:cs="宋体"/>
                <w:b/>
                <w:color w:val="auto"/>
                <w:szCs w:val="21"/>
                <w:highlight w:val="none"/>
              </w:rPr>
              <w:t>报价文件：</w:t>
            </w:r>
          </w:p>
          <w:p w14:paraId="629A64B1">
            <w:pPr>
              <w:keepNext w:val="0"/>
              <w:keepLines w:val="0"/>
              <w:pageBreakBefore w:val="0"/>
              <w:widowControl w:val="0"/>
              <w:suppressLineNumbers w:val="0"/>
              <w:tabs>
                <w:tab w:val="left" w:pos="459"/>
              </w:tabs>
              <w:kinsoku/>
              <w:overflowPunct/>
              <w:topLinePunct w:val="0"/>
              <w:bidi w:val="0"/>
              <w:snapToGrid w:val="0"/>
              <w:spacing w:before="0" w:beforeAutospacing="0" w:after="0" w:afterAutospacing="0" w:line="400" w:lineRule="exact"/>
              <w:ind w:left="-2" w:leftChars="-1" w:right="0" w:firstLine="420" w:firstLineChars="200"/>
              <w:rPr>
                <w:rFonts w:hint="eastAsia" w:ascii="宋体" w:hAnsi="宋体" w:cs="宋体"/>
                <w:color w:val="auto"/>
                <w:szCs w:val="21"/>
                <w:highlight w:val="none"/>
              </w:rPr>
            </w:pPr>
            <w:r>
              <w:rPr>
                <w:rFonts w:hint="eastAsia" w:ascii="宋体" w:hAnsi="宋体" w:cs="宋体"/>
                <w:color w:val="auto"/>
                <w:szCs w:val="21"/>
                <w:highlight w:val="none"/>
              </w:rPr>
              <w:t>1.投标函（格式后附）；</w:t>
            </w:r>
            <w:r>
              <w:rPr>
                <w:rFonts w:hint="eastAsia" w:ascii="宋体" w:hAnsi="宋体" w:cs="宋体"/>
                <w:b/>
                <w:color w:val="auto"/>
                <w:szCs w:val="21"/>
                <w:highlight w:val="none"/>
              </w:rPr>
              <w:t>（必须提供，否则按无效投标处理）</w:t>
            </w:r>
          </w:p>
          <w:p w14:paraId="6C9E51C1">
            <w:pPr>
              <w:keepNext w:val="0"/>
              <w:keepLines w:val="0"/>
              <w:pageBreakBefore w:val="0"/>
              <w:widowControl w:val="0"/>
              <w:suppressLineNumbers w:val="0"/>
              <w:tabs>
                <w:tab w:val="left" w:pos="459"/>
              </w:tabs>
              <w:kinsoku/>
              <w:overflowPunct/>
              <w:topLinePunct w:val="0"/>
              <w:bidi w:val="0"/>
              <w:snapToGrid w:val="0"/>
              <w:spacing w:before="0" w:beforeAutospacing="0" w:after="0" w:afterAutospacing="0" w:line="400" w:lineRule="exact"/>
              <w:ind w:left="-2" w:leftChars="-1" w:right="0" w:firstLine="420" w:firstLineChars="200"/>
              <w:rPr>
                <w:rFonts w:hint="eastAsia" w:ascii="宋体" w:hAnsi="宋体" w:cs="宋体"/>
                <w:color w:val="auto"/>
                <w:szCs w:val="21"/>
                <w:highlight w:val="none"/>
              </w:rPr>
            </w:pPr>
            <w:r>
              <w:rPr>
                <w:rFonts w:hint="eastAsia" w:ascii="宋体" w:hAnsi="宋体" w:cs="宋体"/>
                <w:color w:val="auto"/>
                <w:szCs w:val="21"/>
                <w:highlight w:val="none"/>
              </w:rPr>
              <w:t>2.开标一览表（格式后附）；（</w:t>
            </w:r>
            <w:r>
              <w:rPr>
                <w:rFonts w:hint="eastAsia" w:ascii="宋体" w:hAnsi="宋体" w:cs="宋体"/>
                <w:b/>
                <w:color w:val="auto"/>
                <w:szCs w:val="21"/>
                <w:highlight w:val="none"/>
              </w:rPr>
              <w:t>必须提供，否则按无效投标处理</w:t>
            </w:r>
            <w:r>
              <w:rPr>
                <w:rFonts w:hint="eastAsia" w:ascii="宋体" w:hAnsi="宋体" w:cs="宋体"/>
                <w:color w:val="auto"/>
                <w:szCs w:val="21"/>
                <w:highlight w:val="none"/>
              </w:rPr>
              <w:t>）</w:t>
            </w:r>
          </w:p>
          <w:p w14:paraId="6BFC1BBB">
            <w:pPr>
              <w:keepNext w:val="0"/>
              <w:keepLines w:val="0"/>
              <w:pageBreakBefore w:val="0"/>
              <w:widowControl w:val="0"/>
              <w:suppressLineNumbers w:val="0"/>
              <w:tabs>
                <w:tab w:val="left" w:pos="459"/>
              </w:tabs>
              <w:kinsoku/>
              <w:overflowPunct/>
              <w:topLinePunct w:val="0"/>
              <w:bidi w:val="0"/>
              <w:snapToGrid w:val="0"/>
              <w:spacing w:before="0" w:beforeAutospacing="0" w:after="0" w:afterAutospacing="0" w:line="400" w:lineRule="exact"/>
              <w:ind w:left="-2" w:leftChars="-1" w:right="0" w:firstLine="420" w:firstLineChars="200"/>
              <w:rPr>
                <w:rFonts w:hint="eastAsia" w:ascii="宋体" w:hAnsi="宋体" w:cs="宋体"/>
                <w:color w:val="auto"/>
                <w:szCs w:val="21"/>
                <w:highlight w:val="none"/>
              </w:rPr>
            </w:pPr>
            <w:r>
              <w:rPr>
                <w:rFonts w:hint="eastAsia" w:ascii="宋体" w:hAnsi="宋体" w:cs="宋体"/>
                <w:color w:val="auto"/>
                <w:szCs w:val="21"/>
                <w:highlight w:val="none"/>
              </w:rPr>
              <w:t>3.中小企业声明函或监狱企业证明文件或残疾人福利性单位声明函；（如有请提供）</w:t>
            </w:r>
          </w:p>
          <w:p w14:paraId="017F5329">
            <w:pPr>
              <w:keepNext w:val="0"/>
              <w:keepLines w:val="0"/>
              <w:pageBreakBefore w:val="0"/>
              <w:widowControl w:val="0"/>
              <w:suppressLineNumbers w:val="0"/>
              <w:tabs>
                <w:tab w:val="left" w:pos="459"/>
              </w:tabs>
              <w:kinsoku/>
              <w:overflowPunct/>
              <w:topLinePunct w:val="0"/>
              <w:bidi w:val="0"/>
              <w:snapToGrid w:val="0"/>
              <w:spacing w:before="0" w:beforeAutospacing="0" w:after="0" w:afterAutospacing="0" w:line="400" w:lineRule="exact"/>
              <w:ind w:left="-2" w:leftChars="-1" w:right="0" w:firstLine="420" w:firstLineChars="200"/>
              <w:rPr>
                <w:rFonts w:hint="eastAsia" w:ascii="宋体" w:hAnsi="宋体" w:cs="宋体"/>
                <w:color w:val="auto"/>
                <w:szCs w:val="21"/>
                <w:highlight w:val="none"/>
              </w:rPr>
            </w:pPr>
            <w:r>
              <w:rPr>
                <w:rFonts w:hint="eastAsia" w:ascii="宋体" w:hAnsi="宋体" w:cs="宋体"/>
                <w:color w:val="auto"/>
                <w:szCs w:val="21"/>
                <w:highlight w:val="none"/>
              </w:rPr>
              <w:t>4.投标人针对报价需要说明的其他文件和说明（格式自拟）。（如有请提供）</w:t>
            </w:r>
          </w:p>
          <w:p w14:paraId="2F6BEA47">
            <w:pPr>
              <w:keepNext w:val="0"/>
              <w:keepLines w:val="0"/>
              <w:pageBreakBefore w:val="0"/>
              <w:widowControl w:val="0"/>
              <w:suppressLineNumbers w:val="0"/>
              <w:tabs>
                <w:tab w:val="left" w:pos="459"/>
              </w:tabs>
              <w:kinsoku/>
              <w:overflowPunct/>
              <w:topLinePunct w:val="0"/>
              <w:bidi w:val="0"/>
              <w:snapToGrid w:val="0"/>
              <w:spacing w:before="0" w:beforeAutospacing="0" w:after="0" w:afterAutospacing="0" w:line="400" w:lineRule="exact"/>
              <w:ind w:left="-2" w:leftChars="-1" w:right="0"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注：1.以上标明“必须提供”的材料的，必须加盖投标人电子签章，否则按无效投标处理；</w:t>
            </w:r>
          </w:p>
          <w:p w14:paraId="4BF63B44">
            <w:pPr>
              <w:keepNext w:val="0"/>
              <w:keepLines w:val="0"/>
              <w:pageBreakBefore w:val="0"/>
              <w:widowControl w:val="0"/>
              <w:suppressLineNumbers w:val="0"/>
              <w:tabs>
                <w:tab w:val="left" w:pos="459"/>
              </w:tabs>
              <w:kinsoku/>
              <w:overflowPunct/>
              <w:topLinePunct w:val="0"/>
              <w:bidi w:val="0"/>
              <w:snapToGrid w:val="0"/>
              <w:spacing w:before="0" w:beforeAutospacing="0" w:after="0" w:afterAutospacing="0" w:line="400" w:lineRule="exact"/>
              <w:ind w:left="-2" w:leftChars="-1" w:right="0" w:firstLine="843" w:firstLineChars="400"/>
              <w:rPr>
                <w:rFonts w:hint="eastAsia" w:ascii="宋体" w:hAnsi="宋体" w:cs="宋体"/>
                <w:b/>
                <w:color w:val="auto"/>
                <w:szCs w:val="21"/>
                <w:highlight w:val="none"/>
              </w:rPr>
            </w:pPr>
            <w:r>
              <w:rPr>
                <w:rFonts w:hint="eastAsia" w:ascii="宋体" w:hAnsi="宋体" w:cs="宋体"/>
                <w:b/>
                <w:color w:val="auto"/>
                <w:szCs w:val="21"/>
                <w:highlight w:val="none"/>
              </w:rPr>
              <w:t>2.联合体投标时，盖章处须加盖联合体牵头人电子签章</w:t>
            </w:r>
            <w:r>
              <w:rPr>
                <w:rFonts w:hint="eastAsia" w:ascii="宋体" w:hAnsi="宋体" w:cs="宋体"/>
                <w:b/>
                <w:color w:val="auto"/>
                <w:szCs w:val="21"/>
                <w:highlight w:val="none"/>
                <w:lang w:eastAsia="zh-CN"/>
              </w:rPr>
              <w:t>，在</w:t>
            </w:r>
            <w:r>
              <w:rPr>
                <w:rFonts w:hint="eastAsia" w:ascii="宋体" w:hAnsi="宋体" w:cs="宋体"/>
                <w:b/>
                <w:color w:val="auto"/>
                <w:szCs w:val="21"/>
                <w:highlight w:val="none"/>
              </w:rPr>
              <w:t>规定签字处签字（或者电子签名），否则</w:t>
            </w:r>
            <w:r>
              <w:rPr>
                <w:rFonts w:hint="eastAsia" w:ascii="宋体" w:hAnsi="宋体" w:cs="宋体"/>
                <w:b/>
                <w:color w:val="auto"/>
                <w:szCs w:val="21"/>
                <w:highlight w:val="none"/>
                <w:lang w:eastAsia="zh-CN"/>
              </w:rPr>
              <w:t>投标文件</w:t>
            </w:r>
            <w:r>
              <w:rPr>
                <w:rFonts w:hint="eastAsia" w:ascii="宋体" w:hAnsi="宋体" w:cs="宋体"/>
                <w:b/>
                <w:color w:val="auto"/>
                <w:szCs w:val="21"/>
                <w:highlight w:val="none"/>
              </w:rPr>
              <w:t>按无效处理</w:t>
            </w:r>
            <w:r>
              <w:rPr>
                <w:rFonts w:hint="eastAsia" w:ascii="宋体" w:hAnsi="宋体" w:cs="宋体"/>
                <w:b/>
                <w:color w:val="auto"/>
                <w:szCs w:val="21"/>
                <w:highlight w:val="none"/>
                <w:lang w:val="en-US" w:eastAsia="zh-CN"/>
              </w:rPr>
              <w:t>(</w:t>
            </w:r>
            <w:r>
              <w:rPr>
                <w:rFonts w:hint="eastAsia" w:ascii="宋体" w:hAnsi="宋体" w:cs="宋体"/>
                <w:b/>
                <w:color w:val="auto"/>
                <w:szCs w:val="21"/>
                <w:highlight w:val="none"/>
                <w:lang w:eastAsia="zh-CN"/>
              </w:rPr>
              <w:t>本项目不适用本条</w:t>
            </w:r>
            <w:r>
              <w:rPr>
                <w:rFonts w:hint="eastAsia" w:ascii="宋体" w:hAnsi="宋体" w:cs="宋体"/>
                <w:b/>
                <w:color w:val="auto"/>
                <w:szCs w:val="21"/>
                <w:highlight w:val="none"/>
                <w:lang w:val="en-US" w:eastAsia="zh-CN"/>
              </w:rPr>
              <w:t>)</w:t>
            </w:r>
            <w:r>
              <w:rPr>
                <w:rFonts w:hint="eastAsia" w:ascii="宋体" w:hAnsi="宋体" w:cs="宋体"/>
                <w:b/>
                <w:color w:val="auto"/>
                <w:szCs w:val="21"/>
                <w:highlight w:val="none"/>
              </w:rPr>
              <w:t>。</w:t>
            </w:r>
          </w:p>
        </w:tc>
      </w:tr>
      <w:tr w14:paraId="5329312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78" w:type="dxa"/>
            <w:vMerge w:val="continue"/>
            <w:tcBorders>
              <w:left w:val="single" w:color="auto" w:sz="4" w:space="0"/>
              <w:right w:val="single" w:color="auto" w:sz="4" w:space="0"/>
            </w:tcBorders>
            <w:noWrap w:val="0"/>
            <w:vAlign w:val="center"/>
          </w:tcPr>
          <w:p w14:paraId="407730E0">
            <w:pPr>
              <w:keepNext w:val="0"/>
              <w:keepLines w:val="0"/>
              <w:pageBreakBefore w:val="0"/>
              <w:widowControl w:val="0"/>
              <w:suppressLineNumbers w:val="0"/>
              <w:kinsoku/>
              <w:overflowPunct/>
              <w:topLinePunct w:val="0"/>
              <w:bidi w:val="0"/>
              <w:spacing w:before="0" w:beforeAutospacing="0" w:after="0" w:afterAutospacing="0" w:line="400" w:lineRule="exact"/>
              <w:ind w:left="0" w:right="0"/>
              <w:rPr>
                <w:rFonts w:hint="eastAsia" w:ascii="宋体" w:hAnsi="宋体" w:cs="宋体"/>
                <w:color w:val="auto"/>
                <w:szCs w:val="21"/>
                <w:highlight w:val="none"/>
              </w:rPr>
            </w:pPr>
            <w:bookmarkStart w:id="66" w:name="_13.2"/>
            <w:bookmarkEnd w:id="66"/>
          </w:p>
        </w:tc>
        <w:tc>
          <w:tcPr>
            <w:tcW w:w="8175" w:type="dxa"/>
            <w:tcBorders>
              <w:top w:val="single" w:color="auto" w:sz="4" w:space="0"/>
              <w:left w:val="single" w:color="auto" w:sz="4" w:space="0"/>
              <w:bottom w:val="single" w:color="auto" w:sz="4" w:space="0"/>
              <w:right w:val="single" w:color="auto" w:sz="4" w:space="0"/>
            </w:tcBorders>
            <w:noWrap w:val="0"/>
            <w:vAlign w:val="center"/>
          </w:tcPr>
          <w:p w14:paraId="05C5C0CC">
            <w:pPr>
              <w:keepNext w:val="0"/>
              <w:keepLines w:val="0"/>
              <w:pageBreakBefore w:val="0"/>
              <w:widowControl w:val="0"/>
              <w:suppressLineNumbers w:val="0"/>
              <w:kinsoku/>
              <w:overflowPunct/>
              <w:topLinePunct w:val="0"/>
              <w:bidi w:val="0"/>
              <w:snapToGrid w:val="0"/>
              <w:spacing w:before="0" w:beforeAutospacing="0" w:after="0" w:afterAutospacing="0" w:line="400" w:lineRule="exact"/>
              <w:ind w:left="0" w:right="0"/>
              <w:rPr>
                <w:rFonts w:hint="eastAsia" w:ascii="宋体" w:hAnsi="宋体" w:cs="宋体"/>
                <w:b/>
                <w:color w:val="auto"/>
                <w:szCs w:val="21"/>
                <w:highlight w:val="none"/>
              </w:rPr>
            </w:pPr>
            <w:r>
              <w:rPr>
                <w:rFonts w:hint="eastAsia" w:ascii="宋体" w:hAnsi="宋体" w:cs="宋体"/>
                <w:b/>
                <w:color w:val="auto"/>
                <w:szCs w:val="21"/>
                <w:highlight w:val="none"/>
              </w:rPr>
              <w:t>资格证明文件：</w:t>
            </w:r>
          </w:p>
          <w:p w14:paraId="21A22C8E">
            <w:pPr>
              <w:keepNext w:val="0"/>
              <w:keepLines w:val="0"/>
              <w:pageBreakBefore w:val="0"/>
              <w:widowControl w:val="0"/>
              <w:suppressLineNumbers w:val="0"/>
              <w:kinsoku/>
              <w:overflowPunct/>
              <w:topLinePunct w:val="0"/>
              <w:bidi w:val="0"/>
              <w:snapToGrid w:val="0"/>
              <w:spacing w:before="0" w:beforeAutospacing="0" w:after="0" w:afterAutospacing="0" w:line="400" w:lineRule="exact"/>
              <w:ind w:left="0" w:right="0" w:firstLine="420" w:firstLineChars="200"/>
              <w:rPr>
                <w:rFonts w:hint="eastAsia" w:ascii="宋体" w:hAnsi="宋体" w:cs="宋体"/>
                <w:b/>
                <w:color w:val="auto"/>
                <w:szCs w:val="21"/>
                <w:highlight w:val="none"/>
              </w:rPr>
            </w:pPr>
            <w:r>
              <w:rPr>
                <w:rFonts w:hint="eastAsia" w:ascii="宋体" w:hAnsi="宋体" w:cs="宋体"/>
                <w:color w:val="auto"/>
                <w:szCs w:val="21"/>
                <w:highlight w:val="none"/>
              </w:rPr>
              <w:t>1.投标人为法人或者其他组织的，提供营业执照等证明文件（如营业执照或者事业单位法人证书或者</w:t>
            </w:r>
            <w:r>
              <w:rPr>
                <w:rStyle w:val="75"/>
                <w:rFonts w:hint="eastAsia"/>
                <w:color w:val="auto"/>
                <w:sz w:val="21"/>
                <w:szCs w:val="21"/>
                <w:highlight w:val="none"/>
              </w:rPr>
              <w:t>执业许可证</w:t>
            </w:r>
            <w:r>
              <w:rPr>
                <w:rFonts w:hint="eastAsia" w:ascii="宋体" w:hAnsi="宋体" w:cs="宋体"/>
                <w:color w:val="auto"/>
                <w:szCs w:val="21"/>
                <w:highlight w:val="none"/>
              </w:rPr>
              <w:t>或者登记证书等），投标人为自然人的，提供身份证复印件；（</w:t>
            </w:r>
            <w:r>
              <w:rPr>
                <w:rFonts w:hint="eastAsia" w:ascii="宋体" w:hAnsi="宋体" w:cs="宋体"/>
                <w:b/>
                <w:color w:val="auto"/>
                <w:szCs w:val="21"/>
                <w:highlight w:val="none"/>
              </w:rPr>
              <w:t>必须提供，否则按无效投标处理</w:t>
            </w:r>
            <w:r>
              <w:rPr>
                <w:rFonts w:hint="eastAsia" w:ascii="宋体" w:hAnsi="宋体" w:cs="宋体"/>
                <w:color w:val="auto"/>
                <w:szCs w:val="21"/>
                <w:highlight w:val="none"/>
              </w:rPr>
              <w:t>）</w:t>
            </w:r>
          </w:p>
          <w:p w14:paraId="0FE292AC">
            <w:pPr>
              <w:keepNext w:val="0"/>
              <w:keepLines w:val="0"/>
              <w:pageBreakBefore w:val="0"/>
              <w:widowControl w:val="0"/>
              <w:suppressLineNumbers w:val="0"/>
              <w:kinsoku/>
              <w:overflowPunct/>
              <w:topLinePunct w:val="0"/>
              <w:bidi w:val="0"/>
              <w:snapToGrid w:val="0"/>
              <w:spacing w:before="0" w:beforeAutospacing="0" w:after="0" w:afterAutospacing="0" w:line="400" w:lineRule="exact"/>
              <w:ind w:left="0" w:right="0" w:firstLine="420" w:firstLineChars="200"/>
              <w:rPr>
                <w:rFonts w:hint="eastAsia" w:ascii="宋体" w:hAnsi="宋体" w:cs="宋体"/>
                <w:b/>
                <w:color w:val="auto"/>
                <w:szCs w:val="21"/>
                <w:highlight w:val="none"/>
              </w:rPr>
            </w:pPr>
            <w:r>
              <w:rPr>
                <w:rFonts w:hint="eastAsia" w:ascii="宋体" w:hAnsi="宋体" w:cs="宋体"/>
                <w:color w:val="auto"/>
                <w:szCs w:val="21"/>
                <w:highlight w:val="none"/>
              </w:rPr>
              <w:t>2.投标人依法缴纳税收的相关材料</w:t>
            </w:r>
            <w:r>
              <w:rPr>
                <w:rFonts w:hint="eastAsia" w:ascii="宋体" w:hAnsi="宋体" w:cs="宋体"/>
                <w:color w:val="auto"/>
                <w:szCs w:val="21"/>
                <w:highlight w:val="none"/>
                <w:lang w:val="en-US" w:eastAsia="zh-CN"/>
              </w:rPr>
              <w:t>[</w:t>
            </w:r>
            <w:r>
              <w:rPr>
                <w:rFonts w:hint="eastAsia" w:ascii="宋体" w:hAnsi="宋体" w:cs="宋体"/>
                <w:color w:val="auto"/>
                <w:szCs w:val="21"/>
                <w:highlight w:val="none"/>
                <w:u w:val="single"/>
                <w:lang w:eastAsia="zh-CN"/>
              </w:rPr>
              <w:t>2026年1月以来</w:t>
            </w:r>
            <w:r>
              <w:rPr>
                <w:rFonts w:hint="eastAsia" w:ascii="宋体" w:hAnsi="宋体" w:cs="宋体"/>
                <w:color w:val="auto"/>
                <w:szCs w:val="21"/>
                <w:highlight w:val="none"/>
              </w:rPr>
              <w:t>任意连续</w:t>
            </w:r>
            <w:r>
              <w:rPr>
                <w:rFonts w:hint="eastAsia" w:ascii="宋体" w:hAnsi="宋体" w:cs="宋体"/>
                <w:color w:val="auto"/>
                <w:szCs w:val="21"/>
                <w:highlight w:val="none"/>
                <w:u w:val="single"/>
              </w:rPr>
              <w:t>3</w:t>
            </w:r>
            <w:r>
              <w:rPr>
                <w:rFonts w:hint="eastAsia" w:ascii="宋体" w:hAnsi="宋体" w:cs="宋体"/>
                <w:color w:val="auto"/>
                <w:szCs w:val="21"/>
                <w:highlight w:val="none"/>
              </w:rPr>
              <w:t>个月的依法缴纳税收的证明材料的凭据复印件；依法免税的投标人，必须提供相应文件证明其依法免税。从成立之日起到投标文件提交截止时间止不足要求月数的，只需提供从成立之日起的依法缴纳税收相应证明文件</w:t>
            </w:r>
            <w:r>
              <w:rPr>
                <w:rFonts w:hint="eastAsia" w:ascii="宋体" w:hAnsi="宋体" w:cs="宋体"/>
                <w:color w:val="auto"/>
                <w:szCs w:val="21"/>
                <w:highlight w:val="none"/>
                <w:lang w:val="en-US" w:eastAsia="zh-CN"/>
              </w:rPr>
              <w:t>]</w:t>
            </w:r>
            <w:r>
              <w:rPr>
                <w:rFonts w:hint="eastAsia" w:ascii="宋体" w:hAnsi="宋体" w:cs="宋体"/>
                <w:color w:val="auto"/>
                <w:szCs w:val="21"/>
                <w:highlight w:val="none"/>
              </w:rPr>
              <w:t>（格式自拟）；（</w:t>
            </w:r>
            <w:r>
              <w:rPr>
                <w:rFonts w:hint="eastAsia" w:ascii="宋体" w:hAnsi="宋体" w:cs="宋体"/>
                <w:b/>
                <w:color w:val="auto"/>
                <w:szCs w:val="21"/>
                <w:highlight w:val="none"/>
              </w:rPr>
              <w:t>必须提供，否则按无效投标处理</w:t>
            </w:r>
            <w:r>
              <w:rPr>
                <w:rFonts w:hint="eastAsia" w:ascii="宋体" w:hAnsi="宋体" w:cs="宋体"/>
                <w:color w:val="auto"/>
                <w:szCs w:val="21"/>
                <w:highlight w:val="none"/>
              </w:rPr>
              <w:t>）</w:t>
            </w:r>
          </w:p>
          <w:p w14:paraId="68BCD5E9">
            <w:pPr>
              <w:keepNext w:val="0"/>
              <w:keepLines w:val="0"/>
              <w:pageBreakBefore w:val="0"/>
              <w:widowControl w:val="0"/>
              <w:suppressLineNumbers w:val="0"/>
              <w:kinsoku/>
              <w:overflowPunct/>
              <w:topLinePunct w:val="0"/>
              <w:bidi w:val="0"/>
              <w:snapToGrid w:val="0"/>
              <w:spacing w:before="0" w:beforeAutospacing="0" w:after="0" w:afterAutospacing="0" w:line="400" w:lineRule="exact"/>
              <w:ind w:left="0" w:right="0" w:firstLine="420" w:firstLineChars="200"/>
              <w:jc w:val="left"/>
              <w:rPr>
                <w:rFonts w:hint="eastAsia" w:ascii="宋体" w:hAnsi="宋体" w:cs="宋体"/>
                <w:b/>
                <w:color w:val="auto"/>
                <w:szCs w:val="21"/>
                <w:highlight w:val="none"/>
              </w:rPr>
            </w:pPr>
            <w:r>
              <w:rPr>
                <w:rFonts w:hint="eastAsia" w:ascii="宋体" w:hAnsi="宋体" w:cs="宋体"/>
                <w:color w:val="auto"/>
                <w:szCs w:val="21"/>
                <w:highlight w:val="none"/>
              </w:rPr>
              <w:t>3.投标人依法缴纳社会保障资金的相关材料[</w:t>
            </w:r>
            <w:r>
              <w:rPr>
                <w:rFonts w:hint="eastAsia" w:ascii="宋体" w:hAnsi="宋体" w:cs="宋体"/>
                <w:color w:val="auto"/>
                <w:szCs w:val="21"/>
                <w:highlight w:val="none"/>
                <w:u w:val="single"/>
                <w:lang w:eastAsia="zh-CN"/>
              </w:rPr>
              <w:t>2026年1月以来</w:t>
            </w:r>
            <w:r>
              <w:rPr>
                <w:rFonts w:hint="eastAsia" w:ascii="宋体" w:hAnsi="宋体" w:cs="宋体"/>
                <w:color w:val="auto"/>
                <w:szCs w:val="21"/>
                <w:highlight w:val="none"/>
              </w:rPr>
              <w:t>任意连续</w:t>
            </w:r>
            <w:r>
              <w:rPr>
                <w:rFonts w:hint="eastAsia" w:ascii="宋体" w:hAnsi="宋体" w:cs="宋体"/>
                <w:color w:val="auto"/>
                <w:szCs w:val="21"/>
                <w:highlight w:val="none"/>
                <w:u w:val="single"/>
              </w:rPr>
              <w:t xml:space="preserve"> 3 </w:t>
            </w:r>
            <w:r>
              <w:rPr>
                <w:rFonts w:hint="eastAsia" w:ascii="宋体" w:hAnsi="宋体" w:cs="宋体"/>
                <w:color w:val="auto"/>
                <w:szCs w:val="21"/>
                <w:highlight w:val="none"/>
              </w:rPr>
              <w:t>个月的依法缴纳社会保障资金的缴费凭证（专用收据或者社会保险缴纳清单或者社保部门的证明）复印件；依法不需要缴纳社会保障资金的投标人，必须提供相应文件证明不需要缴纳社会保障资金。从成立之日起到投标文件提交截止时间止不足要求月数的只需提供从成立之日起的依法缴纳社会保障资金的相应证明文件]（格式自拟）；（</w:t>
            </w:r>
            <w:r>
              <w:rPr>
                <w:rFonts w:hint="eastAsia" w:ascii="宋体" w:hAnsi="宋体" w:cs="宋体"/>
                <w:b/>
                <w:color w:val="auto"/>
                <w:szCs w:val="21"/>
                <w:highlight w:val="none"/>
              </w:rPr>
              <w:t>必须提供，否则按无效投标处理</w:t>
            </w:r>
            <w:r>
              <w:rPr>
                <w:rFonts w:hint="eastAsia" w:ascii="宋体" w:hAnsi="宋体" w:cs="宋体"/>
                <w:color w:val="auto"/>
                <w:szCs w:val="21"/>
                <w:highlight w:val="none"/>
              </w:rPr>
              <w:t>）</w:t>
            </w:r>
          </w:p>
          <w:p w14:paraId="24C09199">
            <w:pPr>
              <w:keepNext w:val="0"/>
              <w:keepLines w:val="0"/>
              <w:pageBreakBefore w:val="0"/>
              <w:widowControl w:val="0"/>
              <w:suppressLineNumbers w:val="0"/>
              <w:kinsoku/>
              <w:overflowPunct/>
              <w:topLinePunct w:val="0"/>
              <w:bidi w:val="0"/>
              <w:snapToGrid w:val="0"/>
              <w:spacing w:before="0" w:beforeAutospacing="0" w:after="0" w:afterAutospacing="0" w:line="400" w:lineRule="exact"/>
              <w:ind w:left="0" w:right="0" w:firstLine="420" w:firstLineChars="200"/>
              <w:rPr>
                <w:rFonts w:hint="eastAsia" w:ascii="宋体" w:hAnsi="宋体" w:cs="宋体"/>
                <w:color w:val="auto"/>
                <w:szCs w:val="21"/>
                <w:highlight w:val="none"/>
              </w:rPr>
            </w:pPr>
            <w:r>
              <w:rPr>
                <w:rFonts w:hint="eastAsia" w:ascii="宋体" w:hAnsi="宋体" w:cs="宋体"/>
                <w:color w:val="auto"/>
                <w:szCs w:val="21"/>
                <w:highlight w:val="none"/>
              </w:rPr>
              <w:t>4.投标人（或其总公司）财务状况报告【</w:t>
            </w:r>
            <w:r>
              <w:rPr>
                <w:rFonts w:hint="eastAsia" w:ascii="宋体" w:hAnsi="宋体" w:cs="宋体"/>
                <w:color w:val="auto"/>
                <w:szCs w:val="21"/>
                <w:highlight w:val="none"/>
                <w:u w:val="single"/>
                <w:lang w:eastAsia="zh-CN"/>
              </w:rPr>
              <w:t>2025年度</w:t>
            </w:r>
            <w:r>
              <w:rPr>
                <w:rFonts w:hint="eastAsia" w:ascii="宋体" w:hAnsi="宋体" w:cs="宋体"/>
                <w:color w:val="auto"/>
                <w:szCs w:val="21"/>
                <w:highlight w:val="none"/>
              </w:rPr>
              <w:t>的财务审计报告（至少包括资产负债表、利润表、现金流量表）复印件，或者银行出具的资信证明，或者中国人民银行征信中心出具的信用报告（企业投标的提供企业信用报告，自然人投标的提供个人信用报告，投标人属于成立时间在规定年度之后的法人或其他组织，需提供成立之日起至投标截止时间前的月报表或银行出具的资信证明或者中国人民银行征信中心出具的企业信用报告；资信证明应在有效期内，未注明有效期的，银行出具时间至投标截止时间不超过一年）】；（</w:t>
            </w:r>
            <w:r>
              <w:rPr>
                <w:rFonts w:hint="eastAsia" w:ascii="宋体" w:hAnsi="宋体" w:cs="宋体"/>
                <w:b/>
                <w:color w:val="auto"/>
                <w:szCs w:val="21"/>
                <w:highlight w:val="none"/>
              </w:rPr>
              <w:t>必须提供，否则按无效投标处理</w:t>
            </w:r>
            <w:r>
              <w:rPr>
                <w:rFonts w:hint="eastAsia" w:ascii="宋体" w:hAnsi="宋体" w:cs="宋体"/>
                <w:color w:val="auto"/>
                <w:szCs w:val="21"/>
                <w:highlight w:val="none"/>
              </w:rPr>
              <w:t>）</w:t>
            </w:r>
          </w:p>
          <w:p w14:paraId="64EF711A">
            <w:pPr>
              <w:keepNext w:val="0"/>
              <w:keepLines w:val="0"/>
              <w:pageBreakBefore w:val="0"/>
              <w:widowControl w:val="0"/>
              <w:suppressLineNumbers w:val="0"/>
              <w:kinsoku/>
              <w:overflowPunct/>
              <w:topLinePunct w:val="0"/>
              <w:bidi w:val="0"/>
              <w:snapToGrid w:val="0"/>
              <w:spacing w:before="0" w:beforeAutospacing="0" w:after="0" w:afterAutospacing="0" w:line="400" w:lineRule="exact"/>
              <w:ind w:left="0" w:right="0" w:firstLine="420" w:firstLineChars="200"/>
              <w:rPr>
                <w:rFonts w:hint="eastAsia" w:ascii="宋体" w:hAnsi="宋体" w:cs="宋体"/>
                <w:color w:val="auto"/>
                <w:szCs w:val="21"/>
                <w:highlight w:val="none"/>
              </w:rPr>
            </w:pPr>
            <w:r>
              <w:rPr>
                <w:rFonts w:hint="eastAsia" w:ascii="宋体" w:hAnsi="宋体" w:cs="宋体"/>
                <w:color w:val="auto"/>
                <w:szCs w:val="21"/>
                <w:highlight w:val="none"/>
              </w:rPr>
              <w:t>5.投标人直接控股、管理关系信息表（格式后附）；（</w:t>
            </w:r>
            <w:r>
              <w:rPr>
                <w:rFonts w:hint="eastAsia" w:ascii="宋体" w:hAnsi="宋体" w:cs="宋体"/>
                <w:b/>
                <w:color w:val="auto"/>
                <w:szCs w:val="21"/>
                <w:highlight w:val="none"/>
              </w:rPr>
              <w:t>必须提供，否则按无效投标处理</w:t>
            </w:r>
            <w:r>
              <w:rPr>
                <w:rFonts w:hint="eastAsia" w:ascii="宋体" w:hAnsi="宋体" w:cs="宋体"/>
                <w:color w:val="auto"/>
                <w:szCs w:val="21"/>
                <w:highlight w:val="none"/>
              </w:rPr>
              <w:t>）</w:t>
            </w:r>
          </w:p>
          <w:p w14:paraId="38721D03">
            <w:pPr>
              <w:keepNext w:val="0"/>
              <w:keepLines w:val="0"/>
              <w:suppressLineNumbers w:val="0"/>
              <w:spacing w:before="0" w:beforeAutospacing="0" w:after="0" w:afterAutospacing="0" w:line="400" w:lineRule="exact"/>
              <w:ind w:left="0" w:right="0" w:firstLine="420" w:firstLineChars="200"/>
              <w:rPr>
                <w:rFonts w:hint="eastAsia" w:ascii="宋体" w:hAnsi="宋体" w:cs="宋体"/>
                <w:color w:val="auto"/>
                <w:szCs w:val="21"/>
                <w:highlight w:val="none"/>
              </w:rPr>
            </w:pPr>
            <w:r>
              <w:rPr>
                <w:rFonts w:hint="eastAsia" w:ascii="宋体" w:hAnsi="宋体" w:cs="宋体"/>
                <w:color w:val="auto"/>
                <w:szCs w:val="21"/>
                <w:highlight w:val="none"/>
              </w:rPr>
              <w:t>6.投标声明（格式后附）；（</w:t>
            </w:r>
            <w:r>
              <w:rPr>
                <w:rFonts w:hint="eastAsia" w:ascii="宋体" w:hAnsi="宋体" w:cs="宋体"/>
                <w:b/>
                <w:color w:val="auto"/>
                <w:szCs w:val="21"/>
                <w:highlight w:val="none"/>
              </w:rPr>
              <w:t>需法定代表人签字或电子签名，必须提供，否则按无效投标处理</w:t>
            </w:r>
            <w:r>
              <w:rPr>
                <w:rFonts w:hint="eastAsia" w:ascii="宋体" w:hAnsi="宋体" w:cs="宋体"/>
                <w:color w:val="auto"/>
                <w:szCs w:val="21"/>
                <w:highlight w:val="none"/>
              </w:rPr>
              <w:t>）</w:t>
            </w:r>
          </w:p>
          <w:p w14:paraId="07ED0ED3">
            <w:pPr>
              <w:keepNext w:val="0"/>
              <w:keepLines w:val="0"/>
              <w:suppressLineNumbers w:val="0"/>
              <w:snapToGrid w:val="0"/>
              <w:spacing w:before="0" w:beforeAutospacing="0" w:after="0" w:afterAutospacing="0" w:line="360" w:lineRule="auto"/>
              <w:ind w:left="0" w:right="0" w:firstLine="420" w:firstLineChars="200"/>
              <w:jc w:val="left"/>
              <w:rPr>
                <w:rFonts w:hint="eastAsia"/>
                <w:color w:val="auto"/>
                <w:highlight w:val="none"/>
              </w:rPr>
            </w:pPr>
            <w:r>
              <w:rPr>
                <w:rFonts w:hint="eastAsia" w:ascii="宋体" w:hAnsi="宋体"/>
                <w:color w:val="auto"/>
                <w:szCs w:val="21"/>
                <w:highlight w:val="none"/>
                <w:lang w:val="en-US" w:eastAsia="zh-CN"/>
              </w:rPr>
              <w:t>7</w:t>
            </w:r>
            <w:r>
              <w:rPr>
                <w:rFonts w:hint="eastAsia" w:ascii="宋体" w:hAnsi="宋体"/>
                <w:color w:val="auto"/>
                <w:szCs w:val="21"/>
                <w:highlight w:val="none"/>
              </w:rPr>
              <w:t>.联合体协议书（格式后附）；（</w:t>
            </w:r>
            <w:r>
              <w:rPr>
                <w:rFonts w:hint="eastAsia" w:ascii="宋体" w:hAnsi="宋体"/>
                <w:b/>
                <w:color w:val="auto"/>
                <w:szCs w:val="21"/>
                <w:highlight w:val="none"/>
              </w:rPr>
              <w:t>联合体投标时必须提供，否则按无效投标处理</w:t>
            </w:r>
            <w:r>
              <w:rPr>
                <w:rFonts w:hint="eastAsia" w:ascii="宋体" w:hAnsi="宋体"/>
                <w:b/>
                <w:color w:val="auto"/>
                <w:szCs w:val="21"/>
                <w:highlight w:val="none"/>
                <w:lang w:val="en-US" w:eastAsia="zh-CN"/>
              </w:rPr>
              <w:t>,本项目不适用本条</w:t>
            </w:r>
            <w:r>
              <w:rPr>
                <w:rFonts w:hint="eastAsia" w:ascii="宋体" w:hAnsi="宋体"/>
                <w:color w:val="auto"/>
                <w:szCs w:val="21"/>
                <w:highlight w:val="none"/>
              </w:rPr>
              <w:t>）</w:t>
            </w:r>
          </w:p>
          <w:p w14:paraId="20CF2EE1">
            <w:pPr>
              <w:keepNext w:val="0"/>
              <w:keepLines w:val="0"/>
              <w:suppressLineNumbers w:val="0"/>
              <w:snapToGrid w:val="0"/>
              <w:spacing w:before="0" w:beforeAutospacing="0" w:after="0" w:afterAutospacing="0" w:line="360" w:lineRule="auto"/>
              <w:ind w:left="0" w:right="0" w:firstLine="420" w:firstLineChars="200"/>
              <w:jc w:val="left"/>
              <w:rPr>
                <w:rFonts w:hint="default" w:ascii="宋体" w:hAnsi="宋体"/>
                <w:b/>
                <w:bCs/>
                <w:color w:val="auto"/>
                <w:szCs w:val="21"/>
                <w:highlight w:val="none"/>
              </w:rPr>
            </w:pPr>
            <w:r>
              <w:rPr>
                <w:rFonts w:hint="eastAsia" w:ascii="宋体" w:hAnsi="宋体" w:cs="宋体"/>
                <w:color w:val="auto"/>
                <w:szCs w:val="21"/>
                <w:highlight w:val="none"/>
                <w:lang w:val="en-US" w:eastAsia="zh-CN"/>
              </w:rPr>
              <w:t>8</w:t>
            </w:r>
            <w:r>
              <w:rPr>
                <w:rFonts w:hint="eastAsia" w:ascii="宋体" w:hAnsi="宋体" w:cs="宋体"/>
                <w:color w:val="auto"/>
                <w:szCs w:val="21"/>
                <w:highlight w:val="none"/>
              </w:rPr>
              <w:t>.</w:t>
            </w:r>
            <w:r>
              <w:rPr>
                <w:rFonts w:hint="eastAsia" w:ascii="宋体" w:hAnsi="宋体"/>
                <w:color w:val="auto"/>
                <w:szCs w:val="21"/>
                <w:highlight w:val="none"/>
              </w:rPr>
              <w:t>投标人有效的《保险许可证》或授权总公司的《保险许可证》复印件</w:t>
            </w:r>
            <w:r>
              <w:rPr>
                <w:rFonts w:hint="eastAsia" w:ascii="宋体" w:hAnsi="宋体"/>
                <w:i/>
                <w:color w:val="auto"/>
                <w:szCs w:val="21"/>
                <w:highlight w:val="none"/>
              </w:rPr>
              <w:t>；</w:t>
            </w:r>
            <w:r>
              <w:rPr>
                <w:rFonts w:hint="eastAsia" w:ascii="宋体" w:hAnsi="宋体"/>
                <w:b/>
                <w:bCs/>
                <w:color w:val="auto"/>
                <w:szCs w:val="21"/>
                <w:highlight w:val="none"/>
              </w:rPr>
              <w:t>（必须提供，否则按无效投标处理）</w:t>
            </w:r>
          </w:p>
          <w:p w14:paraId="6FD2CFD4">
            <w:pPr>
              <w:keepNext w:val="0"/>
              <w:keepLines w:val="0"/>
              <w:suppressLineNumbers w:val="0"/>
              <w:snapToGrid w:val="0"/>
              <w:spacing w:before="0" w:beforeAutospacing="0" w:after="0" w:afterAutospacing="0" w:line="360" w:lineRule="auto"/>
              <w:ind w:left="0" w:right="0" w:firstLine="420"/>
              <w:jc w:val="left"/>
              <w:rPr>
                <w:rFonts w:hint="eastAsia" w:ascii="宋体" w:hAnsi="宋体" w:eastAsia="宋体"/>
                <w:color w:val="auto"/>
                <w:szCs w:val="21"/>
                <w:highlight w:val="none"/>
                <w:lang w:val="en-US" w:eastAsia="zh-CN"/>
              </w:rPr>
            </w:pPr>
            <w:r>
              <w:rPr>
                <w:rFonts w:hint="eastAsia" w:ascii="宋体" w:hAnsi="宋体"/>
                <w:color w:val="auto"/>
                <w:szCs w:val="21"/>
                <w:highlight w:val="none"/>
                <w:lang w:val="en-US" w:eastAsia="zh-CN"/>
              </w:rPr>
              <w:t>9.如投标人为分公司等分支机构的，则应提供由其总公司出具相关授权书(含总公司的营业执照复印件)，并在授权书中明确总公司将相应承担其分公司等分支机构在本项目中的民事责任;</w:t>
            </w:r>
            <w:r>
              <w:rPr>
                <w:rFonts w:hint="eastAsia" w:ascii="宋体" w:hAnsi="宋体"/>
                <w:b/>
                <w:bCs/>
                <w:color w:val="auto"/>
                <w:szCs w:val="21"/>
                <w:highlight w:val="none"/>
                <w:lang w:val="en-US" w:eastAsia="zh-CN"/>
              </w:rPr>
              <w:t>（仅供总公司授权分公司投标时使用，投标文件中必须提供授权书，否则按无效投标处理；其他有独立法人资格的供应商不须提供）</w:t>
            </w:r>
          </w:p>
          <w:p w14:paraId="35D38D82">
            <w:pPr>
              <w:keepNext w:val="0"/>
              <w:keepLines w:val="0"/>
              <w:pageBreakBefore w:val="0"/>
              <w:widowControl w:val="0"/>
              <w:suppressLineNumbers w:val="0"/>
              <w:kinsoku/>
              <w:overflowPunct/>
              <w:topLinePunct w:val="0"/>
              <w:bidi w:val="0"/>
              <w:snapToGrid w:val="0"/>
              <w:spacing w:before="0" w:beforeAutospacing="0" w:after="0" w:afterAutospacing="0" w:line="400" w:lineRule="exact"/>
              <w:ind w:left="0" w:right="0" w:firstLine="420" w:firstLineChars="200"/>
              <w:rPr>
                <w:rFonts w:hint="eastAsia" w:ascii="宋体" w:hAnsi="宋体" w:cs="宋体"/>
                <w:b/>
                <w:color w:val="auto"/>
                <w:szCs w:val="21"/>
                <w:highlight w:val="none"/>
              </w:rPr>
            </w:pPr>
            <w:r>
              <w:rPr>
                <w:rFonts w:hint="eastAsia" w:ascii="宋体" w:hAnsi="宋体" w:cs="宋体"/>
                <w:color w:val="auto"/>
                <w:szCs w:val="21"/>
                <w:highlight w:val="none"/>
                <w:lang w:val="en-US" w:eastAsia="zh-CN"/>
              </w:rPr>
              <w:t>10</w:t>
            </w:r>
            <w:r>
              <w:rPr>
                <w:rFonts w:hint="eastAsia" w:ascii="宋体" w:hAnsi="宋体" w:cs="宋体"/>
                <w:color w:val="auto"/>
                <w:szCs w:val="21"/>
                <w:highlight w:val="none"/>
              </w:rPr>
              <w:t>.除招标文件规定必须提供以外，投标人认为需要提供的其他证明材料。（如有请提供）</w:t>
            </w:r>
          </w:p>
          <w:p w14:paraId="0073633A">
            <w:pPr>
              <w:keepNext w:val="0"/>
              <w:keepLines w:val="0"/>
              <w:pageBreakBefore w:val="0"/>
              <w:widowControl w:val="0"/>
              <w:suppressLineNumbers w:val="0"/>
              <w:kinsoku/>
              <w:overflowPunct/>
              <w:topLinePunct w:val="0"/>
              <w:bidi w:val="0"/>
              <w:snapToGrid w:val="0"/>
              <w:spacing w:before="0" w:beforeAutospacing="0" w:after="0" w:afterAutospacing="0" w:line="400" w:lineRule="exact"/>
              <w:ind w:left="0" w:right="0"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注：1.以上标明“必须提供”的材料的，必须加盖投标人电子签章，否则按无效投标处理。</w:t>
            </w:r>
            <w:r>
              <w:rPr>
                <w:rFonts w:hint="eastAsia" w:ascii="宋体" w:hAnsi="宋体" w:cs="宋体"/>
                <w:b/>
                <w:color w:val="auto"/>
                <w:szCs w:val="21"/>
                <w:highlight w:val="none"/>
              </w:rPr>
              <w:t>格式中有要求法定代表人或者委托代理人签字的，必须按要求签字（或是电子签名），并加盖供应商电子签章，否则</w:t>
            </w:r>
            <w:r>
              <w:rPr>
                <w:rFonts w:hint="eastAsia" w:ascii="宋体" w:hAnsi="宋体" w:cs="宋体"/>
                <w:b/>
                <w:color w:val="auto"/>
                <w:szCs w:val="21"/>
                <w:highlight w:val="none"/>
                <w:lang w:eastAsia="zh-CN"/>
              </w:rPr>
              <w:t>投标文件</w:t>
            </w:r>
            <w:r>
              <w:rPr>
                <w:rFonts w:hint="eastAsia" w:ascii="宋体" w:hAnsi="宋体" w:cs="宋体"/>
                <w:b/>
                <w:color w:val="auto"/>
                <w:szCs w:val="21"/>
                <w:highlight w:val="none"/>
              </w:rPr>
              <w:t>按无效处理。</w:t>
            </w:r>
          </w:p>
          <w:p w14:paraId="19E49276">
            <w:pPr>
              <w:keepNext w:val="0"/>
              <w:keepLines w:val="0"/>
              <w:pageBreakBefore w:val="0"/>
              <w:widowControl w:val="0"/>
              <w:suppressLineNumbers w:val="0"/>
              <w:kinsoku/>
              <w:overflowPunct/>
              <w:topLinePunct w:val="0"/>
              <w:bidi w:val="0"/>
              <w:snapToGrid w:val="0"/>
              <w:spacing w:before="0" w:beforeAutospacing="0" w:after="0" w:afterAutospacing="0" w:line="400" w:lineRule="exact"/>
              <w:ind w:left="0" w:right="0" w:firstLine="422" w:firstLineChars="200"/>
              <w:rPr>
                <w:rFonts w:hint="eastAsia" w:ascii="宋体" w:hAnsi="宋体" w:cs="宋体"/>
                <w:color w:val="auto"/>
                <w:szCs w:val="21"/>
                <w:highlight w:val="none"/>
              </w:rPr>
            </w:pPr>
            <w:r>
              <w:rPr>
                <w:rFonts w:hint="eastAsia" w:ascii="宋体" w:hAnsi="宋体" w:cs="宋体"/>
                <w:b/>
                <w:bCs/>
                <w:color w:val="auto"/>
                <w:szCs w:val="21"/>
                <w:highlight w:val="none"/>
              </w:rPr>
              <w:t>2.联合体投标时，第1-5项资格证明文件联合体各方均必须分别提供，</w:t>
            </w:r>
            <w:r>
              <w:rPr>
                <w:rFonts w:hint="eastAsia" w:ascii="宋体" w:hAnsi="宋体" w:cs="宋体"/>
                <w:b/>
                <w:color w:val="auto"/>
                <w:szCs w:val="21"/>
                <w:highlight w:val="none"/>
              </w:rPr>
              <w:t>并由联合体牵头人加盖电子签章</w:t>
            </w:r>
            <w:r>
              <w:rPr>
                <w:rFonts w:hint="eastAsia" w:ascii="宋体" w:hAnsi="宋体" w:cs="宋体"/>
                <w:b/>
                <w:color w:val="auto"/>
                <w:szCs w:val="21"/>
                <w:highlight w:val="none"/>
                <w:lang w:eastAsia="zh-CN"/>
              </w:rPr>
              <w:t>，在</w:t>
            </w:r>
            <w:r>
              <w:rPr>
                <w:rFonts w:hint="eastAsia" w:ascii="宋体" w:hAnsi="宋体" w:cs="宋体"/>
                <w:b/>
                <w:color w:val="auto"/>
                <w:szCs w:val="21"/>
                <w:highlight w:val="none"/>
              </w:rPr>
              <w:t>规定签字处签字</w:t>
            </w:r>
            <w:r>
              <w:rPr>
                <w:rFonts w:hint="eastAsia" w:ascii="宋体" w:hAnsi="宋体" w:cs="宋体"/>
                <w:b/>
                <w:bCs/>
                <w:color w:val="auto"/>
                <w:szCs w:val="21"/>
                <w:highlight w:val="none"/>
              </w:rPr>
              <w:t>（或者电子签名），否则按无效投标</w:t>
            </w:r>
            <w:r>
              <w:rPr>
                <w:rFonts w:hint="eastAsia" w:ascii="宋体" w:hAnsi="宋体" w:cs="宋体"/>
                <w:b/>
                <w:color w:val="auto"/>
                <w:szCs w:val="21"/>
                <w:highlight w:val="none"/>
              </w:rPr>
              <w:t>处理</w:t>
            </w:r>
            <w:r>
              <w:rPr>
                <w:rFonts w:hint="eastAsia" w:ascii="宋体" w:hAnsi="宋体" w:cs="宋体"/>
                <w:b/>
                <w:color w:val="auto"/>
                <w:szCs w:val="21"/>
                <w:highlight w:val="none"/>
                <w:lang w:val="en-US" w:eastAsia="zh-CN"/>
              </w:rPr>
              <w:t>(</w:t>
            </w:r>
            <w:r>
              <w:rPr>
                <w:rFonts w:hint="eastAsia" w:ascii="宋体" w:hAnsi="宋体" w:cs="宋体"/>
                <w:b/>
                <w:color w:val="auto"/>
                <w:szCs w:val="21"/>
                <w:highlight w:val="none"/>
                <w:lang w:eastAsia="zh-CN"/>
              </w:rPr>
              <w:t>本项目不适用本条</w:t>
            </w:r>
            <w:r>
              <w:rPr>
                <w:rFonts w:hint="eastAsia" w:ascii="宋体" w:hAnsi="宋体" w:cs="宋体"/>
                <w:b/>
                <w:color w:val="auto"/>
                <w:szCs w:val="21"/>
                <w:highlight w:val="none"/>
                <w:lang w:val="en-US" w:eastAsia="zh-CN"/>
              </w:rPr>
              <w:t>)</w:t>
            </w:r>
            <w:r>
              <w:rPr>
                <w:rFonts w:hint="eastAsia" w:ascii="宋体" w:hAnsi="宋体" w:cs="宋体"/>
                <w:b/>
                <w:bCs/>
                <w:color w:val="auto"/>
                <w:szCs w:val="21"/>
                <w:highlight w:val="none"/>
              </w:rPr>
              <w:t>。</w:t>
            </w:r>
          </w:p>
        </w:tc>
      </w:tr>
      <w:tr w14:paraId="31E78A9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78" w:type="dxa"/>
            <w:vMerge w:val="continue"/>
            <w:tcBorders>
              <w:left w:val="single" w:color="auto" w:sz="4" w:space="0"/>
              <w:right w:val="single" w:color="auto" w:sz="4" w:space="0"/>
            </w:tcBorders>
            <w:noWrap w:val="0"/>
            <w:vAlign w:val="center"/>
          </w:tcPr>
          <w:p w14:paraId="77C1051C">
            <w:pPr>
              <w:keepNext w:val="0"/>
              <w:keepLines w:val="0"/>
              <w:pageBreakBefore w:val="0"/>
              <w:widowControl w:val="0"/>
              <w:suppressLineNumbers w:val="0"/>
              <w:kinsoku/>
              <w:overflowPunct/>
              <w:topLinePunct w:val="0"/>
              <w:bidi w:val="0"/>
              <w:spacing w:before="0" w:beforeAutospacing="0" w:after="0" w:afterAutospacing="0" w:line="400" w:lineRule="exact"/>
              <w:ind w:left="0" w:right="0"/>
              <w:rPr>
                <w:rFonts w:hint="eastAsia" w:ascii="宋体" w:hAnsi="宋体" w:cs="宋体"/>
                <w:color w:val="auto"/>
                <w:szCs w:val="21"/>
                <w:highlight w:val="none"/>
              </w:rPr>
            </w:pPr>
            <w:bookmarkStart w:id="67" w:name="_13.3"/>
            <w:bookmarkEnd w:id="67"/>
          </w:p>
        </w:tc>
        <w:tc>
          <w:tcPr>
            <w:tcW w:w="8175" w:type="dxa"/>
            <w:tcBorders>
              <w:top w:val="single" w:color="auto" w:sz="4" w:space="0"/>
              <w:left w:val="single" w:color="auto" w:sz="4" w:space="0"/>
              <w:bottom w:val="single" w:color="auto" w:sz="4" w:space="0"/>
              <w:right w:val="single" w:color="auto" w:sz="4" w:space="0"/>
            </w:tcBorders>
            <w:noWrap w:val="0"/>
            <w:vAlign w:val="center"/>
          </w:tcPr>
          <w:p w14:paraId="214D7FD7">
            <w:pPr>
              <w:keepNext w:val="0"/>
              <w:keepLines w:val="0"/>
              <w:pageBreakBefore w:val="0"/>
              <w:widowControl w:val="0"/>
              <w:suppressLineNumbers w:val="0"/>
              <w:kinsoku/>
              <w:overflowPunct/>
              <w:topLinePunct w:val="0"/>
              <w:bidi w:val="0"/>
              <w:snapToGrid w:val="0"/>
              <w:spacing w:before="0" w:beforeAutospacing="0" w:after="0" w:afterAutospacing="0" w:line="400" w:lineRule="exact"/>
              <w:ind w:left="0" w:right="0"/>
              <w:rPr>
                <w:rFonts w:hint="eastAsia" w:ascii="宋体" w:hAnsi="宋体" w:cs="宋体"/>
                <w:b/>
                <w:color w:val="auto"/>
                <w:szCs w:val="21"/>
                <w:highlight w:val="none"/>
              </w:rPr>
            </w:pPr>
            <w:r>
              <w:rPr>
                <w:rFonts w:hint="eastAsia" w:ascii="宋体" w:hAnsi="宋体" w:cs="宋体"/>
                <w:b/>
                <w:color w:val="auto"/>
                <w:kern w:val="0"/>
                <w:szCs w:val="21"/>
                <w:highlight w:val="none"/>
              </w:rPr>
              <w:t>商务及技术文件</w:t>
            </w:r>
            <w:r>
              <w:rPr>
                <w:rFonts w:hint="eastAsia" w:ascii="宋体" w:hAnsi="宋体" w:cs="宋体"/>
                <w:b/>
                <w:color w:val="auto"/>
                <w:szCs w:val="21"/>
                <w:highlight w:val="none"/>
              </w:rPr>
              <w:t>：</w:t>
            </w:r>
          </w:p>
          <w:p w14:paraId="1EDBE16B">
            <w:pPr>
              <w:pStyle w:val="34"/>
              <w:keepNext w:val="0"/>
              <w:keepLines w:val="0"/>
              <w:pageBreakBefore w:val="0"/>
              <w:widowControl w:val="0"/>
              <w:suppressLineNumbers w:val="0"/>
              <w:kinsoku/>
              <w:overflowPunct/>
              <w:topLinePunct w:val="0"/>
              <w:bidi w:val="0"/>
              <w:spacing w:before="0" w:beforeAutospacing="0" w:after="0" w:afterAutospacing="0" w:line="400" w:lineRule="exact"/>
              <w:ind w:left="0" w:right="0" w:firstLine="422"/>
              <w:rPr>
                <w:rFonts w:hint="eastAsia" w:hAnsi="宋体" w:cs="宋体"/>
                <w:color w:val="auto"/>
                <w:szCs w:val="21"/>
                <w:highlight w:val="none"/>
              </w:rPr>
            </w:pPr>
            <w:r>
              <w:rPr>
                <w:rFonts w:hint="eastAsia" w:hAnsi="宋体" w:cs="宋体"/>
                <w:color w:val="auto"/>
                <w:szCs w:val="21"/>
                <w:highlight w:val="none"/>
              </w:rPr>
              <w:t>商务文件：</w:t>
            </w:r>
          </w:p>
          <w:p w14:paraId="7F0EA0CB">
            <w:pPr>
              <w:keepNext w:val="0"/>
              <w:keepLines w:val="0"/>
              <w:pageBreakBefore w:val="0"/>
              <w:widowControl w:val="0"/>
              <w:suppressLineNumbers w:val="0"/>
              <w:kinsoku/>
              <w:overflowPunct/>
              <w:topLinePunct w:val="0"/>
              <w:bidi w:val="0"/>
              <w:snapToGrid w:val="0"/>
              <w:spacing w:before="0" w:beforeAutospacing="0" w:after="0" w:afterAutospacing="0" w:line="400" w:lineRule="exact"/>
              <w:ind w:left="0" w:right="0" w:firstLine="420" w:firstLineChars="200"/>
              <w:rPr>
                <w:rFonts w:hint="eastAsia" w:ascii="宋体" w:hAnsi="宋体" w:cs="宋体"/>
                <w:color w:val="auto"/>
                <w:szCs w:val="21"/>
                <w:highlight w:val="none"/>
              </w:rPr>
            </w:pPr>
            <w:r>
              <w:rPr>
                <w:rFonts w:hint="eastAsia" w:ascii="宋体" w:hAnsi="宋体" w:cs="宋体"/>
                <w:color w:val="auto"/>
                <w:szCs w:val="21"/>
                <w:highlight w:val="none"/>
              </w:rPr>
              <w:t>1.无串通投标行为的承诺函（格式后附）；（</w:t>
            </w:r>
            <w:r>
              <w:rPr>
                <w:rFonts w:hint="eastAsia" w:ascii="宋体" w:hAnsi="宋体" w:cs="宋体"/>
                <w:b/>
                <w:color w:val="auto"/>
                <w:szCs w:val="21"/>
                <w:highlight w:val="none"/>
              </w:rPr>
              <w:t>必须提供，否则按无效投标处理</w:t>
            </w:r>
            <w:r>
              <w:rPr>
                <w:rFonts w:hint="eastAsia" w:ascii="宋体" w:hAnsi="宋体" w:cs="宋体"/>
                <w:color w:val="auto"/>
                <w:szCs w:val="21"/>
                <w:highlight w:val="none"/>
              </w:rPr>
              <w:t>）</w:t>
            </w:r>
          </w:p>
          <w:p w14:paraId="397B6E69">
            <w:pPr>
              <w:keepNext w:val="0"/>
              <w:keepLines w:val="0"/>
              <w:pageBreakBefore w:val="0"/>
              <w:widowControl w:val="0"/>
              <w:suppressLineNumbers w:val="0"/>
              <w:kinsoku/>
              <w:overflowPunct/>
              <w:topLinePunct w:val="0"/>
              <w:bidi w:val="0"/>
              <w:snapToGrid w:val="0"/>
              <w:spacing w:before="0" w:beforeAutospacing="0" w:after="0" w:afterAutospacing="0" w:line="400" w:lineRule="exact"/>
              <w:ind w:left="0" w:right="0" w:firstLine="420" w:firstLineChars="200"/>
              <w:rPr>
                <w:rFonts w:hint="eastAsia" w:ascii="宋体" w:hAnsi="宋体" w:cs="宋体"/>
                <w:color w:val="auto"/>
                <w:szCs w:val="21"/>
                <w:highlight w:val="none"/>
              </w:rPr>
            </w:pPr>
            <w:r>
              <w:rPr>
                <w:rFonts w:hint="eastAsia" w:ascii="宋体" w:hAnsi="宋体" w:cs="宋体"/>
                <w:color w:val="auto"/>
                <w:szCs w:val="21"/>
                <w:highlight w:val="none"/>
              </w:rPr>
              <w:t>2.投标保证金缴纳证明；（</w:t>
            </w:r>
            <w:r>
              <w:rPr>
                <w:rFonts w:hint="eastAsia" w:ascii="宋体" w:hAnsi="宋体" w:cs="宋体"/>
                <w:b/>
                <w:bCs/>
                <w:color w:val="auto"/>
                <w:szCs w:val="21"/>
                <w:highlight w:val="none"/>
              </w:rPr>
              <w:t>必须提供</w:t>
            </w:r>
            <w:r>
              <w:rPr>
                <w:rFonts w:hint="eastAsia" w:ascii="宋体" w:hAnsi="宋体" w:cs="宋体"/>
                <w:b/>
                <w:color w:val="auto"/>
                <w:szCs w:val="21"/>
                <w:highlight w:val="none"/>
              </w:rPr>
              <w:t>，否则按无效投标处理</w:t>
            </w:r>
            <w:r>
              <w:rPr>
                <w:rFonts w:hint="eastAsia" w:ascii="宋体" w:hAnsi="宋体" w:cs="宋体"/>
                <w:color w:val="auto"/>
                <w:szCs w:val="21"/>
                <w:highlight w:val="none"/>
              </w:rPr>
              <w:t>）</w:t>
            </w:r>
          </w:p>
          <w:p w14:paraId="14EF0963">
            <w:pPr>
              <w:keepNext w:val="0"/>
              <w:keepLines w:val="0"/>
              <w:pageBreakBefore w:val="0"/>
              <w:widowControl w:val="0"/>
              <w:suppressLineNumbers w:val="0"/>
              <w:kinsoku/>
              <w:overflowPunct/>
              <w:topLinePunct w:val="0"/>
              <w:bidi w:val="0"/>
              <w:snapToGrid w:val="0"/>
              <w:spacing w:before="0" w:beforeAutospacing="0" w:after="0" w:afterAutospacing="0" w:line="400" w:lineRule="exact"/>
              <w:ind w:left="0" w:right="0" w:firstLine="420" w:firstLineChars="200"/>
              <w:rPr>
                <w:rFonts w:hint="eastAsia" w:ascii="宋体" w:hAnsi="宋体" w:cs="宋体"/>
                <w:color w:val="auto"/>
                <w:szCs w:val="21"/>
                <w:highlight w:val="none"/>
              </w:rPr>
            </w:pPr>
            <w:r>
              <w:rPr>
                <w:rFonts w:hint="eastAsia" w:ascii="宋体" w:hAnsi="宋体" w:cs="宋体"/>
                <w:color w:val="auto"/>
                <w:szCs w:val="21"/>
                <w:highlight w:val="none"/>
              </w:rPr>
              <w:t>3.法定代表人身份证明及法定代表人有效身份证正反面复印件（格式后附）；（</w:t>
            </w:r>
            <w:r>
              <w:rPr>
                <w:rFonts w:hint="eastAsia" w:ascii="宋体" w:hAnsi="宋体" w:cs="宋体"/>
                <w:b/>
                <w:bCs/>
                <w:color w:val="auto"/>
                <w:szCs w:val="21"/>
                <w:highlight w:val="none"/>
              </w:rPr>
              <w:t>除自然人投标外</w:t>
            </w:r>
            <w:r>
              <w:rPr>
                <w:rFonts w:hint="eastAsia" w:ascii="宋体" w:hAnsi="宋体" w:cs="宋体"/>
                <w:b/>
                <w:color w:val="auto"/>
                <w:szCs w:val="21"/>
                <w:highlight w:val="none"/>
              </w:rPr>
              <w:t>必须提供，否则按无效投标处理</w:t>
            </w:r>
            <w:r>
              <w:rPr>
                <w:rFonts w:hint="eastAsia" w:ascii="宋体" w:hAnsi="宋体" w:cs="宋体"/>
                <w:color w:val="auto"/>
                <w:szCs w:val="21"/>
                <w:highlight w:val="none"/>
              </w:rPr>
              <w:t>）</w:t>
            </w:r>
          </w:p>
          <w:p w14:paraId="35F573CE">
            <w:pPr>
              <w:keepNext w:val="0"/>
              <w:keepLines w:val="0"/>
              <w:pageBreakBefore w:val="0"/>
              <w:widowControl w:val="0"/>
              <w:suppressLineNumbers w:val="0"/>
              <w:kinsoku/>
              <w:overflowPunct/>
              <w:topLinePunct w:val="0"/>
              <w:bidi w:val="0"/>
              <w:snapToGrid w:val="0"/>
              <w:spacing w:before="0" w:beforeAutospacing="0" w:after="0" w:afterAutospacing="0" w:line="400" w:lineRule="exact"/>
              <w:ind w:left="0" w:right="0" w:firstLine="420" w:firstLineChars="200"/>
              <w:rPr>
                <w:rFonts w:hint="eastAsia" w:ascii="宋体" w:hAnsi="宋体" w:cs="宋体"/>
                <w:color w:val="auto"/>
                <w:szCs w:val="21"/>
                <w:highlight w:val="none"/>
              </w:rPr>
            </w:pPr>
            <w:r>
              <w:rPr>
                <w:rFonts w:hint="eastAsia" w:ascii="宋体" w:hAnsi="宋体" w:cs="宋体"/>
                <w:color w:val="auto"/>
                <w:szCs w:val="21"/>
                <w:highlight w:val="none"/>
              </w:rPr>
              <w:t>4.授权委托书及委托代理人有效身份证正反面复印件（格式后附）；（</w:t>
            </w:r>
            <w:r>
              <w:rPr>
                <w:rFonts w:hint="eastAsia" w:ascii="宋体" w:hAnsi="宋体" w:cs="宋体"/>
                <w:b/>
                <w:color w:val="auto"/>
                <w:szCs w:val="21"/>
                <w:highlight w:val="none"/>
              </w:rPr>
              <w:t>委托时必须提供，否则按无效投标处理</w:t>
            </w:r>
            <w:r>
              <w:rPr>
                <w:rFonts w:hint="eastAsia" w:ascii="宋体" w:hAnsi="宋体" w:cs="宋体"/>
                <w:color w:val="auto"/>
                <w:szCs w:val="21"/>
                <w:highlight w:val="none"/>
              </w:rPr>
              <w:t>）</w:t>
            </w:r>
          </w:p>
          <w:p w14:paraId="1544CE00">
            <w:pPr>
              <w:keepNext w:val="0"/>
              <w:keepLines w:val="0"/>
              <w:pageBreakBefore w:val="0"/>
              <w:widowControl w:val="0"/>
              <w:suppressLineNumbers w:val="0"/>
              <w:kinsoku/>
              <w:overflowPunct/>
              <w:topLinePunct w:val="0"/>
              <w:bidi w:val="0"/>
              <w:snapToGrid w:val="0"/>
              <w:spacing w:before="0" w:beforeAutospacing="0" w:after="0" w:afterAutospacing="0" w:line="400" w:lineRule="exact"/>
              <w:ind w:left="0" w:right="0" w:firstLine="420" w:firstLineChars="200"/>
              <w:rPr>
                <w:rFonts w:hint="eastAsia" w:ascii="宋体" w:hAnsi="宋体" w:cs="宋体"/>
                <w:color w:val="auto"/>
                <w:szCs w:val="21"/>
                <w:highlight w:val="none"/>
              </w:rPr>
            </w:pPr>
            <w:r>
              <w:rPr>
                <w:rFonts w:hint="eastAsia" w:ascii="宋体" w:hAnsi="宋体" w:cs="宋体"/>
                <w:color w:val="auto"/>
                <w:szCs w:val="21"/>
                <w:highlight w:val="none"/>
              </w:rPr>
              <w:t>5.商务要求偏离表（格式后附）；（</w:t>
            </w:r>
            <w:r>
              <w:rPr>
                <w:rFonts w:hint="eastAsia" w:ascii="宋体" w:hAnsi="宋体" w:cs="宋体"/>
                <w:b/>
                <w:color w:val="auto"/>
                <w:szCs w:val="21"/>
                <w:highlight w:val="none"/>
              </w:rPr>
              <w:t>必须提供，否则按无效投标处理</w:t>
            </w:r>
            <w:r>
              <w:rPr>
                <w:rFonts w:hint="eastAsia" w:ascii="宋体" w:hAnsi="宋体" w:cs="宋体"/>
                <w:color w:val="auto"/>
                <w:szCs w:val="21"/>
                <w:highlight w:val="none"/>
              </w:rPr>
              <w:t>）</w:t>
            </w:r>
          </w:p>
          <w:p w14:paraId="46097A41">
            <w:pPr>
              <w:keepNext w:val="0"/>
              <w:keepLines w:val="0"/>
              <w:pageBreakBefore w:val="0"/>
              <w:widowControl w:val="0"/>
              <w:suppressLineNumbers w:val="0"/>
              <w:kinsoku/>
              <w:overflowPunct/>
              <w:topLinePunct w:val="0"/>
              <w:bidi w:val="0"/>
              <w:snapToGrid w:val="0"/>
              <w:spacing w:before="0" w:beforeAutospacing="0" w:after="0" w:afterAutospacing="0" w:line="400" w:lineRule="exact"/>
              <w:ind w:left="0" w:right="0" w:firstLine="420" w:firstLineChars="200"/>
              <w:rPr>
                <w:rFonts w:hint="eastAsia" w:ascii="宋体" w:hAnsi="宋体" w:cs="宋体"/>
                <w:color w:val="auto"/>
                <w:szCs w:val="21"/>
                <w:highlight w:val="none"/>
              </w:rPr>
            </w:pPr>
            <w:r>
              <w:rPr>
                <w:rFonts w:hint="eastAsia" w:ascii="宋体" w:hAnsi="宋体" w:cs="宋体"/>
                <w:color w:val="auto"/>
                <w:szCs w:val="21"/>
                <w:highlight w:val="none"/>
              </w:rPr>
              <w:t>6.售后服务承诺（格式自拟）；（</w:t>
            </w:r>
            <w:r>
              <w:rPr>
                <w:rFonts w:hint="eastAsia" w:ascii="宋体" w:hAnsi="宋体" w:cs="宋体"/>
                <w:b/>
                <w:color w:val="auto"/>
                <w:szCs w:val="21"/>
                <w:highlight w:val="none"/>
              </w:rPr>
              <w:t>必须提供，否则按无效投标处理</w:t>
            </w:r>
            <w:r>
              <w:rPr>
                <w:rFonts w:hint="eastAsia" w:ascii="宋体" w:hAnsi="宋体" w:cs="宋体"/>
                <w:color w:val="auto"/>
                <w:szCs w:val="21"/>
                <w:highlight w:val="none"/>
              </w:rPr>
              <w:t>）</w:t>
            </w:r>
          </w:p>
          <w:p w14:paraId="0F58CAC3">
            <w:pPr>
              <w:keepNext w:val="0"/>
              <w:keepLines w:val="0"/>
              <w:pageBreakBefore w:val="0"/>
              <w:widowControl w:val="0"/>
              <w:suppressLineNumbers w:val="0"/>
              <w:kinsoku/>
              <w:overflowPunct/>
              <w:topLinePunct w:val="0"/>
              <w:bidi w:val="0"/>
              <w:snapToGrid w:val="0"/>
              <w:spacing w:before="0" w:beforeAutospacing="0" w:after="0" w:afterAutospacing="0" w:line="400" w:lineRule="exact"/>
              <w:ind w:left="0" w:right="0" w:firstLine="420" w:firstLineChars="200"/>
              <w:rPr>
                <w:rFonts w:hint="eastAsia" w:ascii="宋体" w:hAnsi="宋体" w:cs="宋体"/>
                <w:color w:val="auto"/>
                <w:szCs w:val="21"/>
                <w:highlight w:val="none"/>
              </w:rPr>
            </w:pPr>
            <w:r>
              <w:rPr>
                <w:rFonts w:hint="eastAsia" w:ascii="宋体" w:hAnsi="宋体" w:cs="宋体"/>
                <w:color w:val="auto"/>
                <w:szCs w:val="21"/>
                <w:highlight w:val="none"/>
              </w:rPr>
              <w:t>7.投标人情况介绍（格式自拟）；（如有请提供）</w:t>
            </w:r>
          </w:p>
          <w:p w14:paraId="7F8F1153">
            <w:pPr>
              <w:keepNext w:val="0"/>
              <w:keepLines w:val="0"/>
              <w:pageBreakBefore w:val="0"/>
              <w:widowControl w:val="0"/>
              <w:suppressLineNumbers w:val="0"/>
              <w:kinsoku/>
              <w:overflowPunct/>
              <w:topLinePunct w:val="0"/>
              <w:bidi w:val="0"/>
              <w:snapToGrid w:val="0"/>
              <w:spacing w:before="0" w:beforeAutospacing="0" w:after="0" w:afterAutospacing="0" w:line="400" w:lineRule="exact"/>
              <w:ind w:left="0" w:right="0" w:firstLine="420" w:firstLineChars="200"/>
              <w:rPr>
                <w:rFonts w:hint="eastAsia" w:ascii="宋体" w:hAnsi="宋体" w:cs="宋体"/>
                <w:color w:val="auto"/>
                <w:szCs w:val="21"/>
                <w:highlight w:val="none"/>
              </w:rPr>
            </w:pPr>
            <w:r>
              <w:rPr>
                <w:rFonts w:hint="eastAsia" w:ascii="宋体" w:hAnsi="宋体" w:cs="宋体"/>
                <w:color w:val="auto"/>
                <w:szCs w:val="21"/>
                <w:highlight w:val="none"/>
              </w:rPr>
              <w:t>8.投标人业绩证明材料（格式后附）；（如有请提供）</w:t>
            </w:r>
          </w:p>
          <w:p w14:paraId="2EB265DC">
            <w:pPr>
              <w:keepNext w:val="0"/>
              <w:keepLines w:val="0"/>
              <w:pageBreakBefore w:val="0"/>
              <w:widowControl w:val="0"/>
              <w:suppressLineNumbers w:val="0"/>
              <w:kinsoku/>
              <w:overflowPunct/>
              <w:topLinePunct w:val="0"/>
              <w:bidi w:val="0"/>
              <w:snapToGrid w:val="0"/>
              <w:spacing w:before="0" w:beforeAutospacing="0" w:after="0" w:afterAutospacing="0" w:line="400" w:lineRule="exact"/>
              <w:ind w:left="0" w:right="0" w:firstLine="420" w:firstLineChars="200"/>
              <w:rPr>
                <w:rFonts w:hint="eastAsia" w:ascii="宋体" w:hAnsi="宋体" w:cs="宋体"/>
                <w:color w:val="auto"/>
                <w:szCs w:val="21"/>
                <w:highlight w:val="none"/>
              </w:rPr>
            </w:pPr>
            <w:r>
              <w:rPr>
                <w:rFonts w:hint="eastAsia" w:ascii="宋体" w:hAnsi="宋体" w:cs="宋体"/>
                <w:color w:val="auto"/>
                <w:szCs w:val="21"/>
                <w:highlight w:val="none"/>
              </w:rPr>
              <w:t>9.除招标文件规定必须提供以外，投标人认为需要提供的其他证明材料（格式自拟）。（投标人根据“第二章 采购需求”及“第四章 评标方法及评标标准”提供有关证明材料）。（如有请提供）</w:t>
            </w:r>
          </w:p>
          <w:p w14:paraId="71C6A874">
            <w:pPr>
              <w:pStyle w:val="34"/>
              <w:keepNext w:val="0"/>
              <w:keepLines w:val="0"/>
              <w:pageBreakBefore w:val="0"/>
              <w:widowControl w:val="0"/>
              <w:suppressLineNumbers w:val="0"/>
              <w:kinsoku/>
              <w:overflowPunct/>
              <w:topLinePunct w:val="0"/>
              <w:bidi w:val="0"/>
              <w:spacing w:before="0" w:beforeAutospacing="0" w:after="0" w:afterAutospacing="0" w:line="400" w:lineRule="exact"/>
              <w:ind w:left="0" w:right="0" w:firstLine="422"/>
              <w:rPr>
                <w:rFonts w:hint="eastAsia" w:hAnsi="宋体" w:cs="宋体"/>
                <w:color w:val="auto"/>
                <w:szCs w:val="21"/>
                <w:highlight w:val="none"/>
              </w:rPr>
            </w:pPr>
            <w:r>
              <w:rPr>
                <w:rFonts w:hint="eastAsia" w:hAnsi="宋体" w:cs="宋体"/>
                <w:color w:val="auto"/>
                <w:szCs w:val="21"/>
                <w:highlight w:val="none"/>
              </w:rPr>
              <w:t>技术文件：</w:t>
            </w:r>
          </w:p>
          <w:p w14:paraId="4C2E7406">
            <w:pPr>
              <w:keepNext w:val="0"/>
              <w:keepLines w:val="0"/>
              <w:pageBreakBefore w:val="0"/>
              <w:widowControl w:val="0"/>
              <w:suppressLineNumbers w:val="0"/>
              <w:kinsoku/>
              <w:overflowPunct/>
              <w:topLinePunct w:val="0"/>
              <w:bidi w:val="0"/>
              <w:snapToGrid w:val="0"/>
              <w:spacing w:before="0" w:beforeAutospacing="0" w:after="0" w:afterAutospacing="0" w:line="400" w:lineRule="exact"/>
              <w:ind w:left="0" w:right="0" w:firstLine="420" w:firstLineChars="200"/>
              <w:rPr>
                <w:rFonts w:hint="eastAsia" w:ascii="宋体" w:hAnsi="宋体" w:cs="宋体"/>
                <w:color w:val="auto"/>
                <w:szCs w:val="21"/>
                <w:highlight w:val="none"/>
              </w:rPr>
            </w:pPr>
            <w:r>
              <w:rPr>
                <w:rFonts w:hint="eastAsia" w:ascii="宋体" w:hAnsi="宋体" w:cs="宋体"/>
                <w:color w:val="auto"/>
                <w:szCs w:val="21"/>
                <w:highlight w:val="none"/>
              </w:rPr>
              <w:t>1.技术要求偏离表（格式后附）；（</w:t>
            </w:r>
            <w:r>
              <w:rPr>
                <w:rFonts w:hint="eastAsia" w:ascii="宋体" w:hAnsi="宋体" w:cs="宋体"/>
                <w:b/>
                <w:color w:val="auto"/>
                <w:szCs w:val="21"/>
                <w:highlight w:val="none"/>
              </w:rPr>
              <w:t>必须提供，否则按无效投标处理</w:t>
            </w:r>
            <w:r>
              <w:rPr>
                <w:rFonts w:hint="eastAsia" w:ascii="宋体" w:hAnsi="宋体" w:cs="宋体"/>
                <w:color w:val="auto"/>
                <w:szCs w:val="21"/>
                <w:highlight w:val="none"/>
              </w:rPr>
              <w:t>）</w:t>
            </w:r>
          </w:p>
          <w:p w14:paraId="74C0FF79">
            <w:pPr>
              <w:keepNext w:val="0"/>
              <w:keepLines w:val="0"/>
              <w:pageBreakBefore w:val="0"/>
              <w:widowControl w:val="0"/>
              <w:suppressLineNumbers w:val="0"/>
              <w:kinsoku/>
              <w:overflowPunct/>
              <w:topLinePunct w:val="0"/>
              <w:bidi w:val="0"/>
              <w:snapToGrid w:val="0"/>
              <w:spacing w:before="0" w:beforeAutospacing="0" w:after="0" w:afterAutospacing="0" w:line="400" w:lineRule="exact"/>
              <w:ind w:left="0" w:right="0" w:firstLine="420" w:firstLineChars="200"/>
              <w:rPr>
                <w:rFonts w:hint="eastAsia" w:ascii="宋体" w:hAnsi="宋体" w:cs="宋体"/>
                <w:color w:val="auto"/>
                <w:szCs w:val="21"/>
                <w:highlight w:val="none"/>
              </w:rPr>
            </w:pPr>
            <w:r>
              <w:rPr>
                <w:rFonts w:hint="eastAsia" w:ascii="宋体" w:hAnsi="宋体" w:cs="宋体"/>
                <w:color w:val="auto"/>
                <w:szCs w:val="21"/>
                <w:highlight w:val="none"/>
              </w:rPr>
              <w:t>2.服务实施方案（格式自拟）；（</w:t>
            </w:r>
            <w:r>
              <w:rPr>
                <w:rFonts w:hint="eastAsia" w:ascii="宋体" w:hAnsi="宋体" w:cs="宋体"/>
                <w:b/>
                <w:color w:val="auto"/>
                <w:szCs w:val="21"/>
                <w:highlight w:val="none"/>
              </w:rPr>
              <w:t>必须提供，否则按无效投标处理</w:t>
            </w:r>
            <w:r>
              <w:rPr>
                <w:rFonts w:hint="eastAsia" w:ascii="宋体" w:hAnsi="宋体" w:cs="宋体"/>
                <w:color w:val="auto"/>
                <w:szCs w:val="21"/>
                <w:highlight w:val="none"/>
              </w:rPr>
              <w:t>）</w:t>
            </w:r>
          </w:p>
          <w:p w14:paraId="4188C451">
            <w:pPr>
              <w:keepNext w:val="0"/>
              <w:keepLines w:val="0"/>
              <w:pageBreakBefore w:val="0"/>
              <w:widowControl w:val="0"/>
              <w:suppressLineNumbers w:val="0"/>
              <w:kinsoku/>
              <w:overflowPunct/>
              <w:topLinePunct w:val="0"/>
              <w:bidi w:val="0"/>
              <w:snapToGrid w:val="0"/>
              <w:spacing w:before="0" w:beforeAutospacing="0" w:after="0" w:afterAutospacing="0" w:line="400" w:lineRule="exact"/>
              <w:ind w:left="0" w:right="0" w:firstLine="420" w:firstLineChars="200"/>
              <w:rPr>
                <w:rFonts w:hint="eastAsia" w:ascii="宋体" w:hAnsi="宋体" w:cs="宋体"/>
                <w:color w:val="auto"/>
                <w:szCs w:val="21"/>
                <w:highlight w:val="none"/>
              </w:rPr>
            </w:pPr>
            <w:r>
              <w:rPr>
                <w:rFonts w:hint="eastAsia" w:ascii="宋体" w:hAnsi="宋体" w:cs="宋体"/>
                <w:color w:val="auto"/>
                <w:szCs w:val="21"/>
                <w:highlight w:val="none"/>
              </w:rPr>
              <w:t>3.项目实施人员一览表（格式后附）；（</w:t>
            </w:r>
            <w:r>
              <w:rPr>
                <w:rFonts w:hint="eastAsia" w:ascii="宋体" w:hAnsi="宋体" w:cs="宋体"/>
                <w:b/>
                <w:color w:val="auto"/>
                <w:szCs w:val="21"/>
                <w:highlight w:val="none"/>
              </w:rPr>
              <w:t>必须提供，否则按无效投标处理</w:t>
            </w:r>
            <w:r>
              <w:rPr>
                <w:rFonts w:hint="eastAsia" w:ascii="宋体" w:hAnsi="宋体" w:cs="宋体"/>
                <w:color w:val="auto"/>
                <w:szCs w:val="21"/>
                <w:highlight w:val="none"/>
              </w:rPr>
              <w:t>）</w:t>
            </w:r>
          </w:p>
          <w:p w14:paraId="308392E3">
            <w:pPr>
              <w:keepNext w:val="0"/>
              <w:keepLines w:val="0"/>
              <w:pageBreakBefore w:val="0"/>
              <w:widowControl w:val="0"/>
              <w:suppressLineNumbers w:val="0"/>
              <w:kinsoku/>
              <w:overflowPunct/>
              <w:topLinePunct w:val="0"/>
              <w:bidi w:val="0"/>
              <w:snapToGrid w:val="0"/>
              <w:spacing w:before="0" w:beforeAutospacing="0" w:after="0" w:afterAutospacing="0" w:line="400" w:lineRule="exact"/>
              <w:ind w:left="0" w:right="0" w:firstLine="420" w:firstLineChars="200"/>
              <w:rPr>
                <w:rFonts w:hint="eastAsia" w:ascii="宋体" w:hAnsi="宋体" w:cs="宋体"/>
                <w:color w:val="auto"/>
                <w:szCs w:val="21"/>
                <w:highlight w:val="none"/>
              </w:rPr>
            </w:pP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.保险业务管理规章制度； （如有请提供）</w:t>
            </w:r>
          </w:p>
          <w:p w14:paraId="358308C6">
            <w:pPr>
              <w:keepNext w:val="0"/>
              <w:keepLines w:val="0"/>
              <w:pageBreakBefore w:val="0"/>
              <w:widowControl w:val="0"/>
              <w:suppressLineNumbers w:val="0"/>
              <w:kinsoku/>
              <w:overflowPunct/>
              <w:topLinePunct w:val="0"/>
              <w:bidi w:val="0"/>
              <w:snapToGrid w:val="0"/>
              <w:spacing w:before="0" w:beforeAutospacing="0" w:after="0" w:afterAutospacing="0" w:line="400" w:lineRule="exact"/>
              <w:ind w:left="0" w:right="0" w:firstLine="420" w:firstLineChars="200"/>
              <w:rPr>
                <w:rFonts w:hint="eastAsia" w:ascii="宋体" w:hAnsi="宋体" w:cs="宋体"/>
                <w:color w:val="auto"/>
                <w:szCs w:val="21"/>
                <w:highlight w:val="none"/>
              </w:rPr>
            </w:pP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w:t>
            </w:r>
            <w:r>
              <w:rPr>
                <w:rFonts w:hint="eastAsia" w:ascii="宋体" w:hAnsi="宋体" w:cs="宋体"/>
                <w:color w:val="auto"/>
                <w:szCs w:val="21"/>
                <w:highlight w:val="none"/>
                <w:lang w:eastAsia="zh-CN"/>
              </w:rPr>
              <w:t>经营网点</w:t>
            </w:r>
            <w:r>
              <w:rPr>
                <w:rFonts w:hint="eastAsia" w:ascii="宋体" w:hAnsi="宋体" w:cs="宋体"/>
                <w:color w:val="auto"/>
                <w:szCs w:val="21"/>
                <w:highlight w:val="none"/>
              </w:rPr>
              <w:t>情况证明材料；（如有请提供）</w:t>
            </w:r>
          </w:p>
          <w:p w14:paraId="1917D3D4">
            <w:pPr>
              <w:keepNext w:val="0"/>
              <w:keepLines w:val="0"/>
              <w:pageBreakBefore w:val="0"/>
              <w:widowControl w:val="0"/>
              <w:suppressLineNumbers w:val="0"/>
              <w:kinsoku/>
              <w:overflowPunct/>
              <w:topLinePunct w:val="0"/>
              <w:bidi w:val="0"/>
              <w:snapToGrid w:val="0"/>
              <w:spacing w:before="0" w:beforeAutospacing="0" w:after="0" w:afterAutospacing="0" w:line="400" w:lineRule="exact"/>
              <w:ind w:left="0" w:right="0" w:firstLine="420" w:firstLineChars="200"/>
              <w:rPr>
                <w:rFonts w:hint="eastAsia" w:ascii="宋体" w:hAnsi="宋体" w:cs="宋体"/>
                <w:color w:val="auto"/>
                <w:szCs w:val="21"/>
                <w:highlight w:val="none"/>
              </w:rPr>
            </w:pP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.投标人对本项目的合理化建议和改进措施（格式自拟）；（如有请提供）</w:t>
            </w:r>
          </w:p>
          <w:p w14:paraId="498352C9">
            <w:pPr>
              <w:keepNext w:val="0"/>
              <w:keepLines w:val="0"/>
              <w:pageBreakBefore w:val="0"/>
              <w:widowControl w:val="0"/>
              <w:suppressLineNumbers w:val="0"/>
              <w:kinsoku/>
              <w:overflowPunct/>
              <w:topLinePunct w:val="0"/>
              <w:bidi w:val="0"/>
              <w:snapToGrid w:val="0"/>
              <w:spacing w:before="0" w:beforeAutospacing="0" w:after="0" w:afterAutospacing="0" w:line="400" w:lineRule="exact"/>
              <w:ind w:left="0" w:right="0" w:firstLine="420" w:firstLineChars="200"/>
              <w:rPr>
                <w:rFonts w:hint="eastAsia" w:ascii="宋体" w:hAnsi="宋体" w:cs="宋体"/>
                <w:color w:val="auto"/>
                <w:szCs w:val="21"/>
                <w:highlight w:val="none"/>
              </w:rPr>
            </w:pPr>
            <w:r>
              <w:rPr>
                <w:rFonts w:hint="eastAsia" w:ascii="宋体" w:hAnsi="宋体" w:cs="宋体"/>
                <w:color w:val="auto"/>
                <w:szCs w:val="21"/>
                <w:highlight w:val="none"/>
                <w:lang w:val="en-US" w:eastAsia="zh-CN"/>
              </w:rPr>
              <w:t>7</w:t>
            </w:r>
            <w:r>
              <w:rPr>
                <w:rFonts w:hint="eastAsia" w:ascii="宋体" w:hAnsi="宋体" w:cs="宋体"/>
                <w:color w:val="auto"/>
                <w:szCs w:val="21"/>
                <w:highlight w:val="none"/>
              </w:rPr>
              <w:t>.除招标文件规定必须提供以外，投标人认为需要提供的其他证明材料（格式自拟）。（投标人根据“第二章 采购需求”及“第四章 评标方法及评标标准”提供有关证明材料）。（如有请提供）</w:t>
            </w:r>
          </w:p>
          <w:p w14:paraId="3F1792B1">
            <w:pPr>
              <w:keepNext w:val="0"/>
              <w:keepLines w:val="0"/>
              <w:pageBreakBefore w:val="0"/>
              <w:widowControl w:val="0"/>
              <w:suppressLineNumbers w:val="0"/>
              <w:kinsoku/>
              <w:overflowPunct/>
              <w:topLinePunct w:val="0"/>
              <w:bidi w:val="0"/>
              <w:snapToGrid w:val="0"/>
              <w:spacing w:before="0" w:beforeAutospacing="0" w:after="0" w:afterAutospacing="0" w:line="400" w:lineRule="exact"/>
              <w:ind w:left="0" w:right="0"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注：1.以上标明“必须提供”的材料的，必须加盖投标人电子签章，否则按无效投标处理；</w:t>
            </w:r>
          </w:p>
          <w:p w14:paraId="722D3CA4">
            <w:pPr>
              <w:keepNext w:val="0"/>
              <w:keepLines w:val="0"/>
              <w:pageBreakBefore w:val="0"/>
              <w:widowControl w:val="0"/>
              <w:suppressLineNumbers w:val="0"/>
              <w:kinsoku/>
              <w:overflowPunct/>
              <w:topLinePunct w:val="0"/>
              <w:bidi w:val="0"/>
              <w:snapToGrid w:val="0"/>
              <w:spacing w:before="0" w:beforeAutospacing="0" w:after="0" w:afterAutospacing="0" w:line="400" w:lineRule="exact"/>
              <w:ind w:left="0" w:right="0" w:firstLine="422" w:firstLineChars="200"/>
              <w:rPr>
                <w:rFonts w:hint="eastAsia" w:ascii="宋体" w:hAnsi="宋体" w:cs="宋体"/>
                <w:color w:val="auto"/>
                <w:szCs w:val="21"/>
                <w:highlight w:val="none"/>
              </w:rPr>
            </w:pPr>
            <w:r>
              <w:rPr>
                <w:rFonts w:hint="eastAsia" w:ascii="宋体" w:hAnsi="宋体" w:cs="宋体"/>
                <w:b/>
                <w:bCs/>
                <w:color w:val="auto"/>
                <w:szCs w:val="21"/>
                <w:highlight w:val="none"/>
              </w:rPr>
              <w:t>2.联合体投标时，盖章处须加盖联合体牵头人电子签章</w:t>
            </w:r>
            <w:r>
              <w:rPr>
                <w:rFonts w:hint="eastAsia" w:ascii="宋体" w:hAnsi="宋体" w:cs="宋体"/>
                <w:b/>
                <w:bCs/>
                <w:color w:val="auto"/>
                <w:szCs w:val="21"/>
                <w:highlight w:val="none"/>
                <w:lang w:eastAsia="zh-CN"/>
              </w:rPr>
              <w:t>，在</w:t>
            </w:r>
            <w:r>
              <w:rPr>
                <w:rFonts w:hint="eastAsia" w:ascii="宋体" w:hAnsi="宋体" w:cs="宋体"/>
                <w:b/>
                <w:bCs/>
                <w:color w:val="auto"/>
                <w:szCs w:val="21"/>
                <w:highlight w:val="none"/>
              </w:rPr>
              <w:t>规定签字处签字（或者电子签名），否则</w:t>
            </w:r>
            <w:r>
              <w:rPr>
                <w:rFonts w:hint="eastAsia" w:ascii="宋体" w:hAnsi="宋体" w:cs="宋体"/>
                <w:b/>
                <w:bCs/>
                <w:color w:val="auto"/>
                <w:szCs w:val="21"/>
                <w:highlight w:val="none"/>
                <w:lang w:eastAsia="zh-CN"/>
              </w:rPr>
              <w:t>投标文件</w:t>
            </w:r>
            <w:r>
              <w:rPr>
                <w:rFonts w:hint="eastAsia" w:ascii="宋体" w:hAnsi="宋体" w:cs="宋体"/>
                <w:b/>
                <w:bCs/>
                <w:color w:val="auto"/>
                <w:szCs w:val="21"/>
                <w:highlight w:val="none"/>
              </w:rPr>
              <w:t>按无效处理</w:t>
            </w:r>
            <w:r>
              <w:rPr>
                <w:rFonts w:hint="eastAsia" w:ascii="宋体" w:hAnsi="宋体" w:cs="宋体"/>
                <w:b/>
                <w:bCs/>
                <w:color w:val="auto"/>
                <w:szCs w:val="21"/>
                <w:highlight w:val="none"/>
                <w:lang w:val="en-US" w:eastAsia="zh-CN"/>
              </w:rPr>
              <w:t>(</w:t>
            </w:r>
            <w:r>
              <w:rPr>
                <w:rFonts w:hint="eastAsia" w:ascii="宋体" w:hAnsi="宋体" w:cs="宋体"/>
                <w:b/>
                <w:bCs/>
                <w:color w:val="auto"/>
                <w:szCs w:val="21"/>
                <w:highlight w:val="none"/>
                <w:lang w:eastAsia="zh-CN"/>
              </w:rPr>
              <w:t>本项目不适用本条</w:t>
            </w:r>
            <w:r>
              <w:rPr>
                <w:rFonts w:hint="eastAsia" w:ascii="宋体" w:hAnsi="宋体" w:cs="宋体"/>
                <w:b/>
                <w:bCs/>
                <w:color w:val="auto"/>
                <w:szCs w:val="21"/>
                <w:highlight w:val="none"/>
                <w:lang w:val="en-US" w:eastAsia="zh-CN"/>
              </w:rPr>
              <w:t>)</w:t>
            </w:r>
            <w:r>
              <w:rPr>
                <w:rFonts w:hint="eastAsia" w:ascii="宋体" w:hAnsi="宋体" w:cs="宋体"/>
                <w:b/>
                <w:bCs/>
                <w:color w:val="auto"/>
                <w:szCs w:val="21"/>
                <w:highlight w:val="none"/>
              </w:rPr>
              <w:t>。</w:t>
            </w:r>
          </w:p>
        </w:tc>
      </w:tr>
      <w:tr w14:paraId="21462CF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78" w:type="dxa"/>
            <w:tcBorders>
              <w:top w:val="single" w:color="auto" w:sz="4" w:space="0"/>
              <w:left w:val="single" w:color="auto" w:sz="4" w:space="0"/>
              <w:bottom w:val="single" w:color="auto" w:sz="4" w:space="0"/>
              <w:right w:val="single" w:color="auto" w:sz="4" w:space="0"/>
            </w:tcBorders>
            <w:noWrap w:val="0"/>
            <w:vAlign w:val="center"/>
          </w:tcPr>
          <w:p w14:paraId="686274A4">
            <w:pPr>
              <w:keepNext w:val="0"/>
              <w:keepLines w:val="0"/>
              <w:pageBreakBefore w:val="0"/>
              <w:widowControl w:val="0"/>
              <w:suppressLineNumbers w:val="0"/>
              <w:kinsoku/>
              <w:overflowPunct/>
              <w:topLinePunct w:val="0"/>
              <w:bidi w:val="0"/>
              <w:spacing w:before="0" w:beforeAutospacing="0" w:after="0" w:afterAutospacing="0" w:line="400" w:lineRule="exact"/>
              <w:ind w:left="0" w:right="0"/>
              <w:jc w:val="center"/>
              <w:rPr>
                <w:rFonts w:hint="eastAsia" w:ascii="宋体" w:hAnsi="宋体" w:cs="宋体"/>
                <w:color w:val="auto"/>
                <w:szCs w:val="21"/>
                <w:highlight w:val="none"/>
              </w:rPr>
            </w:pPr>
            <w:bookmarkStart w:id="68" w:name="_16.2"/>
            <w:bookmarkEnd w:id="68"/>
            <w:bookmarkStart w:id="69" w:name="_13.5"/>
            <w:bookmarkEnd w:id="69"/>
            <w:bookmarkStart w:id="70" w:name="_13.4"/>
            <w:bookmarkEnd w:id="70"/>
            <w:r>
              <w:rPr>
                <w:rFonts w:hint="eastAsia" w:ascii="宋体" w:hAnsi="宋体" w:cs="宋体"/>
                <w:color w:val="auto"/>
                <w:szCs w:val="21"/>
                <w:highlight w:val="none"/>
              </w:rPr>
              <w:t>16</w:t>
            </w:r>
            <w:bookmarkStart w:id="71" w:name="_Hlt19194066"/>
            <w:bookmarkStart w:id="72" w:name="_Hlt19693759"/>
            <w:bookmarkStart w:id="73" w:name="_Hlt19693758"/>
            <w:bookmarkStart w:id="74" w:name="_Hlt19194067"/>
            <w:r>
              <w:rPr>
                <w:rFonts w:hint="eastAsia" w:ascii="宋体" w:hAnsi="宋体" w:cs="宋体"/>
                <w:color w:val="auto"/>
                <w:szCs w:val="21"/>
                <w:highlight w:val="none"/>
              </w:rPr>
              <w:t>.</w:t>
            </w:r>
            <w:bookmarkEnd w:id="71"/>
            <w:bookmarkEnd w:id="72"/>
            <w:bookmarkEnd w:id="73"/>
            <w:bookmarkEnd w:id="74"/>
            <w:r>
              <w:rPr>
                <w:rFonts w:hint="eastAsia" w:ascii="宋体" w:hAnsi="宋体" w:cs="宋体"/>
                <w:color w:val="auto"/>
                <w:szCs w:val="21"/>
                <w:highlight w:val="none"/>
              </w:rPr>
              <w:t>2</w:t>
            </w:r>
          </w:p>
        </w:tc>
        <w:tc>
          <w:tcPr>
            <w:tcW w:w="8175" w:type="dxa"/>
            <w:tcBorders>
              <w:top w:val="single" w:color="auto" w:sz="4" w:space="0"/>
              <w:left w:val="single" w:color="auto" w:sz="4" w:space="0"/>
              <w:bottom w:val="single" w:color="auto" w:sz="4" w:space="0"/>
              <w:right w:val="single" w:color="auto" w:sz="4" w:space="0"/>
            </w:tcBorders>
            <w:noWrap w:val="0"/>
            <w:vAlign w:val="center"/>
          </w:tcPr>
          <w:p w14:paraId="2C029B5B">
            <w:pPr>
              <w:keepNext w:val="0"/>
              <w:keepLines w:val="0"/>
              <w:pageBreakBefore w:val="0"/>
              <w:widowControl w:val="0"/>
              <w:suppressLineNumbers w:val="0"/>
              <w:kinsoku/>
              <w:overflowPunct/>
              <w:topLinePunct w:val="0"/>
              <w:bidi w:val="0"/>
              <w:snapToGrid w:val="0"/>
              <w:spacing w:before="0" w:beforeAutospacing="0" w:after="0" w:afterAutospacing="0" w:line="400" w:lineRule="exact"/>
              <w:ind w:left="0" w:right="0"/>
              <w:rPr>
                <w:rFonts w:hint="eastAsia" w:ascii="宋体" w:hAnsi="宋体" w:cs="宋体"/>
                <w:color w:val="auto"/>
                <w:szCs w:val="21"/>
                <w:highlight w:val="none"/>
              </w:rPr>
            </w:pPr>
            <w:r>
              <w:rPr>
                <w:rFonts w:hint="eastAsia" w:ascii="宋体" w:hAnsi="宋体" w:cs="宋体"/>
                <w:color w:val="auto"/>
                <w:szCs w:val="21"/>
                <w:highlight w:val="none"/>
              </w:rPr>
              <w:t>投标报价是履行合同的最终价格</w:t>
            </w:r>
            <w:r>
              <w:rPr>
                <w:rFonts w:hint="eastAsia" w:ascii="宋体" w:hAnsi="宋体" w:cs="宋体"/>
                <w:color w:val="auto"/>
                <w:szCs w:val="21"/>
                <w:highlight w:val="none"/>
                <w:lang w:eastAsia="zh-CN"/>
              </w:rPr>
              <w:t>（</w:t>
            </w:r>
            <w:r>
              <w:rPr>
                <w:rFonts w:hint="eastAsia" w:ascii="宋体" w:hAnsi="宋体" w:cs="宋体"/>
                <w:b/>
                <w:bCs/>
                <w:color w:val="auto"/>
                <w:szCs w:val="21"/>
                <w:highlight w:val="none"/>
                <w:lang w:eastAsia="zh-CN"/>
              </w:rPr>
              <w:t>按固定单价计算，总价以最后核定人数为准</w:t>
            </w:r>
            <w:r>
              <w:rPr>
                <w:rFonts w:hint="eastAsia" w:ascii="宋体" w:hAnsi="宋体" w:cs="宋体"/>
                <w:color w:val="auto"/>
                <w:szCs w:val="21"/>
                <w:highlight w:val="none"/>
                <w:lang w:eastAsia="zh-CN"/>
              </w:rPr>
              <w:t>）</w:t>
            </w:r>
            <w:r>
              <w:rPr>
                <w:rFonts w:hint="eastAsia" w:ascii="宋体" w:hAnsi="宋体" w:cs="宋体"/>
                <w:color w:val="auto"/>
                <w:szCs w:val="21"/>
                <w:highlight w:val="none"/>
              </w:rPr>
              <w:t>。</w:t>
            </w:r>
          </w:p>
          <w:p w14:paraId="3E150B6E">
            <w:pPr>
              <w:keepNext w:val="0"/>
              <w:keepLines w:val="0"/>
              <w:suppressLineNumbers w:val="0"/>
              <w:snapToGrid w:val="0"/>
              <w:spacing w:before="0" w:beforeAutospacing="0" w:after="0" w:afterAutospacing="0" w:line="400" w:lineRule="exact"/>
              <w:ind w:left="0" w:right="0"/>
              <w:rPr>
                <w:rFonts w:hint="eastAsia" w:ascii="宋体" w:hAnsi="宋体" w:cs="宋体"/>
                <w:color w:val="auto"/>
                <w:szCs w:val="21"/>
                <w:highlight w:val="none"/>
              </w:rPr>
            </w:pPr>
            <w:r>
              <w:rPr>
                <w:rFonts w:hint="eastAsia" w:ascii="宋体" w:hAnsi="宋体" w:cs="宋体"/>
                <w:color w:val="auto"/>
                <w:szCs w:val="21"/>
                <w:highlight w:val="none"/>
              </w:rPr>
              <w:t>包括</w:t>
            </w:r>
            <w:r>
              <w:rPr>
                <w:rFonts w:hint="eastAsia" w:ascii="宋体" w:hAnsi="宋体" w:cs="宋体"/>
                <w:color w:val="auto"/>
                <w:szCs w:val="21"/>
                <w:highlight w:val="none"/>
                <w:lang w:eastAsia="zh-CN"/>
              </w:rPr>
              <w:t>：</w:t>
            </w:r>
          </w:p>
          <w:p w14:paraId="674BA9E7">
            <w:pPr>
              <w:keepNext w:val="0"/>
              <w:keepLines w:val="0"/>
              <w:suppressLineNumbers w:val="0"/>
              <w:snapToGrid w:val="0"/>
              <w:spacing w:before="0" w:beforeAutospacing="0" w:after="0" w:afterAutospacing="0" w:line="400" w:lineRule="exact"/>
              <w:ind w:left="0" w:right="0"/>
              <w:rPr>
                <w:rFonts w:hint="eastAsia" w:ascii="宋体" w:hAnsi="宋体" w:cs="宋体"/>
                <w:color w:val="auto"/>
                <w:szCs w:val="21"/>
                <w:highlight w:val="none"/>
              </w:rPr>
            </w:pPr>
            <w:r>
              <w:rPr>
                <w:rFonts w:hint="eastAsia" w:ascii="宋体" w:hAnsi="宋体" w:cs="宋体"/>
                <w:color w:val="auto"/>
                <w:szCs w:val="21"/>
                <w:highlight w:val="none"/>
              </w:rPr>
              <w:t>1.培训、技术支持、售后服务费。</w:t>
            </w:r>
          </w:p>
          <w:p w14:paraId="72E76BD0">
            <w:pPr>
              <w:keepNext w:val="0"/>
              <w:keepLines w:val="0"/>
              <w:suppressLineNumbers w:val="0"/>
              <w:snapToGrid w:val="0"/>
              <w:spacing w:before="0" w:beforeAutospacing="0" w:after="0" w:afterAutospacing="0" w:line="400" w:lineRule="exact"/>
              <w:ind w:left="0" w:right="0"/>
              <w:rPr>
                <w:rFonts w:hint="eastAsia" w:ascii="宋体" w:hAnsi="宋体" w:cs="宋体"/>
                <w:color w:val="auto"/>
                <w:szCs w:val="21"/>
                <w:highlight w:val="none"/>
              </w:rPr>
            </w:pPr>
            <w:r>
              <w:rPr>
                <w:rFonts w:hint="eastAsia" w:ascii="宋体" w:hAnsi="宋体" w:cs="宋体"/>
                <w:color w:val="auto"/>
                <w:szCs w:val="21"/>
                <w:highlight w:val="none"/>
              </w:rPr>
              <w:t>2.驻场人员、服务人员的工资、社保、差旅费/食宿费、相关福利等费用。</w:t>
            </w:r>
          </w:p>
          <w:p w14:paraId="261037CD">
            <w:pPr>
              <w:keepNext w:val="0"/>
              <w:keepLines w:val="0"/>
              <w:suppressLineNumbers w:val="0"/>
              <w:snapToGrid w:val="0"/>
              <w:spacing w:before="0" w:beforeAutospacing="0" w:after="0" w:afterAutospacing="0" w:line="400" w:lineRule="exact"/>
              <w:ind w:left="0" w:right="0"/>
              <w:rPr>
                <w:rFonts w:hint="eastAsia" w:ascii="宋体" w:hAnsi="宋体" w:cs="宋体"/>
                <w:color w:val="auto"/>
                <w:szCs w:val="21"/>
                <w:highlight w:val="none"/>
              </w:rPr>
            </w:pPr>
            <w:r>
              <w:rPr>
                <w:rFonts w:hint="eastAsia" w:ascii="宋体" w:hAnsi="宋体" w:cs="宋体"/>
                <w:color w:val="auto"/>
                <w:szCs w:val="21"/>
                <w:highlight w:val="none"/>
              </w:rPr>
              <w:t>3.实施该项目所产生的一切费用。</w:t>
            </w:r>
          </w:p>
          <w:p w14:paraId="198C18A7">
            <w:pPr>
              <w:keepNext w:val="0"/>
              <w:keepLines w:val="0"/>
              <w:suppressLineNumbers w:val="0"/>
              <w:snapToGrid w:val="0"/>
              <w:spacing w:before="0" w:beforeAutospacing="0" w:after="0" w:afterAutospacing="0" w:line="400" w:lineRule="exact"/>
              <w:ind w:left="0" w:right="0"/>
              <w:rPr>
                <w:rFonts w:hint="eastAsia" w:ascii="宋体" w:hAnsi="宋体" w:cs="宋体"/>
                <w:color w:val="auto"/>
                <w:szCs w:val="21"/>
                <w:highlight w:val="none"/>
              </w:rPr>
            </w:pPr>
            <w:r>
              <w:rPr>
                <w:rFonts w:hint="eastAsia" w:ascii="宋体" w:hAnsi="宋体" w:cs="宋体"/>
                <w:color w:val="auto"/>
                <w:szCs w:val="21"/>
                <w:highlight w:val="none"/>
              </w:rPr>
              <w:t>4.履约验收所产生的一切费用。</w:t>
            </w:r>
          </w:p>
          <w:p w14:paraId="1FE6DCB7">
            <w:pPr>
              <w:keepNext w:val="0"/>
              <w:keepLines w:val="0"/>
              <w:suppressLineNumbers w:val="0"/>
              <w:snapToGrid w:val="0"/>
              <w:spacing w:before="0" w:beforeAutospacing="0" w:after="0" w:afterAutospacing="0" w:line="400" w:lineRule="exact"/>
              <w:ind w:left="0" w:right="0"/>
              <w:rPr>
                <w:rFonts w:hint="eastAsia"/>
                <w:color w:val="auto"/>
                <w:highlight w:val="none"/>
              </w:rPr>
            </w:pPr>
            <w:r>
              <w:rPr>
                <w:rFonts w:hint="eastAsia" w:ascii="宋体" w:hAnsi="宋体" w:cs="宋体"/>
                <w:color w:val="auto"/>
                <w:szCs w:val="21"/>
                <w:highlight w:val="none"/>
              </w:rPr>
              <w:t>5.向采购人委托的保险经纪服务公司支付保险经纪服务费。</w:t>
            </w:r>
          </w:p>
        </w:tc>
      </w:tr>
      <w:tr w14:paraId="5620D81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78" w:type="dxa"/>
            <w:tcBorders>
              <w:top w:val="single" w:color="auto" w:sz="4" w:space="0"/>
              <w:left w:val="single" w:color="auto" w:sz="4" w:space="0"/>
              <w:bottom w:val="single" w:color="auto" w:sz="4" w:space="0"/>
              <w:right w:val="single" w:color="auto" w:sz="4" w:space="0"/>
            </w:tcBorders>
            <w:noWrap w:val="0"/>
            <w:vAlign w:val="center"/>
          </w:tcPr>
          <w:p w14:paraId="1C32B41E">
            <w:pPr>
              <w:keepNext w:val="0"/>
              <w:keepLines w:val="0"/>
              <w:pageBreakBefore w:val="0"/>
              <w:widowControl w:val="0"/>
              <w:suppressLineNumbers w:val="0"/>
              <w:kinsoku/>
              <w:overflowPunct/>
              <w:topLinePunct w:val="0"/>
              <w:bidi w:val="0"/>
              <w:spacing w:before="0" w:beforeAutospacing="0" w:after="0" w:afterAutospacing="0" w:line="400" w:lineRule="exact"/>
              <w:ind w:left="0" w:right="0"/>
              <w:jc w:val="center"/>
              <w:rPr>
                <w:rFonts w:hint="eastAsia" w:ascii="宋体" w:hAnsi="宋体" w:cs="宋体"/>
                <w:color w:val="auto"/>
                <w:szCs w:val="21"/>
                <w:highlight w:val="none"/>
              </w:rPr>
            </w:pPr>
            <w:bookmarkStart w:id="75" w:name="_17.1"/>
            <w:bookmarkEnd w:id="75"/>
            <w:r>
              <w:rPr>
                <w:rFonts w:hint="eastAsia" w:ascii="宋体" w:hAnsi="宋体" w:cs="宋体"/>
                <w:color w:val="auto"/>
                <w:szCs w:val="21"/>
                <w:highlight w:val="none"/>
              </w:rPr>
              <w:t>17.2</w:t>
            </w:r>
          </w:p>
        </w:tc>
        <w:tc>
          <w:tcPr>
            <w:tcW w:w="8175" w:type="dxa"/>
            <w:tcBorders>
              <w:top w:val="single" w:color="auto" w:sz="4" w:space="0"/>
              <w:left w:val="single" w:color="auto" w:sz="4" w:space="0"/>
              <w:bottom w:val="single" w:color="auto" w:sz="4" w:space="0"/>
              <w:right w:val="single" w:color="auto" w:sz="4" w:space="0"/>
            </w:tcBorders>
            <w:noWrap w:val="0"/>
            <w:vAlign w:val="center"/>
          </w:tcPr>
          <w:p w14:paraId="740C4198">
            <w:pPr>
              <w:keepNext w:val="0"/>
              <w:keepLines w:val="0"/>
              <w:pageBreakBefore w:val="0"/>
              <w:widowControl w:val="0"/>
              <w:suppressLineNumbers w:val="0"/>
              <w:kinsoku/>
              <w:overflowPunct/>
              <w:topLinePunct w:val="0"/>
              <w:bidi w:val="0"/>
              <w:snapToGrid w:val="0"/>
              <w:spacing w:before="0" w:beforeAutospacing="0" w:after="0" w:afterAutospacing="0" w:line="400" w:lineRule="exact"/>
              <w:ind w:left="0" w:right="0"/>
              <w:rPr>
                <w:rFonts w:hint="eastAsia" w:ascii="宋体" w:hAnsi="宋体" w:cs="宋体"/>
                <w:color w:val="auto"/>
                <w:szCs w:val="21"/>
                <w:highlight w:val="none"/>
              </w:rPr>
            </w:pPr>
            <w:r>
              <w:rPr>
                <w:rFonts w:hint="eastAsia" w:ascii="宋体" w:hAnsi="宋体" w:cs="宋体"/>
                <w:color w:val="auto"/>
                <w:szCs w:val="21"/>
                <w:highlight w:val="none"/>
              </w:rPr>
              <w:t>投标有效期：自投标截止之日起</w:t>
            </w:r>
            <w:r>
              <w:rPr>
                <w:rFonts w:hint="eastAsia" w:ascii="宋体" w:hAnsi="宋体" w:cs="宋体"/>
                <w:color w:val="auto"/>
                <w:szCs w:val="21"/>
                <w:highlight w:val="none"/>
                <w:u w:val="single"/>
              </w:rPr>
              <w:t>90</w:t>
            </w:r>
            <w:r>
              <w:rPr>
                <w:rFonts w:hint="eastAsia" w:ascii="宋体" w:hAnsi="宋体" w:cs="宋体"/>
                <w:color w:val="auto"/>
                <w:szCs w:val="21"/>
                <w:highlight w:val="none"/>
              </w:rPr>
              <w:t>日。</w:t>
            </w:r>
          </w:p>
        </w:tc>
      </w:tr>
      <w:tr w14:paraId="00C66C0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78" w:type="dxa"/>
            <w:tcBorders>
              <w:top w:val="single" w:color="auto" w:sz="4" w:space="0"/>
              <w:left w:val="single" w:color="auto" w:sz="4" w:space="0"/>
              <w:bottom w:val="single" w:color="auto" w:sz="4" w:space="0"/>
              <w:right w:val="single" w:color="auto" w:sz="4" w:space="0"/>
            </w:tcBorders>
            <w:noWrap w:val="0"/>
            <w:vAlign w:val="center"/>
          </w:tcPr>
          <w:p w14:paraId="4A927719">
            <w:pPr>
              <w:keepNext w:val="0"/>
              <w:keepLines w:val="0"/>
              <w:pageBreakBefore w:val="0"/>
              <w:widowControl w:val="0"/>
              <w:suppressLineNumbers w:val="0"/>
              <w:kinsoku/>
              <w:overflowPunct/>
              <w:topLinePunct w:val="0"/>
              <w:bidi w:val="0"/>
              <w:spacing w:before="0" w:beforeAutospacing="0" w:after="0" w:afterAutospacing="0" w:line="400" w:lineRule="exact"/>
              <w:ind w:left="0" w:right="0"/>
              <w:jc w:val="center"/>
              <w:rPr>
                <w:rFonts w:hint="eastAsia" w:ascii="宋体" w:hAnsi="宋体" w:cs="宋体"/>
                <w:color w:val="auto"/>
                <w:szCs w:val="21"/>
                <w:highlight w:val="none"/>
              </w:rPr>
            </w:pPr>
            <w:bookmarkStart w:id="76" w:name="_18"/>
            <w:bookmarkEnd w:id="76"/>
            <w:r>
              <w:rPr>
                <w:rFonts w:hint="eastAsia" w:ascii="宋体" w:hAnsi="宋体" w:cs="宋体"/>
                <w:color w:val="auto"/>
                <w:szCs w:val="21"/>
                <w:highlight w:val="none"/>
              </w:rPr>
              <w:t>18.1</w:t>
            </w:r>
          </w:p>
        </w:tc>
        <w:tc>
          <w:tcPr>
            <w:tcW w:w="8175" w:type="dxa"/>
            <w:tcBorders>
              <w:top w:val="single" w:color="auto" w:sz="4" w:space="0"/>
              <w:left w:val="single" w:color="auto" w:sz="4" w:space="0"/>
              <w:bottom w:val="single" w:color="auto" w:sz="4" w:space="0"/>
              <w:right w:val="single" w:color="auto" w:sz="4" w:space="0"/>
            </w:tcBorders>
            <w:noWrap w:val="0"/>
            <w:vAlign w:val="center"/>
          </w:tcPr>
          <w:p w14:paraId="015109D5">
            <w:pPr>
              <w:keepNext w:val="0"/>
              <w:keepLines w:val="0"/>
              <w:pageBreakBefore w:val="0"/>
              <w:widowControl w:val="0"/>
              <w:suppressLineNumbers w:val="0"/>
              <w:kinsoku/>
              <w:overflowPunct/>
              <w:topLinePunct w:val="0"/>
              <w:autoSpaceDE w:val="0"/>
              <w:autoSpaceDN w:val="0"/>
              <w:bidi w:val="0"/>
              <w:snapToGrid w:val="0"/>
              <w:spacing w:before="0" w:beforeAutospacing="0" w:after="0" w:afterAutospacing="0" w:line="400" w:lineRule="exact"/>
              <w:ind w:left="0" w:right="0"/>
              <w:textAlignment w:val="bottom"/>
              <w:rPr>
                <w:rFonts w:hint="eastAsia" w:ascii="宋体" w:hAnsi="宋体" w:cs="宋体"/>
                <w:color w:val="auto"/>
                <w:szCs w:val="21"/>
                <w:highlight w:val="none"/>
              </w:rPr>
            </w:pPr>
            <w:r>
              <w:rPr>
                <w:rFonts w:hint="eastAsia" w:ascii="宋体" w:hAnsi="宋体" w:cs="宋体"/>
                <w:color w:val="auto"/>
                <w:szCs w:val="21"/>
                <w:highlight w:val="none"/>
                <w:lang w:eastAsia="zh-CN"/>
              </w:rPr>
              <w:t>□</w:t>
            </w:r>
            <w:r>
              <w:rPr>
                <w:rFonts w:hint="eastAsia" w:ascii="宋体" w:hAnsi="宋体" w:cs="宋体"/>
                <w:color w:val="auto"/>
                <w:szCs w:val="21"/>
                <w:highlight w:val="none"/>
              </w:rPr>
              <w:t>本项目不收取投标保证金。</w:t>
            </w:r>
          </w:p>
          <w:p w14:paraId="1E0B59D4">
            <w:pPr>
              <w:keepNext w:val="0"/>
              <w:keepLines w:val="0"/>
              <w:pageBreakBefore w:val="0"/>
              <w:widowControl w:val="0"/>
              <w:suppressLineNumbers w:val="0"/>
              <w:kinsoku/>
              <w:overflowPunct/>
              <w:topLinePunct w:val="0"/>
              <w:bidi w:val="0"/>
              <w:snapToGrid w:val="0"/>
              <w:spacing w:before="0" w:beforeAutospacing="0" w:after="0" w:afterAutospacing="0" w:line="400" w:lineRule="exact"/>
              <w:ind w:left="0" w:right="0"/>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lang w:eastAsia="zh-CN"/>
              </w:rPr>
              <w:t>☑</w:t>
            </w:r>
            <w:r>
              <w:rPr>
                <w:rFonts w:hint="eastAsia" w:ascii="宋体" w:hAnsi="宋体" w:eastAsia="宋体" w:cs="宋体"/>
                <w:color w:val="auto"/>
                <w:szCs w:val="21"/>
                <w:highlight w:val="none"/>
              </w:rPr>
              <w:t>本项目收取投标保证金，具体规定</w:t>
            </w:r>
            <w:r>
              <w:rPr>
                <w:rFonts w:hint="eastAsia" w:ascii="宋体" w:hAnsi="宋体" w:eastAsia="宋体" w:cs="宋体"/>
                <w:color w:val="auto"/>
                <w:szCs w:val="21"/>
                <w:highlight w:val="none"/>
                <w:lang w:val="en-US" w:eastAsia="zh-CN"/>
              </w:rPr>
              <w:t>如下：</w:t>
            </w:r>
          </w:p>
          <w:p w14:paraId="5F87DAB1">
            <w:pPr>
              <w:keepNext w:val="0"/>
              <w:keepLines w:val="0"/>
              <w:pageBreakBefore w:val="0"/>
              <w:widowControl w:val="0"/>
              <w:suppressLineNumbers w:val="0"/>
              <w:kinsoku/>
              <w:overflowPunct/>
              <w:topLinePunct w:val="0"/>
              <w:bidi w:val="0"/>
              <w:snapToGrid w:val="0"/>
              <w:spacing w:before="0" w:beforeAutospacing="0" w:after="0" w:afterAutospacing="0" w:line="400" w:lineRule="exact"/>
              <w:ind w:left="0" w:right="0"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投标保证金人民币 </w:t>
            </w:r>
            <w:r>
              <w:rPr>
                <w:rFonts w:hint="eastAsia" w:ascii="宋体" w:hAnsi="宋体" w:cs="宋体"/>
                <w:color w:val="auto"/>
                <w:szCs w:val="21"/>
                <w:highlight w:val="none"/>
                <w:lang w:val="en-US" w:eastAsia="zh-CN"/>
              </w:rPr>
              <w:t>17万</w:t>
            </w:r>
            <w:r>
              <w:rPr>
                <w:rFonts w:hint="eastAsia" w:ascii="宋体" w:hAnsi="宋体" w:eastAsia="宋体" w:cs="宋体"/>
                <w:color w:val="auto"/>
                <w:szCs w:val="21"/>
                <w:highlight w:val="none"/>
              </w:rPr>
              <w:t>元。</w:t>
            </w:r>
          </w:p>
          <w:p w14:paraId="15E79B51">
            <w:pPr>
              <w:keepNext w:val="0"/>
              <w:keepLines w:val="0"/>
              <w:pageBreakBefore w:val="0"/>
              <w:widowControl w:val="0"/>
              <w:suppressLineNumbers w:val="0"/>
              <w:kinsoku/>
              <w:overflowPunct/>
              <w:topLinePunct w:val="0"/>
              <w:bidi w:val="0"/>
              <w:snapToGrid w:val="0"/>
              <w:spacing w:before="0" w:beforeAutospacing="0" w:after="0" w:afterAutospacing="0" w:line="400" w:lineRule="exact"/>
              <w:ind w:left="0" w:right="0"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投标保证金的交纳方式：银行转账、支票、汇票、本票或者金融、担保机构出具的保函（包含电子保函），禁止采用现钞方式。采用银行转账方式的，在投标截止时间前从投标人账户交至指定账户并且到账【开户银行：招商银行南宁分行营业部，开户名称：</w:t>
            </w:r>
            <w:r>
              <w:rPr>
                <w:rFonts w:hint="eastAsia" w:ascii="宋体" w:hAnsi="宋体" w:eastAsia="宋体" w:cs="宋体"/>
                <w:color w:val="auto"/>
                <w:szCs w:val="21"/>
                <w:highlight w:val="none"/>
                <w:lang w:eastAsia="zh-CN"/>
              </w:rPr>
              <w:t>广西建设工程机电设备招标中心有限公司</w:t>
            </w:r>
            <w:r>
              <w:rPr>
                <w:rFonts w:hint="eastAsia" w:ascii="宋体" w:hAnsi="宋体" w:eastAsia="宋体" w:cs="宋体"/>
                <w:color w:val="auto"/>
                <w:szCs w:val="21"/>
                <w:highlight w:val="none"/>
              </w:rPr>
              <w:t>，银行账号：</w:t>
            </w:r>
            <w:r>
              <w:rPr>
                <w:rFonts w:hint="eastAsia" w:ascii="宋体" w:hAnsi="宋体" w:cs="宋体"/>
                <w:color w:val="auto"/>
                <w:szCs w:val="21"/>
                <w:highlight w:val="none"/>
              </w:rPr>
              <w:t>7719  0142  3310  201</w:t>
            </w:r>
            <w:r>
              <w:rPr>
                <w:rFonts w:hint="eastAsia" w:ascii="宋体" w:hAnsi="宋体" w:eastAsia="宋体" w:cs="宋体"/>
                <w:color w:val="auto"/>
                <w:szCs w:val="21"/>
                <w:highlight w:val="none"/>
              </w:rPr>
              <w:t>】；采用支票、汇票、本票或者保函等方式的，在投标截止时间前，投标人必须递交单独密封的支票、汇票、本票或者保函原件。否则视为无效投标保证金。</w:t>
            </w:r>
          </w:p>
          <w:p w14:paraId="1E27DEAF">
            <w:pPr>
              <w:keepNext w:val="0"/>
              <w:keepLines w:val="0"/>
              <w:pageBreakBefore w:val="0"/>
              <w:widowControl w:val="0"/>
              <w:suppressLineNumbers w:val="0"/>
              <w:kinsoku/>
              <w:overflowPunct/>
              <w:topLinePunct w:val="0"/>
              <w:bidi w:val="0"/>
              <w:snapToGrid w:val="0"/>
              <w:spacing w:before="0" w:beforeAutospacing="0" w:after="0" w:afterAutospacing="0" w:line="400" w:lineRule="exact"/>
              <w:ind w:left="0" w:right="0"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相关要求：</w:t>
            </w:r>
          </w:p>
          <w:p w14:paraId="35B039F2">
            <w:pPr>
              <w:keepNext w:val="0"/>
              <w:keepLines w:val="0"/>
              <w:pageBreakBefore w:val="0"/>
              <w:widowControl w:val="0"/>
              <w:suppressLineNumbers w:val="0"/>
              <w:kinsoku/>
              <w:overflowPunct/>
              <w:topLinePunct w:val="0"/>
              <w:bidi w:val="0"/>
              <w:snapToGrid w:val="0"/>
              <w:spacing w:before="0" w:beforeAutospacing="0" w:after="0" w:afterAutospacing="0" w:line="400" w:lineRule="exact"/>
              <w:ind w:left="0" w:right="0" w:firstLine="420" w:firstLineChars="20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1.投标保证金采用银行转账交纳方式的，在投标截止时间前交至指定账户并且到账，投标人应将银行转账底单的复印件作为投标保证金提交凭证，放置于商务及技术文件中，</w:t>
            </w:r>
            <w:r>
              <w:rPr>
                <w:rFonts w:hint="eastAsia" w:ascii="宋体" w:hAnsi="宋体" w:eastAsia="宋体" w:cs="宋体"/>
                <w:b/>
                <w:bCs/>
                <w:color w:val="auto"/>
                <w:szCs w:val="21"/>
                <w:highlight w:val="none"/>
                <w:lang w:val="en-US" w:eastAsia="zh-CN"/>
              </w:rPr>
              <w:t>否则投标无效</w:t>
            </w:r>
            <w:r>
              <w:rPr>
                <w:rFonts w:hint="eastAsia" w:ascii="宋体" w:hAnsi="宋体" w:eastAsia="宋体" w:cs="宋体"/>
                <w:color w:val="auto"/>
                <w:szCs w:val="21"/>
                <w:highlight w:val="none"/>
                <w:lang w:val="en-US" w:eastAsia="zh-CN"/>
              </w:rPr>
              <w:t>。</w:t>
            </w:r>
          </w:p>
          <w:p w14:paraId="13D56608">
            <w:pPr>
              <w:keepNext w:val="0"/>
              <w:keepLines w:val="0"/>
              <w:pageBreakBefore w:val="0"/>
              <w:widowControl w:val="0"/>
              <w:suppressLineNumbers w:val="0"/>
              <w:kinsoku/>
              <w:overflowPunct/>
              <w:topLinePunct w:val="0"/>
              <w:bidi w:val="0"/>
              <w:snapToGrid w:val="0"/>
              <w:spacing w:before="0" w:beforeAutospacing="0" w:after="0" w:afterAutospacing="0" w:line="400" w:lineRule="exact"/>
              <w:ind w:left="0" w:right="0"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2.投标保证金采用支票、汇票、本票或者</w:t>
            </w:r>
            <w:r>
              <w:rPr>
                <w:rFonts w:hint="eastAsia" w:ascii="宋体" w:hAnsi="宋体" w:cs="宋体"/>
                <w:color w:val="auto"/>
                <w:szCs w:val="21"/>
                <w:highlight w:val="none"/>
                <w:lang w:eastAsia="zh-CN"/>
              </w:rPr>
              <w:t>金融、担保机构</w:t>
            </w:r>
            <w:r>
              <w:rPr>
                <w:rFonts w:hint="eastAsia" w:ascii="宋体" w:hAnsi="宋体" w:eastAsia="宋体" w:cs="宋体"/>
                <w:color w:val="auto"/>
                <w:szCs w:val="21"/>
                <w:highlight w:val="none"/>
              </w:rPr>
              <w:t>出具的保函（包含电子保函）交纳方式的，投标人应将支票、汇票、本票或者</w:t>
            </w:r>
            <w:r>
              <w:rPr>
                <w:rFonts w:hint="eastAsia" w:ascii="宋体" w:hAnsi="宋体" w:cs="宋体"/>
                <w:color w:val="auto"/>
                <w:szCs w:val="21"/>
                <w:highlight w:val="none"/>
                <w:lang w:eastAsia="zh-CN"/>
              </w:rPr>
              <w:t>金融、担保机构</w:t>
            </w:r>
            <w:r>
              <w:rPr>
                <w:rFonts w:hint="eastAsia" w:ascii="宋体" w:hAnsi="宋体" w:eastAsia="宋体" w:cs="宋体"/>
                <w:color w:val="auto"/>
                <w:szCs w:val="21"/>
                <w:highlight w:val="none"/>
              </w:rPr>
              <w:t>出具的保函（包含电子保函）的复印件作为投标保证金提交凭证，放置于商务及技术文件中，</w:t>
            </w:r>
            <w:r>
              <w:rPr>
                <w:rFonts w:hint="eastAsia" w:ascii="宋体" w:hAnsi="宋体" w:eastAsia="宋体" w:cs="宋体"/>
                <w:b/>
                <w:bCs/>
                <w:color w:val="auto"/>
                <w:szCs w:val="21"/>
                <w:highlight w:val="none"/>
              </w:rPr>
              <w:t>否则投标无效</w:t>
            </w:r>
            <w:r>
              <w:rPr>
                <w:rFonts w:hint="eastAsia" w:ascii="宋体" w:hAnsi="宋体" w:eastAsia="宋体" w:cs="宋体"/>
                <w:color w:val="auto"/>
                <w:szCs w:val="21"/>
                <w:highlight w:val="none"/>
              </w:rPr>
              <w:t>。投标人必须在投标截止时间前采用现场或邮寄方式（现场提交地址：广西壮族自治区公共资源交易中心（广西南宁市青秀区</w:t>
            </w:r>
            <w:r>
              <w:rPr>
                <w:rFonts w:hint="eastAsia" w:ascii="宋体" w:hAnsi="宋体" w:eastAsia="宋体" w:cs="宋体"/>
                <w:color w:val="auto"/>
                <w:szCs w:val="21"/>
                <w:highlight w:val="none"/>
                <w:lang w:eastAsia="zh-CN"/>
              </w:rPr>
              <w:t>星湖路22号开标楼</w:t>
            </w:r>
            <w:r>
              <w:rPr>
                <w:rFonts w:hint="eastAsia" w:ascii="宋体" w:hAnsi="宋体" w:eastAsia="宋体" w:cs="宋体"/>
                <w:color w:val="auto"/>
                <w:szCs w:val="21"/>
                <w:highlight w:val="none"/>
              </w:rPr>
              <w:t>）（具体根据开标当日电子屏幕显示的安排）；邮寄地址：</w:t>
            </w:r>
            <w:r>
              <w:rPr>
                <w:rFonts w:hint="eastAsia" w:ascii="宋体" w:hAnsi="宋体" w:eastAsia="宋体" w:cs="宋体"/>
                <w:color w:val="auto"/>
                <w:szCs w:val="21"/>
                <w:highlight w:val="none"/>
                <w:lang w:eastAsia="zh-CN"/>
              </w:rPr>
              <w:t>南宁市青秀区枫林路18号广西国控集团（枫林路办公区）裙楼三层</w:t>
            </w:r>
            <w:r>
              <w:rPr>
                <w:rFonts w:hint="eastAsia" w:ascii="宋体" w:hAnsi="宋体" w:eastAsia="宋体" w:cs="宋体"/>
                <w:color w:val="auto"/>
                <w:szCs w:val="21"/>
                <w:highlight w:val="none"/>
              </w:rPr>
              <w:t>，收件人：</w:t>
            </w:r>
            <w:r>
              <w:rPr>
                <w:rFonts w:hint="eastAsia" w:ascii="宋体" w:hAnsi="宋体" w:cs="宋体"/>
                <w:color w:val="auto"/>
                <w:szCs w:val="21"/>
                <w:highlight w:val="none"/>
                <w:lang w:val="en-US" w:eastAsia="zh-CN"/>
              </w:rPr>
              <w:t>吴兴红 刘风</w:t>
            </w:r>
            <w:r>
              <w:rPr>
                <w:rFonts w:hint="eastAsia" w:ascii="宋体" w:hAnsi="宋体" w:eastAsia="宋体" w:cs="宋体"/>
                <w:color w:val="auto"/>
                <w:szCs w:val="21"/>
                <w:highlight w:val="none"/>
              </w:rPr>
              <w:t>，联系方式：0771-</w:t>
            </w:r>
            <w:r>
              <w:rPr>
                <w:rFonts w:hint="eastAsia" w:ascii="宋体" w:hAnsi="宋体" w:cs="宋体"/>
                <w:color w:val="auto"/>
                <w:szCs w:val="21"/>
                <w:highlight w:val="none"/>
                <w:lang w:val="en-US" w:eastAsia="zh-CN"/>
              </w:rPr>
              <w:t>2807659</w:t>
            </w:r>
            <w:r>
              <w:rPr>
                <w:rFonts w:hint="eastAsia" w:ascii="宋体" w:hAnsi="宋体" w:eastAsia="宋体" w:cs="宋体"/>
                <w:color w:val="auto"/>
                <w:szCs w:val="21"/>
                <w:highlight w:val="none"/>
              </w:rPr>
              <w:t>）将单独密封的支票、汇票、本票或者</w:t>
            </w:r>
            <w:r>
              <w:rPr>
                <w:rFonts w:hint="eastAsia" w:ascii="宋体" w:hAnsi="宋体" w:cs="宋体"/>
                <w:color w:val="auto"/>
                <w:szCs w:val="21"/>
                <w:highlight w:val="none"/>
                <w:lang w:eastAsia="zh-CN"/>
              </w:rPr>
              <w:t>金融、担保机构</w:t>
            </w:r>
            <w:r>
              <w:rPr>
                <w:rFonts w:hint="eastAsia" w:ascii="宋体" w:hAnsi="宋体" w:eastAsia="宋体" w:cs="宋体"/>
                <w:color w:val="auto"/>
                <w:szCs w:val="21"/>
                <w:highlight w:val="none"/>
              </w:rPr>
              <w:t>出具的保函原件提交给采购代理机构，未按时提交的，投标无效，由采购代理机构向投标人出具回执（邮寄方式的除外），并妥善保管。</w:t>
            </w:r>
          </w:p>
          <w:p w14:paraId="282DD555">
            <w:pPr>
              <w:keepNext w:val="0"/>
              <w:keepLines w:val="0"/>
              <w:pageBreakBefore w:val="0"/>
              <w:widowControl w:val="0"/>
              <w:suppressLineNumbers w:val="0"/>
              <w:kinsoku/>
              <w:overflowPunct/>
              <w:topLinePunct w:val="0"/>
              <w:bidi w:val="0"/>
              <w:snapToGrid w:val="0"/>
              <w:spacing w:before="0" w:beforeAutospacing="0" w:after="0" w:afterAutospacing="0" w:line="400" w:lineRule="exact"/>
              <w:ind w:left="0" w:right="0"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3.</w:t>
            </w:r>
            <w:r>
              <w:rPr>
                <w:rFonts w:hint="eastAsia" w:ascii="宋体" w:hAnsi="宋体" w:eastAsia="宋体" w:cs="宋体"/>
                <w:color w:val="auto"/>
                <w:szCs w:val="21"/>
                <w:highlight w:val="none"/>
              </w:rPr>
              <w:t>投标人为联合体的，可以由联合体中的一方或者多方共同交纳投标保证金，其交纳的保证金对联合体各方均具有约束力</w:t>
            </w:r>
            <w:r>
              <w:rPr>
                <w:rFonts w:hint="eastAsia" w:ascii="宋体" w:hAnsi="宋体" w:cs="宋体"/>
                <w:color w:val="auto"/>
                <w:szCs w:val="21"/>
                <w:highlight w:val="none"/>
                <w:lang w:val="en-US" w:eastAsia="zh-CN"/>
              </w:rPr>
              <w:t>(</w:t>
            </w:r>
            <w:r>
              <w:rPr>
                <w:rFonts w:hint="eastAsia" w:ascii="宋体" w:hAnsi="宋体" w:cs="宋体"/>
                <w:color w:val="auto"/>
                <w:szCs w:val="21"/>
                <w:highlight w:val="none"/>
                <w:lang w:eastAsia="zh-CN"/>
              </w:rPr>
              <w:t>本</w:t>
            </w:r>
            <w:r>
              <w:rPr>
                <w:rFonts w:hint="eastAsia" w:ascii="宋体" w:hAnsi="宋体" w:cs="宋体"/>
                <w:color w:val="auto"/>
                <w:szCs w:val="21"/>
                <w:highlight w:val="none"/>
                <w:lang w:val="en-US" w:eastAsia="zh-CN"/>
              </w:rPr>
              <w:t>项目不适用本条)</w:t>
            </w:r>
            <w:r>
              <w:rPr>
                <w:rFonts w:hint="eastAsia" w:ascii="宋体" w:hAnsi="宋体" w:eastAsia="宋体" w:cs="宋体"/>
                <w:color w:val="auto"/>
                <w:szCs w:val="21"/>
                <w:highlight w:val="none"/>
              </w:rPr>
              <w:t>。</w:t>
            </w:r>
          </w:p>
          <w:p w14:paraId="364B5DAB">
            <w:pPr>
              <w:keepNext w:val="0"/>
              <w:keepLines w:val="0"/>
              <w:pageBreakBefore w:val="0"/>
              <w:widowControl w:val="0"/>
              <w:suppressLineNumbers w:val="0"/>
              <w:kinsoku/>
              <w:overflowPunct/>
              <w:topLinePunct w:val="0"/>
              <w:bidi w:val="0"/>
              <w:snapToGrid w:val="0"/>
              <w:spacing w:before="0" w:beforeAutospacing="0" w:after="0" w:afterAutospacing="0" w:line="400" w:lineRule="exact"/>
              <w:ind w:left="0" w:right="0" w:firstLine="422" w:firstLineChars="200"/>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 xml:space="preserve">备注： </w:t>
            </w:r>
          </w:p>
          <w:p w14:paraId="2228E5A1">
            <w:pPr>
              <w:keepNext w:val="0"/>
              <w:keepLines w:val="0"/>
              <w:pageBreakBefore w:val="0"/>
              <w:widowControl w:val="0"/>
              <w:suppressLineNumbers w:val="0"/>
              <w:kinsoku/>
              <w:overflowPunct/>
              <w:topLinePunct w:val="0"/>
              <w:bidi w:val="0"/>
              <w:snapToGrid w:val="0"/>
              <w:spacing w:before="0" w:beforeAutospacing="0" w:after="0" w:afterAutospacing="0" w:line="400" w:lineRule="exact"/>
              <w:ind w:left="0" w:right="0" w:firstLine="422" w:firstLineChars="200"/>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1.投标保证金在投标截止时间后提交的，或者不按规定交纳方式交纳的，或者未足额交纳的（包含保函额度不足的），视为无效投标保证金。</w:t>
            </w:r>
          </w:p>
          <w:p w14:paraId="7114CB9B">
            <w:pPr>
              <w:keepNext w:val="0"/>
              <w:keepLines w:val="0"/>
              <w:pageBreakBefore w:val="0"/>
              <w:widowControl w:val="0"/>
              <w:suppressLineNumbers w:val="0"/>
              <w:kinsoku/>
              <w:overflowPunct/>
              <w:topLinePunct w:val="0"/>
              <w:bidi w:val="0"/>
              <w:snapToGrid w:val="0"/>
              <w:spacing w:before="0" w:beforeAutospacing="0" w:after="0" w:afterAutospacing="0" w:line="400" w:lineRule="exact"/>
              <w:ind w:left="0" w:right="0" w:firstLine="422" w:firstLineChars="200"/>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2.投标人采用现钞方式或者从个人账户（自然人投标除外）转出的投标保证金，视为无效投标保证金。</w:t>
            </w:r>
          </w:p>
          <w:p w14:paraId="70B65F78">
            <w:pPr>
              <w:keepNext w:val="0"/>
              <w:keepLines w:val="0"/>
              <w:pageBreakBefore w:val="0"/>
              <w:widowControl w:val="0"/>
              <w:suppressLineNumbers w:val="0"/>
              <w:kinsoku/>
              <w:overflowPunct/>
              <w:topLinePunct w:val="0"/>
              <w:bidi w:val="0"/>
              <w:snapToGrid w:val="0"/>
              <w:spacing w:before="0" w:beforeAutospacing="0" w:after="0" w:afterAutospacing="0" w:line="400" w:lineRule="exact"/>
              <w:ind w:left="0" w:right="0" w:firstLine="422" w:firstLineChars="200"/>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3.支票、汇票或者本票出现无效或者背书情形的，视为无效投标保证金。</w:t>
            </w:r>
          </w:p>
          <w:p w14:paraId="59511082">
            <w:pPr>
              <w:keepNext w:val="0"/>
              <w:keepLines w:val="0"/>
              <w:pageBreakBefore w:val="0"/>
              <w:widowControl w:val="0"/>
              <w:suppressLineNumbers w:val="0"/>
              <w:kinsoku/>
              <w:overflowPunct/>
              <w:topLinePunct w:val="0"/>
              <w:bidi w:val="0"/>
              <w:snapToGrid w:val="0"/>
              <w:spacing w:before="0" w:beforeAutospacing="0" w:after="0" w:afterAutospacing="0" w:line="400" w:lineRule="exact"/>
              <w:ind w:left="0" w:right="0" w:firstLine="422" w:firstLineChars="200"/>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4.保函有效期低于投标有效期的，视为无效投标保证金。</w:t>
            </w:r>
          </w:p>
          <w:p w14:paraId="5B807713">
            <w:pPr>
              <w:keepNext w:val="0"/>
              <w:keepLines w:val="0"/>
              <w:pageBreakBefore w:val="0"/>
              <w:widowControl w:val="0"/>
              <w:suppressLineNumbers w:val="0"/>
              <w:kinsoku/>
              <w:overflowPunct/>
              <w:topLinePunct w:val="0"/>
              <w:bidi w:val="0"/>
              <w:snapToGrid w:val="0"/>
              <w:spacing w:before="0" w:beforeAutospacing="0" w:after="0" w:afterAutospacing="0" w:line="400" w:lineRule="exact"/>
              <w:ind w:left="0" w:right="0" w:firstLine="422" w:firstLineChars="200"/>
              <w:rPr>
                <w:rFonts w:hint="eastAsia"/>
                <w:color w:val="auto"/>
                <w:highlight w:val="none"/>
              </w:rPr>
            </w:pPr>
            <w:r>
              <w:rPr>
                <w:rFonts w:hint="eastAsia" w:ascii="宋体" w:hAnsi="宋体" w:eastAsia="宋体" w:cs="宋体"/>
                <w:b/>
                <w:bCs/>
                <w:color w:val="auto"/>
                <w:szCs w:val="21"/>
                <w:highlight w:val="none"/>
              </w:rPr>
              <w:t>5.采用</w:t>
            </w:r>
            <w:r>
              <w:rPr>
                <w:rFonts w:hint="eastAsia" w:ascii="宋体" w:hAnsi="宋体" w:cs="宋体"/>
                <w:b/>
                <w:bCs/>
                <w:color w:val="auto"/>
                <w:szCs w:val="21"/>
                <w:highlight w:val="none"/>
                <w:lang w:eastAsia="zh-CN"/>
              </w:rPr>
              <w:t>金融、担保机构</w:t>
            </w:r>
            <w:r>
              <w:rPr>
                <w:rFonts w:hint="eastAsia" w:ascii="宋体" w:hAnsi="宋体" w:eastAsia="宋体" w:cs="宋体"/>
                <w:b/>
                <w:bCs/>
                <w:color w:val="auto"/>
                <w:szCs w:val="21"/>
                <w:highlight w:val="none"/>
              </w:rPr>
              <w:t>出具保函的，必须为无条件保函，否则视为无效投标保证金。</w:t>
            </w:r>
          </w:p>
        </w:tc>
      </w:tr>
      <w:tr w14:paraId="1B40A0D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93" w:hRule="atLeast"/>
        </w:trPr>
        <w:tc>
          <w:tcPr>
            <w:tcW w:w="978" w:type="dxa"/>
            <w:tcBorders>
              <w:top w:val="single" w:color="auto" w:sz="4" w:space="0"/>
              <w:left w:val="single" w:color="auto" w:sz="4" w:space="0"/>
              <w:bottom w:val="single" w:color="auto" w:sz="4" w:space="0"/>
              <w:right w:val="single" w:color="auto" w:sz="4" w:space="0"/>
            </w:tcBorders>
            <w:noWrap w:val="0"/>
            <w:vAlign w:val="center"/>
          </w:tcPr>
          <w:p w14:paraId="71C7B3FE">
            <w:pPr>
              <w:keepNext w:val="0"/>
              <w:keepLines w:val="0"/>
              <w:pageBreakBefore w:val="0"/>
              <w:widowControl w:val="0"/>
              <w:suppressLineNumbers w:val="0"/>
              <w:kinsoku/>
              <w:overflowPunct/>
              <w:topLinePunct w:val="0"/>
              <w:bidi w:val="0"/>
              <w:spacing w:before="0" w:beforeAutospacing="0" w:after="0" w:afterAutospacing="0" w:line="400" w:lineRule="exact"/>
              <w:ind w:left="0" w:right="0"/>
              <w:jc w:val="center"/>
              <w:rPr>
                <w:rFonts w:hint="eastAsia" w:ascii="宋体" w:hAnsi="宋体" w:cs="宋体"/>
                <w:color w:val="auto"/>
                <w:szCs w:val="21"/>
                <w:highlight w:val="none"/>
              </w:rPr>
            </w:pPr>
            <w:bookmarkStart w:id="77" w:name="_19.2"/>
            <w:bookmarkEnd w:id="77"/>
            <w:bookmarkStart w:id="78" w:name="_21.1"/>
            <w:bookmarkEnd w:id="78"/>
            <w:r>
              <w:rPr>
                <w:rFonts w:hint="eastAsia" w:ascii="宋体" w:hAnsi="宋体" w:cs="宋体"/>
                <w:color w:val="auto"/>
                <w:szCs w:val="21"/>
                <w:highlight w:val="none"/>
              </w:rPr>
              <w:t>20</w:t>
            </w:r>
          </w:p>
        </w:tc>
        <w:tc>
          <w:tcPr>
            <w:tcW w:w="8175" w:type="dxa"/>
            <w:tcBorders>
              <w:top w:val="single" w:color="auto" w:sz="4" w:space="0"/>
              <w:left w:val="single" w:color="auto" w:sz="4" w:space="0"/>
              <w:bottom w:val="single" w:color="auto" w:sz="4" w:space="0"/>
              <w:right w:val="single" w:color="auto" w:sz="4" w:space="0"/>
            </w:tcBorders>
            <w:noWrap w:val="0"/>
            <w:vAlign w:val="center"/>
          </w:tcPr>
          <w:p w14:paraId="6919CD18">
            <w:pPr>
              <w:keepNext w:val="0"/>
              <w:keepLines w:val="0"/>
              <w:pageBreakBefore w:val="0"/>
              <w:widowControl w:val="0"/>
              <w:suppressLineNumbers w:val="0"/>
              <w:kinsoku/>
              <w:overflowPunct/>
              <w:topLinePunct w:val="0"/>
              <w:autoSpaceDE w:val="0"/>
              <w:autoSpaceDN w:val="0"/>
              <w:bidi w:val="0"/>
              <w:adjustRightInd w:val="0"/>
              <w:spacing w:before="0" w:beforeAutospacing="0" w:after="0" w:afterAutospacing="0" w:line="400" w:lineRule="exact"/>
              <w:ind w:left="0" w:right="0"/>
              <w:textAlignment w:val="bottom"/>
              <w:rPr>
                <w:rFonts w:hint="eastAsia" w:ascii="宋体" w:hAnsi="宋体" w:cs="宋体"/>
                <w:color w:val="auto"/>
                <w:szCs w:val="21"/>
                <w:highlight w:val="none"/>
              </w:rPr>
            </w:pPr>
            <w:r>
              <w:rPr>
                <w:rFonts w:hint="eastAsia" w:ascii="宋体" w:hAnsi="宋体" w:cs="宋体"/>
                <w:color w:val="auto"/>
                <w:szCs w:val="21"/>
                <w:highlight w:val="none"/>
              </w:rPr>
              <w:t xml:space="preserve">本项目不接受电子备份投标文件 </w:t>
            </w:r>
          </w:p>
        </w:tc>
      </w:tr>
      <w:tr w14:paraId="03D8EA9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76" w:hRule="atLeast"/>
        </w:trPr>
        <w:tc>
          <w:tcPr>
            <w:tcW w:w="978" w:type="dxa"/>
            <w:tcBorders>
              <w:top w:val="single" w:color="auto" w:sz="4" w:space="0"/>
              <w:left w:val="single" w:color="auto" w:sz="4" w:space="0"/>
              <w:bottom w:val="single" w:color="auto" w:sz="4" w:space="0"/>
              <w:right w:val="single" w:color="auto" w:sz="4" w:space="0"/>
            </w:tcBorders>
            <w:noWrap w:val="0"/>
            <w:vAlign w:val="center"/>
          </w:tcPr>
          <w:p w14:paraId="677B032F">
            <w:pPr>
              <w:keepNext w:val="0"/>
              <w:keepLines w:val="0"/>
              <w:pageBreakBefore w:val="0"/>
              <w:widowControl w:val="0"/>
              <w:suppressLineNumbers w:val="0"/>
              <w:kinsoku/>
              <w:overflowPunct/>
              <w:topLinePunct w:val="0"/>
              <w:bidi w:val="0"/>
              <w:spacing w:before="0" w:beforeAutospacing="0" w:after="0" w:afterAutospacing="0" w:line="400" w:lineRule="exact"/>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21.1</w:t>
            </w:r>
          </w:p>
        </w:tc>
        <w:tc>
          <w:tcPr>
            <w:tcW w:w="8175" w:type="dxa"/>
            <w:tcBorders>
              <w:top w:val="single" w:color="auto" w:sz="4" w:space="0"/>
              <w:left w:val="single" w:color="auto" w:sz="4" w:space="0"/>
              <w:bottom w:val="single" w:color="auto" w:sz="4" w:space="0"/>
              <w:right w:val="single" w:color="auto" w:sz="4" w:space="0"/>
            </w:tcBorders>
            <w:noWrap w:val="0"/>
            <w:vAlign w:val="center"/>
          </w:tcPr>
          <w:p w14:paraId="78593AB3">
            <w:pPr>
              <w:keepNext w:val="0"/>
              <w:keepLines w:val="0"/>
              <w:pageBreakBefore w:val="0"/>
              <w:widowControl w:val="0"/>
              <w:suppressLineNumbers w:val="0"/>
              <w:kinsoku/>
              <w:overflowPunct/>
              <w:topLinePunct w:val="0"/>
              <w:bidi w:val="0"/>
              <w:snapToGrid w:val="0"/>
              <w:spacing w:before="0" w:beforeAutospacing="0" w:after="0" w:afterAutospacing="0" w:line="400" w:lineRule="exact"/>
              <w:ind w:left="0" w:right="0"/>
              <w:rPr>
                <w:rFonts w:hint="eastAsia" w:ascii="宋体" w:hAnsi="宋体" w:cs="宋体"/>
                <w:color w:val="auto"/>
                <w:szCs w:val="21"/>
                <w:highlight w:val="none"/>
                <w:u w:val="single"/>
              </w:rPr>
            </w:pPr>
            <w:r>
              <w:rPr>
                <w:rFonts w:hint="eastAsia" w:ascii="宋体" w:hAnsi="宋体" w:cs="宋体"/>
                <w:color w:val="auto"/>
                <w:szCs w:val="21"/>
                <w:highlight w:val="none"/>
              </w:rPr>
              <w:t>1.提交投标文件截止时间：详见招标公告</w:t>
            </w:r>
          </w:p>
          <w:p w14:paraId="13C94AFF">
            <w:pPr>
              <w:keepNext w:val="0"/>
              <w:keepLines w:val="0"/>
              <w:pageBreakBefore w:val="0"/>
              <w:widowControl w:val="0"/>
              <w:suppressLineNumbers w:val="0"/>
              <w:kinsoku/>
              <w:overflowPunct/>
              <w:topLinePunct w:val="0"/>
              <w:bidi w:val="0"/>
              <w:snapToGrid w:val="0"/>
              <w:spacing w:before="0" w:beforeAutospacing="0" w:after="0" w:afterAutospacing="0" w:line="400" w:lineRule="exact"/>
              <w:ind w:left="0" w:right="0"/>
              <w:rPr>
                <w:rFonts w:hint="eastAsia" w:ascii="宋体" w:hAnsi="宋体" w:cs="宋体"/>
                <w:color w:val="auto"/>
                <w:szCs w:val="21"/>
                <w:highlight w:val="none"/>
              </w:rPr>
            </w:pPr>
            <w:r>
              <w:rPr>
                <w:rFonts w:hint="eastAsia" w:ascii="宋体" w:hAnsi="宋体" w:cs="宋体"/>
                <w:color w:val="auto"/>
                <w:szCs w:val="21"/>
                <w:highlight w:val="none"/>
              </w:rPr>
              <w:t>2.投标地点：详见招标公告</w:t>
            </w:r>
          </w:p>
        </w:tc>
      </w:tr>
      <w:tr w14:paraId="17455A8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78" w:type="dxa"/>
            <w:tcBorders>
              <w:top w:val="single" w:color="auto" w:sz="4" w:space="0"/>
              <w:left w:val="single" w:color="auto" w:sz="4" w:space="0"/>
              <w:bottom w:val="single" w:color="auto" w:sz="4" w:space="0"/>
              <w:right w:val="single" w:color="auto" w:sz="4" w:space="0"/>
            </w:tcBorders>
            <w:noWrap w:val="0"/>
            <w:vAlign w:val="center"/>
          </w:tcPr>
          <w:p w14:paraId="60C00E54">
            <w:pPr>
              <w:keepNext w:val="0"/>
              <w:keepLines w:val="0"/>
              <w:pageBreakBefore w:val="0"/>
              <w:widowControl w:val="0"/>
              <w:suppressLineNumbers w:val="0"/>
              <w:kinsoku/>
              <w:overflowPunct/>
              <w:topLinePunct w:val="0"/>
              <w:bidi w:val="0"/>
              <w:spacing w:before="0" w:beforeAutospacing="0" w:after="0" w:afterAutospacing="0" w:line="400" w:lineRule="exact"/>
              <w:ind w:left="0" w:right="0"/>
              <w:jc w:val="center"/>
              <w:rPr>
                <w:rFonts w:hint="eastAsia" w:ascii="宋体" w:hAnsi="宋体" w:cs="宋体"/>
                <w:color w:val="auto"/>
                <w:szCs w:val="21"/>
                <w:highlight w:val="none"/>
              </w:rPr>
            </w:pPr>
            <w:bookmarkStart w:id="79" w:name="_23"/>
            <w:bookmarkEnd w:id="79"/>
            <w:r>
              <w:rPr>
                <w:rFonts w:hint="eastAsia" w:ascii="宋体" w:hAnsi="宋体" w:cs="宋体"/>
                <w:color w:val="auto"/>
                <w:szCs w:val="21"/>
                <w:highlight w:val="none"/>
              </w:rPr>
              <w:t>23</w:t>
            </w:r>
          </w:p>
        </w:tc>
        <w:tc>
          <w:tcPr>
            <w:tcW w:w="8175" w:type="dxa"/>
            <w:tcBorders>
              <w:top w:val="single" w:color="auto" w:sz="4" w:space="0"/>
              <w:left w:val="single" w:color="auto" w:sz="4" w:space="0"/>
              <w:bottom w:val="single" w:color="auto" w:sz="4" w:space="0"/>
              <w:right w:val="single" w:color="auto" w:sz="4" w:space="0"/>
            </w:tcBorders>
            <w:noWrap w:val="0"/>
            <w:vAlign w:val="center"/>
          </w:tcPr>
          <w:p w14:paraId="6F864225">
            <w:pPr>
              <w:keepNext w:val="0"/>
              <w:keepLines w:val="0"/>
              <w:pageBreakBefore w:val="0"/>
              <w:widowControl w:val="0"/>
              <w:suppressLineNumbers w:val="0"/>
              <w:kinsoku/>
              <w:overflowPunct/>
              <w:topLinePunct w:val="0"/>
              <w:bidi w:val="0"/>
              <w:snapToGrid w:val="0"/>
              <w:spacing w:before="0" w:beforeAutospacing="0" w:after="0" w:afterAutospacing="0" w:line="400" w:lineRule="exact"/>
              <w:ind w:left="0" w:right="0"/>
              <w:rPr>
                <w:rFonts w:hint="eastAsia" w:ascii="宋体" w:hAnsi="宋体" w:cs="宋体"/>
                <w:color w:val="auto"/>
                <w:szCs w:val="21"/>
                <w:highlight w:val="none"/>
              </w:rPr>
            </w:pPr>
            <w:r>
              <w:rPr>
                <w:rFonts w:hint="eastAsia" w:ascii="宋体" w:hAnsi="宋体" w:cs="宋体"/>
                <w:color w:val="auto"/>
                <w:szCs w:val="21"/>
                <w:highlight w:val="none"/>
              </w:rPr>
              <w:t>1.开标时间：详见招标公告</w:t>
            </w:r>
          </w:p>
          <w:p w14:paraId="0243BC9C">
            <w:pPr>
              <w:keepNext w:val="0"/>
              <w:keepLines w:val="0"/>
              <w:pageBreakBefore w:val="0"/>
              <w:widowControl w:val="0"/>
              <w:suppressLineNumbers w:val="0"/>
              <w:kinsoku/>
              <w:overflowPunct/>
              <w:topLinePunct w:val="0"/>
              <w:bidi w:val="0"/>
              <w:snapToGrid w:val="0"/>
              <w:spacing w:before="0" w:beforeAutospacing="0" w:after="0" w:afterAutospacing="0" w:line="400" w:lineRule="exact"/>
              <w:ind w:left="0" w:right="0"/>
              <w:rPr>
                <w:rFonts w:hint="eastAsia" w:ascii="宋体" w:hAnsi="宋体" w:cs="宋体"/>
                <w:color w:val="auto"/>
                <w:szCs w:val="21"/>
                <w:highlight w:val="none"/>
              </w:rPr>
            </w:pPr>
            <w:r>
              <w:rPr>
                <w:rFonts w:hint="eastAsia" w:ascii="宋体" w:hAnsi="宋体" w:cs="宋体"/>
                <w:color w:val="auto"/>
                <w:szCs w:val="21"/>
                <w:highlight w:val="none"/>
              </w:rPr>
              <w:t>2.开标地点：详见招标公告</w:t>
            </w:r>
          </w:p>
        </w:tc>
      </w:tr>
      <w:tr w14:paraId="613BC2D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78" w:type="dxa"/>
            <w:tcBorders>
              <w:top w:val="single" w:color="auto" w:sz="4" w:space="0"/>
              <w:left w:val="single" w:color="auto" w:sz="4" w:space="0"/>
              <w:bottom w:val="single" w:color="auto" w:sz="4" w:space="0"/>
              <w:right w:val="single" w:color="auto" w:sz="4" w:space="0"/>
            </w:tcBorders>
            <w:noWrap w:val="0"/>
            <w:vAlign w:val="center"/>
          </w:tcPr>
          <w:p w14:paraId="7486866E">
            <w:pPr>
              <w:keepNext w:val="0"/>
              <w:keepLines w:val="0"/>
              <w:pageBreakBefore w:val="0"/>
              <w:widowControl w:val="0"/>
              <w:suppressLineNumbers w:val="0"/>
              <w:kinsoku/>
              <w:overflowPunct/>
              <w:topLinePunct w:val="0"/>
              <w:bidi w:val="0"/>
              <w:spacing w:before="0" w:beforeAutospacing="0" w:after="0" w:afterAutospacing="0" w:line="400" w:lineRule="exact"/>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24.3</w:t>
            </w:r>
            <w:r>
              <w:rPr>
                <w:rFonts w:hint="eastAsia" w:ascii="宋体" w:hAnsi="宋体" w:cs="宋体"/>
                <w:color w:val="auto"/>
                <w:szCs w:val="21"/>
                <w:highlight w:val="none"/>
                <w:lang w:eastAsia="zh-CN"/>
              </w:rPr>
              <w:t>(</w:t>
            </w:r>
            <w:r>
              <w:rPr>
                <w:rFonts w:hint="eastAsia" w:ascii="宋体" w:hAnsi="宋体" w:cs="宋体"/>
                <w:color w:val="auto"/>
                <w:szCs w:val="21"/>
                <w:highlight w:val="none"/>
              </w:rPr>
              <w:t>1</w:t>
            </w:r>
            <w:r>
              <w:rPr>
                <w:rFonts w:hint="eastAsia" w:ascii="宋体" w:hAnsi="宋体" w:cs="宋体"/>
                <w:color w:val="auto"/>
                <w:szCs w:val="21"/>
                <w:highlight w:val="none"/>
                <w:lang w:eastAsia="zh-CN"/>
              </w:rPr>
              <w:t>)</w:t>
            </w:r>
          </w:p>
        </w:tc>
        <w:tc>
          <w:tcPr>
            <w:tcW w:w="8175" w:type="dxa"/>
            <w:tcBorders>
              <w:top w:val="single" w:color="auto" w:sz="4" w:space="0"/>
              <w:left w:val="single" w:color="auto" w:sz="4" w:space="0"/>
              <w:bottom w:val="single" w:color="auto" w:sz="4" w:space="0"/>
              <w:right w:val="single" w:color="auto" w:sz="4" w:space="0"/>
            </w:tcBorders>
            <w:noWrap w:val="0"/>
            <w:vAlign w:val="center"/>
          </w:tcPr>
          <w:p w14:paraId="6ECD8483">
            <w:pPr>
              <w:keepNext w:val="0"/>
              <w:keepLines w:val="0"/>
              <w:pageBreakBefore w:val="0"/>
              <w:widowControl w:val="0"/>
              <w:suppressLineNumbers w:val="0"/>
              <w:kinsoku/>
              <w:overflowPunct/>
              <w:topLinePunct w:val="0"/>
              <w:bidi w:val="0"/>
              <w:snapToGrid w:val="0"/>
              <w:spacing w:before="0" w:beforeAutospacing="0" w:after="0" w:afterAutospacing="0" w:line="400" w:lineRule="exact"/>
              <w:ind w:left="0" w:right="0"/>
              <w:rPr>
                <w:rFonts w:hint="eastAsia" w:ascii="宋体" w:hAnsi="宋体" w:cs="宋体"/>
                <w:color w:val="auto"/>
                <w:szCs w:val="21"/>
                <w:highlight w:val="none"/>
              </w:rPr>
            </w:pPr>
            <w:r>
              <w:rPr>
                <w:rFonts w:hint="eastAsia" w:ascii="宋体" w:hAnsi="宋体" w:cs="宋体"/>
                <w:color w:val="auto"/>
                <w:szCs w:val="21"/>
                <w:highlight w:val="none"/>
              </w:rPr>
              <w:t>电子投标文件解密时间：</w:t>
            </w:r>
            <w:r>
              <w:rPr>
                <w:rFonts w:hint="eastAsia" w:ascii="宋体" w:hAnsi="宋体" w:cs="宋体"/>
                <w:color w:val="auto"/>
                <w:szCs w:val="21"/>
                <w:highlight w:val="none"/>
                <w:u w:val="single"/>
              </w:rPr>
              <w:t>30</w:t>
            </w:r>
            <w:r>
              <w:rPr>
                <w:rFonts w:hint="eastAsia" w:ascii="宋体" w:hAnsi="宋体" w:cs="宋体"/>
                <w:color w:val="auto"/>
                <w:szCs w:val="21"/>
                <w:highlight w:val="none"/>
              </w:rPr>
              <w:t>分钟</w:t>
            </w:r>
          </w:p>
        </w:tc>
      </w:tr>
      <w:tr w14:paraId="2A95561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78" w:type="dxa"/>
            <w:tcBorders>
              <w:top w:val="single" w:color="auto" w:sz="4" w:space="0"/>
              <w:left w:val="single" w:color="auto" w:sz="4" w:space="0"/>
              <w:bottom w:val="single" w:color="auto" w:sz="4" w:space="0"/>
              <w:right w:val="single" w:color="auto" w:sz="4" w:space="0"/>
            </w:tcBorders>
            <w:noWrap w:val="0"/>
            <w:vAlign w:val="center"/>
          </w:tcPr>
          <w:p w14:paraId="49A35CE3">
            <w:pPr>
              <w:keepNext w:val="0"/>
              <w:keepLines w:val="0"/>
              <w:pageBreakBefore w:val="0"/>
              <w:widowControl w:val="0"/>
              <w:suppressLineNumbers w:val="0"/>
              <w:kinsoku/>
              <w:overflowPunct/>
              <w:topLinePunct w:val="0"/>
              <w:bidi w:val="0"/>
              <w:spacing w:before="0" w:beforeAutospacing="0" w:after="0" w:afterAutospacing="0" w:line="400" w:lineRule="exact"/>
              <w:ind w:left="0" w:right="0"/>
              <w:jc w:val="center"/>
              <w:rPr>
                <w:rFonts w:hint="eastAsia" w:ascii="宋体" w:hAnsi="宋体" w:cs="宋体"/>
                <w:color w:val="auto"/>
                <w:szCs w:val="21"/>
                <w:highlight w:val="none"/>
              </w:rPr>
            </w:pPr>
            <w:bookmarkStart w:id="80" w:name="_25.3"/>
            <w:bookmarkEnd w:id="80"/>
            <w:r>
              <w:rPr>
                <w:rFonts w:hint="eastAsia" w:ascii="宋体" w:hAnsi="宋体" w:cs="宋体"/>
                <w:color w:val="auto"/>
                <w:szCs w:val="21"/>
                <w:highlight w:val="none"/>
              </w:rPr>
              <w:t>25.3</w:t>
            </w:r>
            <w:r>
              <w:rPr>
                <w:rFonts w:hint="eastAsia" w:ascii="宋体" w:hAnsi="宋体" w:cs="宋体"/>
                <w:color w:val="auto"/>
                <w:szCs w:val="21"/>
                <w:highlight w:val="none"/>
                <w:lang w:eastAsia="zh-CN"/>
              </w:rPr>
              <w:t>(</w:t>
            </w:r>
            <w:r>
              <w:rPr>
                <w:rFonts w:hint="eastAsia" w:ascii="宋体" w:hAnsi="宋体" w:cs="宋体"/>
                <w:color w:val="auto"/>
                <w:szCs w:val="21"/>
                <w:highlight w:val="none"/>
              </w:rPr>
              <w:t>2</w:t>
            </w:r>
            <w:r>
              <w:rPr>
                <w:rFonts w:hint="eastAsia" w:ascii="宋体" w:hAnsi="宋体" w:cs="宋体"/>
                <w:color w:val="auto"/>
                <w:szCs w:val="21"/>
                <w:highlight w:val="none"/>
                <w:lang w:eastAsia="zh-CN"/>
              </w:rPr>
              <w:t>)</w:t>
            </w:r>
          </w:p>
        </w:tc>
        <w:tc>
          <w:tcPr>
            <w:tcW w:w="8175" w:type="dxa"/>
            <w:tcBorders>
              <w:top w:val="single" w:color="auto" w:sz="4" w:space="0"/>
              <w:left w:val="single" w:color="auto" w:sz="4" w:space="0"/>
              <w:bottom w:val="single" w:color="auto" w:sz="4" w:space="0"/>
              <w:right w:val="single" w:color="auto" w:sz="4" w:space="0"/>
            </w:tcBorders>
            <w:noWrap w:val="0"/>
            <w:vAlign w:val="center"/>
          </w:tcPr>
          <w:p w14:paraId="4725DE9D">
            <w:pPr>
              <w:keepNext w:val="0"/>
              <w:keepLines w:val="0"/>
              <w:pageBreakBefore w:val="0"/>
              <w:widowControl w:val="0"/>
              <w:suppressLineNumbers w:val="0"/>
              <w:kinsoku/>
              <w:wordWrap w:val="0"/>
              <w:overflowPunct/>
              <w:topLinePunct w:val="0"/>
              <w:bidi w:val="0"/>
              <w:snapToGrid w:val="0"/>
              <w:spacing w:before="0" w:beforeAutospacing="0" w:after="0" w:afterAutospacing="0" w:line="400" w:lineRule="exact"/>
              <w:ind w:left="0" w:right="0"/>
              <w:rPr>
                <w:rFonts w:hint="eastAsia" w:ascii="宋体" w:hAnsi="宋体" w:cs="宋体"/>
                <w:color w:val="auto"/>
                <w:szCs w:val="21"/>
                <w:highlight w:val="none"/>
              </w:rPr>
            </w:pPr>
            <w:r>
              <w:rPr>
                <w:rFonts w:hint="eastAsia" w:ascii="宋体" w:hAnsi="宋体" w:cs="宋体"/>
                <w:color w:val="auto"/>
                <w:szCs w:val="21"/>
                <w:highlight w:val="none"/>
              </w:rPr>
              <w:t>采购人或者采购代理机构在资格审查结束前，对投标人进行信用查询。</w:t>
            </w:r>
          </w:p>
          <w:p w14:paraId="477A8F48">
            <w:pPr>
              <w:keepNext w:val="0"/>
              <w:keepLines w:val="0"/>
              <w:pageBreakBefore w:val="0"/>
              <w:widowControl w:val="0"/>
              <w:suppressLineNumbers w:val="0"/>
              <w:kinsoku/>
              <w:wordWrap w:val="0"/>
              <w:overflowPunct/>
              <w:topLinePunct w:val="0"/>
              <w:bidi w:val="0"/>
              <w:snapToGrid w:val="0"/>
              <w:spacing w:before="0" w:beforeAutospacing="0" w:after="0" w:afterAutospacing="0" w:line="400" w:lineRule="exact"/>
              <w:ind w:left="0" w:right="0"/>
              <w:rPr>
                <w:rFonts w:hint="eastAsia" w:ascii="宋体" w:hAnsi="宋体" w:cs="宋体"/>
                <w:color w:val="auto"/>
                <w:szCs w:val="21"/>
                <w:highlight w:val="none"/>
              </w:rPr>
            </w:pPr>
            <w:r>
              <w:rPr>
                <w:rFonts w:hint="eastAsia" w:ascii="宋体" w:hAnsi="宋体" w:cs="宋体"/>
                <w:color w:val="auto"/>
                <w:szCs w:val="21"/>
                <w:highlight w:val="none"/>
              </w:rPr>
              <w:t>查询渠道：“信用中国”网站（www.creditchina.gov.cn）、中国政府采购网（www.ccgp.gov.cn）。</w:t>
            </w:r>
          </w:p>
          <w:p w14:paraId="0BF1760E">
            <w:pPr>
              <w:keepNext w:val="0"/>
              <w:keepLines w:val="0"/>
              <w:pageBreakBefore w:val="0"/>
              <w:widowControl w:val="0"/>
              <w:suppressLineNumbers w:val="0"/>
              <w:kinsoku/>
              <w:wordWrap w:val="0"/>
              <w:overflowPunct/>
              <w:topLinePunct w:val="0"/>
              <w:bidi w:val="0"/>
              <w:snapToGrid w:val="0"/>
              <w:spacing w:before="0" w:beforeAutospacing="0" w:after="0" w:afterAutospacing="0" w:line="400" w:lineRule="exact"/>
              <w:ind w:left="0" w:right="0"/>
              <w:rPr>
                <w:rFonts w:hint="eastAsia" w:ascii="宋体" w:hAnsi="宋体" w:cs="宋体"/>
                <w:color w:val="auto"/>
                <w:szCs w:val="21"/>
                <w:highlight w:val="none"/>
              </w:rPr>
            </w:pPr>
            <w:r>
              <w:rPr>
                <w:rFonts w:hint="eastAsia" w:ascii="宋体" w:hAnsi="宋体" w:cs="宋体"/>
                <w:color w:val="auto"/>
                <w:szCs w:val="21"/>
                <w:highlight w:val="none"/>
              </w:rPr>
              <w:t>信用查询截止时点：资格审查结束前</w:t>
            </w:r>
          </w:p>
          <w:p w14:paraId="341F0B2F">
            <w:pPr>
              <w:keepNext w:val="0"/>
              <w:keepLines w:val="0"/>
              <w:pageBreakBefore w:val="0"/>
              <w:widowControl w:val="0"/>
              <w:suppressLineNumbers w:val="0"/>
              <w:kinsoku/>
              <w:wordWrap w:val="0"/>
              <w:overflowPunct/>
              <w:topLinePunct w:val="0"/>
              <w:bidi w:val="0"/>
              <w:snapToGrid w:val="0"/>
              <w:spacing w:before="0" w:beforeAutospacing="0" w:after="0" w:afterAutospacing="0" w:line="400" w:lineRule="exact"/>
              <w:ind w:left="0" w:right="0"/>
              <w:rPr>
                <w:rFonts w:hint="eastAsia" w:ascii="宋体" w:hAnsi="宋体" w:cs="宋体"/>
                <w:color w:val="auto"/>
                <w:szCs w:val="21"/>
                <w:highlight w:val="none"/>
              </w:rPr>
            </w:pPr>
            <w:r>
              <w:rPr>
                <w:rFonts w:hint="eastAsia" w:ascii="宋体" w:hAnsi="宋体" w:cs="宋体"/>
                <w:color w:val="auto"/>
                <w:szCs w:val="21"/>
                <w:highlight w:val="none"/>
              </w:rPr>
              <w:t>查询记录和证据留存方式：在查询网站中直接截图查询记录，截图</w:t>
            </w:r>
            <w:r>
              <w:rPr>
                <w:rFonts w:hint="eastAsia" w:ascii="宋体" w:hAnsi="宋体" w:cs="宋体"/>
                <w:color w:val="auto"/>
                <w:szCs w:val="21"/>
                <w:highlight w:val="none"/>
                <w:lang w:eastAsia="zh-CN"/>
              </w:rPr>
              <w:t>作为</w:t>
            </w:r>
            <w:r>
              <w:rPr>
                <w:rFonts w:hint="eastAsia" w:ascii="宋体" w:hAnsi="宋体" w:cs="宋体"/>
                <w:color w:val="auto"/>
                <w:szCs w:val="21"/>
                <w:highlight w:val="none"/>
              </w:rPr>
              <w:t>广西政府采购云平台（</w:t>
            </w:r>
            <w:r>
              <w:rPr>
                <w:rFonts w:hint="eastAsia" w:ascii="宋体" w:hAnsi="宋体" w:cs="宋体"/>
                <w:bCs/>
                <w:color w:val="auto"/>
                <w:szCs w:val="21"/>
                <w:highlight w:val="none"/>
              </w:rPr>
              <w:t>https://www.gcy.zfcg.gxzf.gov.cn/</w:t>
            </w:r>
            <w:r>
              <w:rPr>
                <w:rFonts w:hint="eastAsia" w:ascii="宋体" w:hAnsi="宋体" w:cs="宋体"/>
                <w:color w:val="auto"/>
                <w:szCs w:val="21"/>
                <w:highlight w:val="none"/>
              </w:rPr>
              <w:t>）作为附件上传保存。</w:t>
            </w:r>
          </w:p>
          <w:p w14:paraId="2EADBA69">
            <w:pPr>
              <w:keepNext w:val="0"/>
              <w:keepLines w:val="0"/>
              <w:pageBreakBefore w:val="0"/>
              <w:widowControl w:val="0"/>
              <w:suppressLineNumbers w:val="0"/>
              <w:kinsoku/>
              <w:wordWrap w:val="0"/>
              <w:overflowPunct/>
              <w:topLinePunct w:val="0"/>
              <w:bidi w:val="0"/>
              <w:snapToGrid w:val="0"/>
              <w:spacing w:before="0" w:beforeAutospacing="0" w:after="0" w:afterAutospacing="0" w:line="400" w:lineRule="exact"/>
              <w:ind w:left="0" w:right="0"/>
              <w:rPr>
                <w:rFonts w:hint="eastAsia" w:ascii="宋体" w:hAnsi="宋体" w:cs="宋体"/>
                <w:b/>
                <w:color w:val="auto"/>
                <w:szCs w:val="21"/>
                <w:highlight w:val="none"/>
              </w:rPr>
            </w:pPr>
            <w:r>
              <w:rPr>
                <w:rFonts w:hint="eastAsia" w:ascii="宋体" w:hAnsi="宋体" w:cs="宋体"/>
                <w:color w:val="auto"/>
                <w:szCs w:val="21"/>
                <w:highlight w:val="none"/>
              </w:rPr>
              <w:t>信用信息使用规则：对在“信用中国”网站（www.creditchina.gov.cn）、中国政府采购网（www.ccgp.gov.cn）被列入失信被执行人、重大税收违法失信主体、政府采购严重违法失信行为记录名单及其他不符合《中华人民共和国政府采购法》第二十二条规定条件的供应商，采购人或者采购代理机构应当拒绝其参与政府采购活动。两个或两个以上的自然人、法人或者其他组织组成一个联合体，以一个供应商的身份共同参加政府采购活动的，应当对所有联合体成员进行信用记录查询，联合体成员存在不良信用记录（被列入失信被执行人、重大税收违法失信主体、政府采购严重违法失信行为记录名单及其他不符合《中华人民共和国政府采购法》第二十二条规定条件的供应商）的，视同联合体存在不良信用记录。</w:t>
            </w:r>
          </w:p>
        </w:tc>
      </w:tr>
      <w:tr w14:paraId="4B348DB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78" w:type="dxa"/>
            <w:tcBorders>
              <w:top w:val="single" w:color="auto" w:sz="4" w:space="0"/>
              <w:left w:val="single" w:color="auto" w:sz="4" w:space="0"/>
              <w:bottom w:val="single" w:color="auto" w:sz="4" w:space="0"/>
              <w:right w:val="single" w:color="auto" w:sz="4" w:space="0"/>
            </w:tcBorders>
            <w:noWrap w:val="0"/>
            <w:vAlign w:val="center"/>
          </w:tcPr>
          <w:p w14:paraId="536380B3">
            <w:pPr>
              <w:keepNext w:val="0"/>
              <w:keepLines w:val="0"/>
              <w:pageBreakBefore w:val="0"/>
              <w:widowControl w:val="0"/>
              <w:suppressLineNumbers w:val="0"/>
              <w:kinsoku/>
              <w:overflowPunct/>
              <w:topLinePunct w:val="0"/>
              <w:bidi w:val="0"/>
              <w:spacing w:before="0" w:beforeAutospacing="0" w:after="0" w:afterAutospacing="0" w:line="400" w:lineRule="exact"/>
              <w:ind w:left="0" w:right="0"/>
              <w:jc w:val="center"/>
              <w:rPr>
                <w:rFonts w:hint="eastAsia" w:ascii="宋体" w:hAnsi="宋体" w:cs="宋体"/>
                <w:color w:val="auto"/>
                <w:szCs w:val="21"/>
                <w:highlight w:val="none"/>
              </w:rPr>
            </w:pPr>
            <w:bookmarkStart w:id="81" w:name="_26"/>
            <w:bookmarkEnd w:id="81"/>
            <w:r>
              <w:rPr>
                <w:rFonts w:hint="eastAsia" w:ascii="宋体" w:hAnsi="宋体" w:cs="宋体"/>
                <w:color w:val="auto"/>
                <w:szCs w:val="21"/>
                <w:highlight w:val="none"/>
              </w:rPr>
              <w:t>26.1</w:t>
            </w:r>
          </w:p>
        </w:tc>
        <w:tc>
          <w:tcPr>
            <w:tcW w:w="8175" w:type="dxa"/>
            <w:tcBorders>
              <w:top w:val="single" w:color="auto" w:sz="4" w:space="0"/>
              <w:left w:val="single" w:color="auto" w:sz="4" w:space="0"/>
              <w:bottom w:val="single" w:color="auto" w:sz="4" w:space="0"/>
              <w:right w:val="single" w:color="auto" w:sz="4" w:space="0"/>
            </w:tcBorders>
            <w:noWrap w:val="0"/>
            <w:vAlign w:val="center"/>
          </w:tcPr>
          <w:p w14:paraId="0E97DC1E">
            <w:pPr>
              <w:keepNext w:val="0"/>
              <w:keepLines w:val="0"/>
              <w:pageBreakBefore w:val="0"/>
              <w:widowControl w:val="0"/>
              <w:suppressLineNumbers w:val="0"/>
              <w:kinsoku/>
              <w:overflowPunct/>
              <w:topLinePunct w:val="0"/>
              <w:autoSpaceDE w:val="0"/>
              <w:autoSpaceDN w:val="0"/>
              <w:bidi w:val="0"/>
              <w:snapToGrid w:val="0"/>
              <w:spacing w:before="0" w:beforeAutospacing="0" w:after="0" w:afterAutospacing="0" w:line="400" w:lineRule="exact"/>
              <w:ind w:left="0" w:right="0"/>
              <w:textAlignment w:val="bottom"/>
              <w:rPr>
                <w:rFonts w:hint="eastAsia" w:ascii="宋体" w:hAnsi="宋体" w:cs="宋体"/>
                <w:color w:val="auto"/>
                <w:szCs w:val="21"/>
                <w:highlight w:val="none"/>
              </w:rPr>
            </w:pPr>
            <w:r>
              <w:rPr>
                <w:rFonts w:hint="eastAsia" w:ascii="宋体" w:hAnsi="宋体" w:cs="宋体"/>
                <w:color w:val="auto"/>
                <w:szCs w:val="21"/>
                <w:highlight w:val="none"/>
              </w:rPr>
              <w:t>评标委员会的人数：</w:t>
            </w:r>
            <w:r>
              <w:rPr>
                <w:rFonts w:hint="eastAsia" w:ascii="宋体" w:hAnsi="宋体" w:cs="宋体"/>
                <w:color w:val="auto"/>
                <w:szCs w:val="21"/>
                <w:highlight w:val="none"/>
                <w:u w:val="single"/>
                <w:lang w:val="en-US" w:eastAsia="zh-CN"/>
              </w:rPr>
              <w:t>7</w:t>
            </w:r>
            <w:r>
              <w:rPr>
                <w:rFonts w:hint="eastAsia" w:ascii="宋体" w:hAnsi="宋体" w:cs="宋体"/>
                <w:color w:val="auto"/>
                <w:szCs w:val="21"/>
                <w:highlight w:val="none"/>
              </w:rPr>
              <w:t>人</w:t>
            </w:r>
          </w:p>
        </w:tc>
      </w:tr>
      <w:tr w14:paraId="598CA9B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78" w:type="dxa"/>
            <w:tcBorders>
              <w:top w:val="single" w:color="auto" w:sz="4" w:space="0"/>
              <w:left w:val="single" w:color="auto" w:sz="4" w:space="0"/>
              <w:bottom w:val="single" w:color="auto" w:sz="4" w:space="0"/>
              <w:right w:val="single" w:color="auto" w:sz="4" w:space="0"/>
            </w:tcBorders>
            <w:noWrap w:val="0"/>
            <w:vAlign w:val="center"/>
          </w:tcPr>
          <w:p w14:paraId="07892C10">
            <w:pPr>
              <w:keepNext w:val="0"/>
              <w:keepLines w:val="0"/>
              <w:pageBreakBefore w:val="0"/>
              <w:widowControl w:val="0"/>
              <w:suppressLineNumbers w:val="0"/>
              <w:kinsoku/>
              <w:overflowPunct/>
              <w:topLinePunct w:val="0"/>
              <w:bidi w:val="0"/>
              <w:spacing w:before="0" w:beforeAutospacing="0" w:after="0" w:afterAutospacing="0" w:line="400" w:lineRule="exact"/>
              <w:ind w:left="0" w:right="0"/>
              <w:jc w:val="center"/>
              <w:rPr>
                <w:rFonts w:hint="eastAsia" w:ascii="宋体" w:hAnsi="宋体" w:cs="宋体"/>
                <w:color w:val="auto"/>
                <w:szCs w:val="21"/>
                <w:highlight w:val="none"/>
              </w:rPr>
            </w:pPr>
            <w:bookmarkStart w:id="82" w:name="_28.3"/>
            <w:bookmarkEnd w:id="82"/>
            <w:r>
              <w:rPr>
                <w:rFonts w:hint="eastAsia" w:ascii="宋体" w:hAnsi="宋体" w:cs="宋体"/>
                <w:color w:val="auto"/>
                <w:szCs w:val="21"/>
                <w:highlight w:val="none"/>
              </w:rPr>
              <w:t>29.1</w:t>
            </w:r>
          </w:p>
        </w:tc>
        <w:tc>
          <w:tcPr>
            <w:tcW w:w="8175" w:type="dxa"/>
            <w:tcBorders>
              <w:top w:val="single" w:color="auto" w:sz="4" w:space="0"/>
              <w:left w:val="single" w:color="auto" w:sz="4" w:space="0"/>
              <w:bottom w:val="single" w:color="auto" w:sz="4" w:space="0"/>
              <w:right w:val="single" w:color="auto" w:sz="4" w:space="0"/>
            </w:tcBorders>
            <w:noWrap w:val="0"/>
            <w:vAlign w:val="center"/>
          </w:tcPr>
          <w:p w14:paraId="71C64126">
            <w:pPr>
              <w:keepNext w:val="0"/>
              <w:keepLines w:val="0"/>
              <w:pageBreakBefore w:val="0"/>
              <w:widowControl w:val="0"/>
              <w:suppressLineNumbers w:val="0"/>
              <w:kinsoku/>
              <w:overflowPunct/>
              <w:topLinePunct w:val="0"/>
              <w:autoSpaceDE w:val="0"/>
              <w:autoSpaceDN w:val="0"/>
              <w:bidi w:val="0"/>
              <w:snapToGrid w:val="0"/>
              <w:spacing w:before="0" w:beforeAutospacing="0" w:after="0" w:afterAutospacing="0" w:line="400" w:lineRule="exact"/>
              <w:ind w:left="0" w:right="0"/>
              <w:textAlignment w:val="bottom"/>
              <w:rPr>
                <w:rFonts w:hint="eastAsia" w:ascii="宋体" w:hAnsi="宋体" w:cs="宋体"/>
                <w:color w:val="auto"/>
                <w:szCs w:val="21"/>
                <w:highlight w:val="none"/>
              </w:rPr>
            </w:pPr>
            <w:r>
              <w:rPr>
                <w:rFonts w:hint="eastAsia" w:ascii="宋体" w:hAnsi="宋体" w:cs="宋体"/>
                <w:color w:val="auto"/>
                <w:szCs w:val="21"/>
                <w:highlight w:val="none"/>
              </w:rPr>
              <w:t>评标方法：综合评分法</w:t>
            </w:r>
          </w:p>
        </w:tc>
      </w:tr>
      <w:tr w14:paraId="3DA1B7A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55" w:hRule="atLeast"/>
        </w:trPr>
        <w:tc>
          <w:tcPr>
            <w:tcW w:w="978" w:type="dxa"/>
            <w:tcBorders>
              <w:top w:val="single" w:color="auto" w:sz="4" w:space="0"/>
              <w:left w:val="single" w:color="auto" w:sz="4" w:space="0"/>
              <w:bottom w:val="single" w:color="auto" w:sz="4" w:space="0"/>
              <w:right w:val="single" w:color="auto" w:sz="4" w:space="0"/>
            </w:tcBorders>
            <w:noWrap w:val="0"/>
            <w:vAlign w:val="center"/>
          </w:tcPr>
          <w:p w14:paraId="3029ABBF">
            <w:pPr>
              <w:keepNext w:val="0"/>
              <w:keepLines w:val="0"/>
              <w:pageBreakBefore w:val="0"/>
              <w:widowControl w:val="0"/>
              <w:suppressLineNumbers w:val="0"/>
              <w:kinsoku/>
              <w:overflowPunct/>
              <w:topLinePunct w:val="0"/>
              <w:bidi w:val="0"/>
              <w:spacing w:before="0" w:beforeAutospacing="0" w:after="0" w:afterAutospacing="0" w:line="400" w:lineRule="exact"/>
              <w:ind w:left="0" w:right="0"/>
              <w:jc w:val="center"/>
              <w:rPr>
                <w:rFonts w:hint="eastAsia" w:ascii="宋体" w:hAnsi="宋体" w:cs="宋体"/>
                <w:color w:val="auto"/>
                <w:szCs w:val="21"/>
                <w:highlight w:val="none"/>
              </w:rPr>
            </w:pPr>
            <w:bookmarkStart w:id="83" w:name="_29.2.2（2）"/>
            <w:bookmarkEnd w:id="83"/>
            <w:r>
              <w:rPr>
                <w:rFonts w:hint="eastAsia" w:ascii="宋体" w:hAnsi="宋体" w:cs="宋体"/>
                <w:color w:val="auto"/>
                <w:szCs w:val="21"/>
                <w:highlight w:val="none"/>
              </w:rPr>
              <w:t>29.2</w:t>
            </w:r>
          </w:p>
        </w:tc>
        <w:tc>
          <w:tcPr>
            <w:tcW w:w="8175" w:type="dxa"/>
            <w:tcBorders>
              <w:top w:val="single" w:color="auto" w:sz="4" w:space="0"/>
              <w:left w:val="single" w:color="auto" w:sz="4" w:space="0"/>
              <w:right w:val="single" w:color="auto" w:sz="4" w:space="0"/>
            </w:tcBorders>
            <w:noWrap w:val="0"/>
            <w:vAlign w:val="center"/>
          </w:tcPr>
          <w:p w14:paraId="248222CB">
            <w:pPr>
              <w:keepNext w:val="0"/>
              <w:keepLines w:val="0"/>
              <w:pageBreakBefore w:val="0"/>
              <w:widowControl w:val="0"/>
              <w:suppressLineNumbers w:val="0"/>
              <w:kinsoku/>
              <w:overflowPunct/>
              <w:topLinePunct w:val="0"/>
              <w:bidi w:val="0"/>
              <w:snapToGrid w:val="0"/>
              <w:spacing w:before="0" w:beforeAutospacing="0" w:after="0" w:afterAutospacing="0" w:line="400" w:lineRule="exact"/>
              <w:ind w:left="0" w:right="0"/>
              <w:rPr>
                <w:rFonts w:hint="eastAsia" w:ascii="宋体" w:hAnsi="宋体" w:cs="宋体"/>
                <w:color w:val="auto"/>
                <w:szCs w:val="21"/>
                <w:highlight w:val="none"/>
              </w:rPr>
            </w:pPr>
            <w:r>
              <w:rPr>
                <w:rFonts w:hint="eastAsia" w:ascii="宋体" w:hAnsi="宋体" w:cs="宋体"/>
                <w:color w:val="auto"/>
                <w:szCs w:val="21"/>
                <w:highlight w:val="none"/>
              </w:rPr>
              <w:t>商务要求评审中允许负偏离的条款数为</w:t>
            </w:r>
            <w:r>
              <w:rPr>
                <w:rFonts w:hint="eastAsia" w:ascii="宋体" w:hAnsi="宋体" w:cs="宋体"/>
                <w:color w:val="auto"/>
                <w:szCs w:val="21"/>
                <w:highlight w:val="none"/>
                <w:u w:val="single"/>
              </w:rPr>
              <w:t>0</w:t>
            </w:r>
            <w:r>
              <w:rPr>
                <w:rFonts w:hint="eastAsia" w:ascii="宋体" w:hAnsi="宋体" w:cs="宋体"/>
                <w:color w:val="auto"/>
                <w:szCs w:val="21"/>
                <w:highlight w:val="none"/>
              </w:rPr>
              <w:t>项。</w:t>
            </w:r>
          </w:p>
          <w:p w14:paraId="677F3FBD">
            <w:pPr>
              <w:keepNext w:val="0"/>
              <w:keepLines w:val="0"/>
              <w:pageBreakBefore w:val="0"/>
              <w:widowControl w:val="0"/>
              <w:suppressLineNumbers w:val="0"/>
              <w:kinsoku/>
              <w:overflowPunct/>
              <w:topLinePunct w:val="0"/>
              <w:bidi w:val="0"/>
              <w:snapToGrid w:val="0"/>
              <w:spacing w:before="0" w:beforeAutospacing="0" w:after="0" w:afterAutospacing="0" w:line="400" w:lineRule="exact"/>
              <w:ind w:left="0" w:right="0"/>
              <w:rPr>
                <w:rFonts w:hint="eastAsia" w:ascii="宋体" w:hAnsi="宋体" w:cs="宋体"/>
                <w:color w:val="auto"/>
                <w:szCs w:val="21"/>
                <w:highlight w:val="none"/>
              </w:rPr>
            </w:pPr>
            <w:r>
              <w:rPr>
                <w:rFonts w:hint="eastAsia" w:ascii="宋体" w:hAnsi="宋体" w:cs="宋体"/>
                <w:color w:val="auto"/>
                <w:szCs w:val="21"/>
                <w:highlight w:val="none"/>
              </w:rPr>
              <w:t>技术要求评审中允许负偏离的条款数为</w:t>
            </w:r>
            <w:r>
              <w:rPr>
                <w:rFonts w:hint="eastAsia" w:ascii="宋体" w:hAnsi="宋体" w:cs="宋体"/>
                <w:color w:val="auto"/>
                <w:szCs w:val="21"/>
                <w:highlight w:val="none"/>
                <w:u w:val="single"/>
              </w:rPr>
              <w:t>0</w:t>
            </w:r>
            <w:r>
              <w:rPr>
                <w:rFonts w:hint="eastAsia" w:ascii="宋体" w:hAnsi="宋体" w:cs="宋体"/>
                <w:color w:val="auto"/>
                <w:szCs w:val="21"/>
                <w:highlight w:val="none"/>
              </w:rPr>
              <w:t>项。</w:t>
            </w:r>
          </w:p>
        </w:tc>
      </w:tr>
      <w:tr w14:paraId="2BC19CF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55" w:hRule="atLeast"/>
        </w:trPr>
        <w:tc>
          <w:tcPr>
            <w:tcW w:w="978" w:type="dxa"/>
            <w:tcBorders>
              <w:top w:val="single" w:color="auto" w:sz="4" w:space="0"/>
              <w:left w:val="single" w:color="auto" w:sz="4" w:space="0"/>
              <w:right w:val="single" w:color="auto" w:sz="4" w:space="0"/>
            </w:tcBorders>
            <w:noWrap w:val="0"/>
            <w:vAlign w:val="center"/>
          </w:tcPr>
          <w:p w14:paraId="6F9E01A9">
            <w:pPr>
              <w:keepNext w:val="0"/>
              <w:keepLines w:val="0"/>
              <w:pageBreakBefore w:val="0"/>
              <w:widowControl w:val="0"/>
              <w:suppressLineNumbers w:val="0"/>
              <w:kinsoku/>
              <w:overflowPunct/>
              <w:topLinePunct w:val="0"/>
              <w:bidi w:val="0"/>
              <w:spacing w:before="0" w:beforeAutospacing="0" w:after="0" w:afterAutospacing="0" w:line="400" w:lineRule="exact"/>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29.3</w:t>
            </w:r>
          </w:p>
        </w:tc>
        <w:tc>
          <w:tcPr>
            <w:tcW w:w="8175" w:type="dxa"/>
            <w:tcBorders>
              <w:top w:val="single" w:color="auto" w:sz="4" w:space="0"/>
              <w:left w:val="single" w:color="auto" w:sz="4" w:space="0"/>
              <w:right w:val="single" w:color="auto" w:sz="4" w:space="0"/>
            </w:tcBorders>
            <w:noWrap w:val="0"/>
            <w:vAlign w:val="center"/>
          </w:tcPr>
          <w:p w14:paraId="1443A59B">
            <w:pPr>
              <w:keepNext w:val="0"/>
              <w:keepLines w:val="0"/>
              <w:pageBreakBefore w:val="0"/>
              <w:widowControl w:val="0"/>
              <w:suppressLineNumbers w:val="0"/>
              <w:kinsoku/>
              <w:overflowPunct/>
              <w:topLinePunct w:val="0"/>
              <w:bidi w:val="0"/>
              <w:snapToGrid w:val="0"/>
              <w:spacing w:before="0" w:beforeAutospacing="0" w:after="0" w:afterAutospacing="0" w:line="400" w:lineRule="exact"/>
              <w:ind w:left="0" w:right="0"/>
              <w:rPr>
                <w:rFonts w:hint="eastAsia" w:ascii="宋体" w:hAnsi="宋体" w:cs="宋体"/>
                <w:color w:val="auto"/>
                <w:szCs w:val="21"/>
                <w:highlight w:val="none"/>
              </w:rPr>
            </w:pPr>
            <w:r>
              <w:rPr>
                <w:rFonts w:hint="eastAsia" w:ascii="宋体" w:hAnsi="宋体" w:cs="宋体"/>
                <w:color w:val="auto"/>
                <w:szCs w:val="21"/>
                <w:highlight w:val="none"/>
              </w:rPr>
              <w:t>中标候选人推荐数量：</w:t>
            </w:r>
            <w:r>
              <w:rPr>
                <w:rFonts w:hint="eastAsia" w:ascii="宋体" w:hAnsi="宋体" w:cs="宋体"/>
                <w:color w:val="auto"/>
                <w:szCs w:val="21"/>
                <w:highlight w:val="none"/>
                <w:u w:val="single"/>
              </w:rPr>
              <w:t>3</w:t>
            </w:r>
            <w:r>
              <w:rPr>
                <w:rFonts w:hint="eastAsia" w:ascii="宋体" w:hAnsi="宋体" w:cs="宋体"/>
                <w:color w:val="auto"/>
                <w:szCs w:val="21"/>
                <w:highlight w:val="none"/>
              </w:rPr>
              <w:t>名</w:t>
            </w:r>
          </w:p>
        </w:tc>
      </w:tr>
      <w:tr w14:paraId="6794C77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78" w:type="dxa"/>
            <w:tcBorders>
              <w:top w:val="single" w:color="auto" w:sz="4" w:space="0"/>
              <w:left w:val="single" w:color="auto" w:sz="4" w:space="0"/>
              <w:bottom w:val="single" w:color="auto" w:sz="4" w:space="0"/>
              <w:right w:val="single" w:color="auto" w:sz="4" w:space="0"/>
            </w:tcBorders>
            <w:noWrap w:val="0"/>
            <w:vAlign w:val="center"/>
          </w:tcPr>
          <w:p w14:paraId="1907C7BC">
            <w:pPr>
              <w:keepNext w:val="0"/>
              <w:keepLines w:val="0"/>
              <w:pageBreakBefore w:val="0"/>
              <w:widowControl w:val="0"/>
              <w:suppressLineNumbers w:val="0"/>
              <w:kinsoku/>
              <w:overflowPunct/>
              <w:topLinePunct w:val="0"/>
              <w:bidi w:val="0"/>
              <w:spacing w:before="0" w:beforeAutospacing="0" w:after="0" w:afterAutospacing="0" w:line="400" w:lineRule="exact"/>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30.1</w:t>
            </w:r>
          </w:p>
        </w:tc>
        <w:tc>
          <w:tcPr>
            <w:tcW w:w="8175" w:type="dxa"/>
            <w:tcBorders>
              <w:top w:val="single" w:color="auto" w:sz="4" w:space="0"/>
              <w:left w:val="single" w:color="auto" w:sz="4" w:space="0"/>
              <w:bottom w:val="single" w:color="auto" w:sz="4" w:space="0"/>
              <w:right w:val="single" w:color="auto" w:sz="4" w:space="0"/>
            </w:tcBorders>
            <w:noWrap w:val="0"/>
            <w:vAlign w:val="center"/>
          </w:tcPr>
          <w:p w14:paraId="3551A193">
            <w:pPr>
              <w:keepNext w:val="0"/>
              <w:keepLines w:val="0"/>
              <w:pageBreakBefore w:val="0"/>
              <w:widowControl w:val="0"/>
              <w:suppressLineNumbers w:val="0"/>
              <w:kinsoku/>
              <w:overflowPunct/>
              <w:topLinePunct w:val="0"/>
              <w:autoSpaceDE w:val="0"/>
              <w:autoSpaceDN w:val="0"/>
              <w:bidi w:val="0"/>
              <w:snapToGrid w:val="0"/>
              <w:spacing w:before="0" w:beforeAutospacing="0" w:after="0" w:afterAutospacing="0" w:line="400" w:lineRule="exact"/>
              <w:ind w:left="0" w:right="0"/>
              <w:textAlignment w:val="bottom"/>
              <w:rPr>
                <w:rFonts w:hint="eastAsia" w:ascii="宋体" w:hAnsi="宋体" w:cs="宋体"/>
                <w:color w:val="auto"/>
                <w:szCs w:val="21"/>
                <w:highlight w:val="none"/>
              </w:rPr>
            </w:pPr>
            <w:r>
              <w:rPr>
                <w:rFonts w:hint="eastAsia" w:ascii="宋体" w:hAnsi="宋体" w:cs="宋体"/>
                <w:color w:val="auto"/>
                <w:szCs w:val="21"/>
                <w:highlight w:val="none"/>
              </w:rPr>
              <w:t>采用综合评分法的采购项目，采购人确定中标人时，出现中标候选人并列的情形，采购人按</w:t>
            </w:r>
            <w:r>
              <w:rPr>
                <w:rFonts w:hint="eastAsia" w:ascii="宋体" w:hAnsi="宋体" w:cs="宋体"/>
                <w:color w:val="auto"/>
                <w:szCs w:val="21"/>
                <w:highlight w:val="none"/>
                <w:lang w:eastAsia="zh-CN"/>
              </w:rPr>
              <w:t>以下</w:t>
            </w:r>
            <w:r>
              <w:rPr>
                <w:rFonts w:hint="eastAsia" w:ascii="宋体" w:hAnsi="宋体" w:cs="宋体"/>
                <w:color w:val="auto"/>
                <w:szCs w:val="21"/>
                <w:highlight w:val="none"/>
              </w:rPr>
              <w:t>方式确定中标人：</w:t>
            </w:r>
            <w:r>
              <w:rPr>
                <w:rFonts w:hint="eastAsia" w:ascii="宋体" w:hAnsi="宋体" w:eastAsia="宋体" w:cs="宋体"/>
                <w:color w:val="auto"/>
                <w:sz w:val="21"/>
                <w:szCs w:val="21"/>
                <w:highlight w:val="none"/>
              </w:rPr>
              <w:t>依次</w:t>
            </w:r>
            <w:r>
              <w:rPr>
                <w:rFonts w:hint="eastAsia" w:ascii="宋体" w:hAnsi="宋体" w:eastAsia="宋体" w:cs="宋体"/>
                <w:color w:val="auto"/>
                <w:sz w:val="21"/>
                <w:szCs w:val="21"/>
                <w:highlight w:val="none"/>
                <w:lang w:val="en-US" w:eastAsia="zh-CN"/>
              </w:rPr>
              <w:t>按</w:t>
            </w:r>
            <w:r>
              <w:rPr>
                <w:rFonts w:hint="eastAsia" w:ascii="宋体" w:hAnsi="宋体" w:cs="宋体"/>
                <w:color w:val="auto"/>
                <w:sz w:val="21"/>
                <w:szCs w:val="21"/>
                <w:highlight w:val="none"/>
                <w:lang w:eastAsia="zh-CN"/>
              </w:rPr>
              <w:t>经营网点</w:t>
            </w:r>
            <w:r>
              <w:rPr>
                <w:rFonts w:hint="eastAsia" w:ascii="宋体" w:hAnsi="宋体" w:eastAsia="宋体" w:cs="宋体"/>
                <w:color w:val="auto"/>
                <w:sz w:val="21"/>
                <w:szCs w:val="21"/>
                <w:highlight w:val="none"/>
              </w:rPr>
              <w:t>分</w:t>
            </w:r>
            <w:r>
              <w:rPr>
                <w:rFonts w:hint="eastAsia" w:ascii="宋体" w:hAnsi="宋体" w:eastAsia="宋体" w:cs="宋体"/>
                <w:b w:val="0"/>
                <w:bCs w:val="0"/>
                <w:color w:val="auto"/>
                <w:sz w:val="21"/>
                <w:szCs w:val="21"/>
                <w:highlight w:val="none"/>
              </w:rPr>
              <w:t>→承保方案设计分→理赔服务方案分→增值服务分→保险业务管理规章制度分→保险培训服务分→</w:t>
            </w:r>
            <w:r>
              <w:rPr>
                <w:rFonts w:hint="eastAsia" w:ascii="宋体" w:hAnsi="宋体" w:eastAsia="宋体" w:cs="宋体"/>
                <w:color w:val="auto"/>
                <w:sz w:val="21"/>
                <w:szCs w:val="21"/>
                <w:highlight w:val="none"/>
              </w:rPr>
              <w:t>综合能力分顺序排列</w:t>
            </w:r>
            <w:r>
              <w:rPr>
                <w:rFonts w:hint="eastAsia" w:ascii="宋体" w:hAnsi="宋体" w:cs="宋体"/>
                <w:color w:val="auto"/>
                <w:szCs w:val="21"/>
                <w:highlight w:val="none"/>
              </w:rPr>
              <w:t>，</w:t>
            </w:r>
            <w:r>
              <w:rPr>
                <w:rFonts w:hint="eastAsia" w:ascii="宋体" w:hAnsi="宋体" w:cs="宋体"/>
                <w:iCs/>
                <w:color w:val="auto"/>
                <w:szCs w:val="21"/>
                <w:highlight w:val="none"/>
              </w:rPr>
              <w:t>评分高的顺序确定；按上述方式无法确定的，由采购人随机抽取。</w:t>
            </w:r>
          </w:p>
        </w:tc>
      </w:tr>
      <w:tr w14:paraId="252B4C2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978" w:type="dxa"/>
            <w:tcBorders>
              <w:top w:val="single" w:color="auto" w:sz="4" w:space="0"/>
              <w:left w:val="single" w:color="auto" w:sz="4" w:space="0"/>
              <w:bottom w:val="single" w:color="auto" w:sz="4" w:space="0"/>
              <w:right w:val="single" w:color="auto" w:sz="4" w:space="0"/>
            </w:tcBorders>
            <w:noWrap w:val="0"/>
            <w:vAlign w:val="center"/>
          </w:tcPr>
          <w:p w14:paraId="1BD44C3B">
            <w:pPr>
              <w:keepNext w:val="0"/>
              <w:keepLines w:val="0"/>
              <w:pageBreakBefore w:val="0"/>
              <w:widowControl w:val="0"/>
              <w:suppressLineNumbers w:val="0"/>
              <w:kinsoku/>
              <w:overflowPunct/>
              <w:topLinePunct w:val="0"/>
              <w:bidi w:val="0"/>
              <w:spacing w:before="0" w:beforeAutospacing="0" w:after="0" w:afterAutospacing="0" w:line="400" w:lineRule="exact"/>
              <w:ind w:left="0" w:right="0"/>
              <w:jc w:val="center"/>
              <w:rPr>
                <w:rFonts w:hint="eastAsia" w:ascii="宋体" w:hAnsi="宋体" w:cs="宋体"/>
                <w:color w:val="auto"/>
                <w:szCs w:val="21"/>
                <w:highlight w:val="none"/>
              </w:rPr>
            </w:pPr>
            <w:bookmarkStart w:id="84" w:name="_39.1"/>
            <w:bookmarkEnd w:id="84"/>
            <w:r>
              <w:rPr>
                <w:rFonts w:hint="eastAsia" w:ascii="宋体" w:hAnsi="宋体" w:cs="宋体"/>
                <w:color w:val="auto"/>
                <w:szCs w:val="21"/>
                <w:highlight w:val="none"/>
              </w:rPr>
              <w:t>35.1</w:t>
            </w:r>
          </w:p>
        </w:tc>
        <w:tc>
          <w:tcPr>
            <w:tcW w:w="8175" w:type="dxa"/>
            <w:tcBorders>
              <w:top w:val="single" w:color="auto" w:sz="4" w:space="0"/>
              <w:left w:val="single" w:color="auto" w:sz="4" w:space="0"/>
              <w:bottom w:val="single" w:color="auto" w:sz="4" w:space="0"/>
              <w:right w:val="single" w:color="auto" w:sz="4" w:space="0"/>
            </w:tcBorders>
            <w:noWrap w:val="0"/>
            <w:vAlign w:val="center"/>
          </w:tcPr>
          <w:p w14:paraId="4D234F1D">
            <w:pPr>
              <w:keepNext w:val="0"/>
              <w:keepLines w:val="0"/>
              <w:pageBreakBefore w:val="0"/>
              <w:widowControl w:val="0"/>
              <w:suppressLineNumbers w:val="0"/>
              <w:kinsoku/>
              <w:overflowPunct/>
              <w:topLinePunct w:val="0"/>
              <w:autoSpaceDE w:val="0"/>
              <w:autoSpaceDN w:val="0"/>
              <w:bidi w:val="0"/>
              <w:snapToGrid w:val="0"/>
              <w:spacing w:before="0" w:beforeAutospacing="0" w:after="0" w:afterAutospacing="0" w:line="400" w:lineRule="exact"/>
              <w:ind w:left="0" w:right="0"/>
              <w:textAlignment w:val="bottom"/>
              <w:rPr>
                <w:rFonts w:hint="eastAsia" w:ascii="宋体" w:hAnsi="宋体" w:cs="宋体"/>
                <w:color w:val="auto"/>
                <w:szCs w:val="21"/>
                <w:highlight w:val="none"/>
              </w:rPr>
            </w:pPr>
            <w:r>
              <w:rPr>
                <w:rFonts w:hint="eastAsia" w:ascii="宋体" w:hAnsi="宋体" w:cs="宋体"/>
                <w:color w:val="auto"/>
                <w:szCs w:val="21"/>
                <w:highlight w:val="none"/>
                <w:lang w:eastAsia="zh-CN"/>
              </w:rPr>
              <w:t>□</w:t>
            </w:r>
            <w:r>
              <w:rPr>
                <w:rFonts w:hint="eastAsia" w:ascii="宋体" w:hAnsi="宋体" w:cs="宋体"/>
                <w:color w:val="auto"/>
                <w:szCs w:val="21"/>
                <w:highlight w:val="none"/>
              </w:rPr>
              <w:t>本项目不收取履约保证金。</w:t>
            </w:r>
          </w:p>
          <w:p w14:paraId="16B46A18">
            <w:pPr>
              <w:keepNext w:val="0"/>
              <w:keepLines w:val="0"/>
              <w:pageBreakBefore w:val="0"/>
              <w:widowControl w:val="0"/>
              <w:suppressLineNumbers w:val="0"/>
              <w:kinsoku/>
              <w:overflowPunct/>
              <w:topLinePunct w:val="0"/>
              <w:autoSpaceDE w:val="0"/>
              <w:autoSpaceDN w:val="0"/>
              <w:bidi w:val="0"/>
              <w:snapToGrid w:val="0"/>
              <w:spacing w:before="0" w:beforeAutospacing="0" w:after="0" w:afterAutospacing="0" w:line="400" w:lineRule="exact"/>
              <w:ind w:left="0" w:right="0"/>
              <w:textAlignment w:val="bottom"/>
              <w:rPr>
                <w:rFonts w:hint="eastAsia" w:ascii="宋体" w:hAnsi="宋体" w:cs="宋体"/>
                <w:color w:val="auto"/>
                <w:szCs w:val="21"/>
                <w:highlight w:val="none"/>
                <w:lang w:eastAsia="zh-CN"/>
              </w:rPr>
            </w:pPr>
            <w:r>
              <w:rPr>
                <w:rFonts w:hint="eastAsia" w:ascii="宋体" w:hAnsi="宋体" w:cs="宋体"/>
                <w:color w:val="auto"/>
                <w:szCs w:val="21"/>
                <w:highlight w:val="none"/>
                <w:lang w:eastAsia="zh-CN"/>
              </w:rPr>
              <w:t>☑</w:t>
            </w:r>
            <w:r>
              <w:rPr>
                <w:rFonts w:hint="eastAsia" w:ascii="宋体" w:hAnsi="宋体" w:cs="宋体"/>
                <w:color w:val="auto"/>
                <w:szCs w:val="21"/>
                <w:highlight w:val="none"/>
              </w:rPr>
              <w:t>本项目收取履约保证金</w:t>
            </w:r>
            <w:r>
              <w:rPr>
                <w:rFonts w:hint="eastAsia" w:ascii="宋体" w:hAnsi="宋体" w:cs="宋体"/>
                <w:color w:val="auto"/>
                <w:szCs w:val="21"/>
                <w:highlight w:val="none"/>
                <w:lang w:eastAsia="zh-CN"/>
              </w:rPr>
              <w:t>：</w:t>
            </w:r>
          </w:p>
          <w:p w14:paraId="21D0C61B">
            <w:pPr>
              <w:keepNext w:val="0"/>
              <w:keepLines w:val="0"/>
              <w:pageBreakBefore w:val="0"/>
              <w:widowControl w:val="0"/>
              <w:suppressLineNumbers w:val="0"/>
              <w:kinsoku/>
              <w:overflowPunct/>
              <w:topLinePunct w:val="0"/>
              <w:autoSpaceDE w:val="0"/>
              <w:autoSpaceDN w:val="0"/>
              <w:bidi w:val="0"/>
              <w:snapToGrid w:val="0"/>
              <w:spacing w:before="0" w:beforeAutospacing="0" w:after="0" w:afterAutospacing="0" w:line="400" w:lineRule="exact"/>
              <w:ind w:left="0" w:right="0"/>
              <w:textAlignment w:val="bottom"/>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履约保证金金额：按中标金额的</w:t>
            </w:r>
            <w:r>
              <w:rPr>
                <w:rFonts w:hint="eastAsia" w:ascii="宋体" w:hAnsi="宋体" w:cs="宋体"/>
                <w:color w:val="auto"/>
                <w:sz w:val="21"/>
                <w:szCs w:val="21"/>
                <w:highlight w:val="none"/>
                <w:lang w:val="en-US" w:eastAsia="zh-CN"/>
              </w:rPr>
              <w:t>2</w:t>
            </w:r>
            <w:r>
              <w:rPr>
                <w:rFonts w:hint="eastAsia" w:ascii="宋体" w:hAnsi="宋体" w:eastAsia="宋体" w:cs="宋体"/>
                <w:color w:val="auto"/>
                <w:sz w:val="21"/>
                <w:szCs w:val="21"/>
                <w:highlight w:val="none"/>
              </w:rPr>
              <w:t>%（注：中小企业履约保证金不超过政府采购合同金额的2%）。【</w:t>
            </w:r>
            <w:r>
              <w:rPr>
                <w:rFonts w:hint="eastAsia" w:ascii="宋体" w:hAnsi="宋体" w:cs="宋体"/>
                <w:color w:val="auto"/>
                <w:sz w:val="21"/>
                <w:szCs w:val="21"/>
                <w:highlight w:val="none"/>
                <w:lang w:val="en-US" w:eastAsia="zh-CN"/>
              </w:rPr>
              <w:t>合同</w:t>
            </w:r>
            <w:r>
              <w:rPr>
                <w:rFonts w:hint="eastAsia" w:ascii="宋体" w:hAnsi="宋体" w:eastAsia="宋体" w:cs="宋体"/>
                <w:color w:val="auto"/>
                <w:sz w:val="21"/>
                <w:szCs w:val="21"/>
                <w:highlight w:val="none"/>
              </w:rPr>
              <w:t>金额：</w:t>
            </w:r>
            <w:r>
              <w:rPr>
                <w:rFonts w:hint="eastAsia" w:ascii="宋体" w:hAnsi="宋体" w:cs="宋体"/>
                <w:color w:val="auto"/>
                <w:sz w:val="21"/>
                <w:szCs w:val="21"/>
                <w:highlight w:val="none"/>
                <w:lang w:val="en-US" w:eastAsia="zh-CN"/>
              </w:rPr>
              <w:t>1700</w:t>
            </w:r>
            <w:r>
              <w:rPr>
                <w:rFonts w:hint="eastAsia" w:ascii="宋体" w:hAnsi="宋体" w:eastAsia="宋体" w:cs="宋体"/>
                <w:color w:val="auto"/>
                <w:sz w:val="21"/>
                <w:szCs w:val="21"/>
                <w:highlight w:val="none"/>
              </w:rPr>
              <w:t>万元】</w:t>
            </w:r>
          </w:p>
          <w:p w14:paraId="4D540F1E">
            <w:pPr>
              <w:keepNext w:val="0"/>
              <w:keepLines w:val="0"/>
              <w:pageBreakBefore w:val="0"/>
              <w:widowControl w:val="0"/>
              <w:suppressLineNumbers w:val="0"/>
              <w:kinsoku/>
              <w:overflowPunct/>
              <w:topLinePunct w:val="0"/>
              <w:autoSpaceDE w:val="0"/>
              <w:autoSpaceDN w:val="0"/>
              <w:bidi w:val="0"/>
              <w:snapToGrid w:val="0"/>
              <w:spacing w:before="0" w:beforeAutospacing="0" w:after="0" w:afterAutospacing="0" w:line="400" w:lineRule="exact"/>
              <w:ind w:left="0" w:right="0"/>
              <w:textAlignment w:val="bottom"/>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履约保证金递交方式：银行转账、支票、汇票、本票或者</w:t>
            </w:r>
            <w:r>
              <w:rPr>
                <w:rFonts w:hint="eastAsia" w:ascii="宋体" w:hAnsi="宋体" w:cs="宋体"/>
                <w:color w:val="auto"/>
                <w:sz w:val="21"/>
                <w:szCs w:val="21"/>
                <w:highlight w:val="none"/>
                <w:lang w:val="en-US" w:eastAsia="zh-CN"/>
              </w:rPr>
              <w:t>金融机构</w:t>
            </w:r>
            <w:r>
              <w:rPr>
                <w:rFonts w:hint="eastAsia" w:ascii="宋体" w:hAnsi="宋体" w:eastAsia="宋体" w:cs="宋体"/>
                <w:color w:val="auto"/>
                <w:sz w:val="21"/>
                <w:szCs w:val="21"/>
                <w:highlight w:val="none"/>
              </w:rPr>
              <w:t>、</w:t>
            </w:r>
            <w:r>
              <w:rPr>
                <w:rFonts w:hint="eastAsia" w:ascii="宋体" w:hAnsi="宋体" w:cs="宋体"/>
                <w:color w:val="auto"/>
                <w:sz w:val="21"/>
                <w:szCs w:val="21"/>
                <w:highlight w:val="none"/>
                <w:lang w:val="en-US" w:eastAsia="zh-CN"/>
              </w:rPr>
              <w:t>担保</w:t>
            </w:r>
            <w:r>
              <w:rPr>
                <w:rFonts w:hint="eastAsia" w:ascii="宋体" w:hAnsi="宋体" w:eastAsia="宋体" w:cs="宋体"/>
                <w:color w:val="auto"/>
                <w:sz w:val="21"/>
                <w:szCs w:val="21"/>
                <w:highlight w:val="none"/>
              </w:rPr>
              <w:t>机构出具的保函（含电子保函）等非现金方式</w:t>
            </w:r>
          </w:p>
          <w:p w14:paraId="03AFC100">
            <w:pPr>
              <w:keepNext w:val="0"/>
              <w:keepLines w:val="0"/>
              <w:pageBreakBefore w:val="0"/>
              <w:widowControl w:val="0"/>
              <w:suppressLineNumbers w:val="0"/>
              <w:kinsoku/>
              <w:overflowPunct/>
              <w:topLinePunct w:val="0"/>
              <w:autoSpaceDE w:val="0"/>
              <w:autoSpaceDN w:val="0"/>
              <w:bidi w:val="0"/>
              <w:snapToGrid w:val="0"/>
              <w:spacing w:before="0" w:beforeAutospacing="0" w:after="0" w:afterAutospacing="0" w:line="400" w:lineRule="exact"/>
              <w:ind w:left="0" w:right="0"/>
              <w:textAlignment w:val="bottom"/>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履约保证金缴纳期限: 自中标通知书发出之日起 5日内。</w:t>
            </w:r>
          </w:p>
          <w:p w14:paraId="093B683D">
            <w:pPr>
              <w:keepNext w:val="0"/>
              <w:keepLines w:val="0"/>
              <w:pageBreakBefore w:val="0"/>
              <w:widowControl w:val="0"/>
              <w:suppressLineNumbers w:val="0"/>
              <w:kinsoku/>
              <w:overflowPunct/>
              <w:topLinePunct w:val="0"/>
              <w:autoSpaceDE w:val="0"/>
              <w:autoSpaceDN w:val="0"/>
              <w:bidi w:val="0"/>
              <w:snapToGrid w:val="0"/>
              <w:spacing w:before="0" w:beforeAutospacing="0" w:after="0" w:afterAutospacing="0" w:line="400" w:lineRule="exact"/>
              <w:ind w:left="0" w:right="0"/>
              <w:textAlignment w:val="bottom"/>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履约保证金退付方式、时间及条件：</w:t>
            </w:r>
            <w:r>
              <w:rPr>
                <w:rFonts w:hint="eastAsia" w:ascii="宋体" w:hAnsi="宋体" w:cs="宋体"/>
                <w:color w:val="auto"/>
                <w:sz w:val="21"/>
                <w:szCs w:val="21"/>
                <w:highlight w:val="none"/>
                <w:lang w:eastAsia="zh-CN"/>
              </w:rPr>
              <w:t>非保函方式的</w:t>
            </w:r>
            <w:r>
              <w:rPr>
                <w:rFonts w:hint="eastAsia" w:ascii="宋体" w:hAnsi="宋体" w:eastAsia="宋体" w:cs="宋体"/>
                <w:color w:val="auto"/>
                <w:sz w:val="21"/>
                <w:szCs w:val="21"/>
                <w:highlight w:val="none"/>
              </w:rPr>
              <w:t>履约保证金在项目验收完成后无息退还。由中标人向履约保证金收取单位提供《广西壮族自治区政府采购项目合同验收书》（详见桂财采〔2015〕22号），保证金收取单位在收到合格材料后5个工作日内办理退还手续（不计利息）。</w:t>
            </w:r>
          </w:p>
          <w:p w14:paraId="6F608DC4">
            <w:pPr>
              <w:keepNext w:val="0"/>
              <w:keepLines w:val="0"/>
              <w:pageBreakBefore w:val="0"/>
              <w:widowControl w:val="0"/>
              <w:suppressLineNumbers w:val="0"/>
              <w:kinsoku/>
              <w:overflowPunct/>
              <w:topLinePunct w:val="0"/>
              <w:autoSpaceDE w:val="0"/>
              <w:autoSpaceDN w:val="0"/>
              <w:bidi w:val="0"/>
              <w:snapToGrid w:val="0"/>
              <w:spacing w:before="0" w:beforeAutospacing="0" w:after="0" w:afterAutospacing="0" w:line="400" w:lineRule="exact"/>
              <w:ind w:left="0" w:right="0"/>
              <w:textAlignment w:val="bottom"/>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不予退还的情形：签订合同后，如中标人不按双方签订的合同规定履约，则其全部履约保证金不予退还。</w:t>
            </w:r>
          </w:p>
          <w:p w14:paraId="2BBAC75C">
            <w:pPr>
              <w:keepNext w:val="0"/>
              <w:keepLines w:val="0"/>
              <w:pageBreakBefore w:val="0"/>
              <w:widowControl w:val="0"/>
              <w:suppressLineNumbers w:val="0"/>
              <w:kinsoku/>
              <w:overflowPunct/>
              <w:topLinePunct w:val="0"/>
              <w:autoSpaceDE w:val="0"/>
              <w:autoSpaceDN w:val="0"/>
              <w:bidi w:val="0"/>
              <w:snapToGrid w:val="0"/>
              <w:spacing w:before="0" w:beforeAutospacing="0" w:after="0" w:afterAutospacing="0" w:line="400" w:lineRule="exact"/>
              <w:ind w:left="0" w:right="0"/>
              <w:textAlignment w:val="bottom"/>
              <w:rPr>
                <w:rFonts w:hint="eastAsia" w:ascii="宋体" w:hAnsi="宋体" w:cs="宋体"/>
                <w:b/>
                <w:iCs/>
                <w:color w:val="auto"/>
                <w:szCs w:val="21"/>
                <w:highlight w:val="none"/>
              </w:rPr>
            </w:pPr>
            <w:r>
              <w:rPr>
                <w:rFonts w:hint="eastAsia" w:ascii="宋体" w:hAnsi="宋体" w:cs="宋体"/>
                <w:b/>
                <w:iCs/>
                <w:color w:val="auto"/>
                <w:szCs w:val="21"/>
                <w:highlight w:val="none"/>
              </w:rPr>
              <w:t>备注：</w:t>
            </w:r>
          </w:p>
          <w:p w14:paraId="378EF675">
            <w:pPr>
              <w:keepNext w:val="0"/>
              <w:keepLines w:val="0"/>
              <w:pageBreakBefore w:val="0"/>
              <w:widowControl w:val="0"/>
              <w:suppressLineNumbers w:val="0"/>
              <w:kinsoku/>
              <w:overflowPunct/>
              <w:topLinePunct w:val="0"/>
              <w:autoSpaceDE w:val="0"/>
              <w:autoSpaceDN w:val="0"/>
              <w:bidi w:val="0"/>
              <w:snapToGrid w:val="0"/>
              <w:spacing w:before="0" w:beforeAutospacing="0" w:after="0" w:afterAutospacing="0" w:line="400" w:lineRule="exact"/>
              <w:ind w:left="0" w:right="0"/>
              <w:textAlignment w:val="bottom"/>
              <w:rPr>
                <w:rFonts w:hint="eastAsia" w:ascii="宋体" w:hAnsi="宋体" w:cs="宋体"/>
                <w:b/>
                <w:iCs/>
                <w:color w:val="auto"/>
                <w:szCs w:val="21"/>
                <w:highlight w:val="none"/>
              </w:rPr>
            </w:pPr>
            <w:r>
              <w:rPr>
                <w:rFonts w:hint="eastAsia" w:ascii="宋体" w:hAnsi="宋体" w:cs="宋体"/>
                <w:b/>
                <w:iCs/>
                <w:color w:val="auto"/>
                <w:szCs w:val="21"/>
                <w:highlight w:val="none"/>
              </w:rPr>
              <w:t>1. 根据《广西壮族自治区财政厅关于贯彻落实政府采购优化营商环境百日攻坚行动方案的通知》（桂财采〔2020〕49号）规定、广西壮族自治区财政厅关于规范政府采购货物和服务项目保证金管理的通知（桂财规〔2022〕8号 ）和《广西壮族自治区财政厅关于持续优化政府采购营商环境推动高质量发展的通知》（桂财采〔2024〕55 号），采购文件要求中标或者中标人提交履约保证金的，履约保证金数额不得超过政府采购合同金额的5%，对中小企业收取的履约保证金数额不得超过政府采购合同金额的2%。采购人可根据供应商的资信等情况减免履约保证金。</w:t>
            </w:r>
          </w:p>
          <w:p w14:paraId="650F1933">
            <w:pPr>
              <w:keepNext w:val="0"/>
              <w:keepLines w:val="0"/>
              <w:pageBreakBefore w:val="0"/>
              <w:widowControl w:val="0"/>
              <w:suppressLineNumbers w:val="0"/>
              <w:kinsoku/>
              <w:overflowPunct/>
              <w:topLinePunct w:val="0"/>
              <w:autoSpaceDE w:val="0"/>
              <w:autoSpaceDN w:val="0"/>
              <w:bidi w:val="0"/>
              <w:snapToGrid w:val="0"/>
              <w:spacing w:before="0" w:beforeAutospacing="0" w:after="0" w:afterAutospacing="0" w:line="400" w:lineRule="exact"/>
              <w:ind w:left="0" w:right="0"/>
              <w:textAlignment w:val="bottom"/>
              <w:rPr>
                <w:rFonts w:hint="eastAsia" w:ascii="宋体" w:hAnsi="宋体" w:cs="宋体"/>
                <w:b/>
                <w:iCs/>
                <w:color w:val="auto"/>
                <w:szCs w:val="21"/>
                <w:highlight w:val="none"/>
              </w:rPr>
            </w:pPr>
            <w:r>
              <w:rPr>
                <w:rFonts w:hint="eastAsia" w:ascii="宋体" w:hAnsi="宋体" w:cs="宋体"/>
                <w:b/>
                <w:iCs/>
                <w:color w:val="auto"/>
                <w:szCs w:val="21"/>
                <w:highlight w:val="none"/>
              </w:rPr>
              <w:t>2.履约保证金不足额缴纳的（包含保函额度不足的），或者不按规定提交方式提交的，或者保函有效期低于合同履行期限（即合同中规定的当事人履行自己的义务，如交付标的物、价款或者报酬，履行劳务、完成工作的时间界限）的，不予签订合同。</w:t>
            </w:r>
          </w:p>
          <w:p w14:paraId="7F3C7FFE">
            <w:pPr>
              <w:keepNext w:val="0"/>
              <w:keepLines w:val="0"/>
              <w:pageBreakBefore w:val="0"/>
              <w:widowControl w:val="0"/>
              <w:suppressLineNumbers w:val="0"/>
              <w:kinsoku/>
              <w:overflowPunct/>
              <w:topLinePunct w:val="0"/>
              <w:autoSpaceDE w:val="0"/>
              <w:autoSpaceDN w:val="0"/>
              <w:bidi w:val="0"/>
              <w:snapToGrid w:val="0"/>
              <w:spacing w:before="0" w:beforeAutospacing="0" w:after="0" w:afterAutospacing="0" w:line="400" w:lineRule="exact"/>
              <w:ind w:left="0" w:right="0"/>
              <w:textAlignment w:val="bottom"/>
              <w:rPr>
                <w:rFonts w:hint="eastAsia" w:ascii="宋体" w:hAnsi="宋体" w:cs="宋体"/>
                <w:b/>
                <w:iCs/>
                <w:color w:val="auto"/>
                <w:szCs w:val="21"/>
                <w:highlight w:val="none"/>
              </w:rPr>
            </w:pPr>
            <w:r>
              <w:rPr>
                <w:rFonts w:hint="eastAsia" w:ascii="宋体" w:hAnsi="宋体" w:cs="宋体"/>
                <w:b/>
                <w:iCs/>
                <w:color w:val="auto"/>
                <w:szCs w:val="21"/>
                <w:highlight w:val="none"/>
              </w:rPr>
              <w:t>3.采用</w:t>
            </w:r>
            <w:r>
              <w:rPr>
                <w:rFonts w:hint="eastAsia" w:ascii="宋体" w:hAnsi="宋体" w:cs="宋体"/>
                <w:b/>
                <w:iCs/>
                <w:color w:val="auto"/>
                <w:szCs w:val="21"/>
                <w:highlight w:val="none"/>
                <w:lang w:eastAsia="zh-CN"/>
              </w:rPr>
              <w:t>金融、担保机构</w:t>
            </w:r>
            <w:r>
              <w:rPr>
                <w:rFonts w:hint="eastAsia" w:ascii="宋体" w:hAnsi="宋体" w:cs="宋体"/>
                <w:b/>
                <w:iCs/>
                <w:color w:val="auto"/>
                <w:szCs w:val="21"/>
                <w:highlight w:val="none"/>
              </w:rPr>
              <w:t>出具的保函的，必须为无条件保函，否则不予签订合同。</w:t>
            </w:r>
          </w:p>
          <w:p w14:paraId="7B0C3D78">
            <w:pPr>
              <w:keepNext w:val="0"/>
              <w:keepLines w:val="0"/>
              <w:pageBreakBefore w:val="0"/>
              <w:widowControl w:val="0"/>
              <w:suppressLineNumbers w:val="0"/>
              <w:kinsoku/>
              <w:overflowPunct/>
              <w:topLinePunct w:val="0"/>
              <w:autoSpaceDE w:val="0"/>
              <w:autoSpaceDN w:val="0"/>
              <w:bidi w:val="0"/>
              <w:snapToGrid w:val="0"/>
              <w:spacing w:before="0" w:beforeAutospacing="0" w:after="0" w:afterAutospacing="0" w:line="400" w:lineRule="exact"/>
              <w:ind w:left="0" w:right="0"/>
              <w:textAlignment w:val="bottom"/>
              <w:rPr>
                <w:rFonts w:hint="eastAsia" w:ascii="宋体" w:hAnsi="宋体" w:cs="宋体"/>
                <w:color w:val="auto"/>
                <w:szCs w:val="21"/>
                <w:highlight w:val="none"/>
              </w:rPr>
            </w:pPr>
            <w:r>
              <w:rPr>
                <w:rFonts w:hint="eastAsia" w:ascii="宋体" w:hAnsi="宋体" w:cs="宋体"/>
                <w:b/>
                <w:iCs/>
                <w:color w:val="auto"/>
                <w:szCs w:val="21"/>
                <w:highlight w:val="none"/>
              </w:rPr>
              <w:t>4.投标人为联合体的，由联合体其中一方按规定提交的履约保证金，视为有效履约保证金。</w:t>
            </w:r>
          </w:p>
        </w:tc>
      </w:tr>
      <w:tr w14:paraId="3DD2E9F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78" w:type="dxa"/>
            <w:tcBorders>
              <w:top w:val="single" w:color="auto" w:sz="4" w:space="0"/>
              <w:left w:val="single" w:color="auto" w:sz="4" w:space="0"/>
              <w:bottom w:val="single" w:color="auto" w:sz="4" w:space="0"/>
              <w:right w:val="single" w:color="auto" w:sz="4" w:space="0"/>
            </w:tcBorders>
            <w:noWrap w:val="0"/>
            <w:vAlign w:val="center"/>
          </w:tcPr>
          <w:p w14:paraId="46DF83E2">
            <w:pPr>
              <w:keepNext w:val="0"/>
              <w:keepLines w:val="0"/>
              <w:pageBreakBefore w:val="0"/>
              <w:widowControl w:val="0"/>
              <w:suppressLineNumbers w:val="0"/>
              <w:kinsoku/>
              <w:overflowPunct/>
              <w:topLinePunct w:val="0"/>
              <w:bidi w:val="0"/>
              <w:spacing w:before="0" w:beforeAutospacing="0" w:after="0" w:afterAutospacing="0" w:line="400" w:lineRule="exact"/>
              <w:ind w:left="0" w:right="0"/>
              <w:jc w:val="center"/>
              <w:rPr>
                <w:rFonts w:hint="eastAsia" w:ascii="宋体" w:hAnsi="宋体" w:cs="宋体"/>
                <w:color w:val="auto"/>
                <w:szCs w:val="21"/>
                <w:highlight w:val="none"/>
              </w:rPr>
            </w:pPr>
            <w:bookmarkStart w:id="85" w:name="_40.1"/>
            <w:bookmarkEnd w:id="85"/>
            <w:r>
              <w:rPr>
                <w:rFonts w:hint="eastAsia" w:ascii="宋体" w:hAnsi="宋体" w:cs="宋体"/>
                <w:color w:val="auto"/>
                <w:szCs w:val="21"/>
                <w:highlight w:val="none"/>
              </w:rPr>
              <w:t>36.1</w:t>
            </w:r>
          </w:p>
        </w:tc>
        <w:tc>
          <w:tcPr>
            <w:tcW w:w="8175" w:type="dxa"/>
            <w:tcBorders>
              <w:top w:val="single" w:color="auto" w:sz="4" w:space="0"/>
              <w:left w:val="single" w:color="auto" w:sz="4" w:space="0"/>
              <w:bottom w:val="single" w:color="auto" w:sz="4" w:space="0"/>
              <w:right w:val="single" w:color="auto" w:sz="4" w:space="0"/>
            </w:tcBorders>
            <w:noWrap w:val="0"/>
            <w:vAlign w:val="center"/>
          </w:tcPr>
          <w:p w14:paraId="1FB06BD8">
            <w:pPr>
              <w:keepNext w:val="0"/>
              <w:keepLines w:val="0"/>
              <w:pageBreakBefore w:val="0"/>
              <w:widowControl w:val="0"/>
              <w:suppressLineNumbers w:val="0"/>
              <w:kinsoku/>
              <w:overflowPunct/>
              <w:topLinePunct w:val="0"/>
              <w:autoSpaceDE w:val="0"/>
              <w:autoSpaceDN w:val="0"/>
              <w:bidi w:val="0"/>
              <w:snapToGrid w:val="0"/>
              <w:spacing w:before="0" w:beforeAutospacing="0" w:after="0" w:afterAutospacing="0" w:line="400" w:lineRule="exact"/>
              <w:ind w:left="0" w:right="0"/>
              <w:textAlignment w:val="bottom"/>
              <w:rPr>
                <w:rFonts w:hint="eastAsia" w:ascii="宋体" w:hAnsi="宋体" w:cs="宋体"/>
                <w:color w:val="auto"/>
                <w:szCs w:val="21"/>
                <w:highlight w:val="none"/>
              </w:rPr>
            </w:pPr>
            <w:r>
              <w:rPr>
                <w:rFonts w:hint="eastAsia" w:ascii="宋体" w:hAnsi="宋体" w:cs="宋体"/>
                <w:color w:val="auto"/>
                <w:szCs w:val="21"/>
                <w:highlight w:val="none"/>
              </w:rPr>
              <w:t>签订合同携带的证明材料：</w:t>
            </w:r>
          </w:p>
          <w:p w14:paraId="71DBCAFE">
            <w:pPr>
              <w:keepNext w:val="0"/>
              <w:keepLines w:val="0"/>
              <w:pageBreakBefore w:val="0"/>
              <w:widowControl w:val="0"/>
              <w:suppressLineNumbers w:val="0"/>
              <w:kinsoku/>
              <w:overflowPunct/>
              <w:topLinePunct w:val="0"/>
              <w:autoSpaceDE w:val="0"/>
              <w:autoSpaceDN w:val="0"/>
              <w:bidi w:val="0"/>
              <w:snapToGrid w:val="0"/>
              <w:spacing w:before="0" w:beforeAutospacing="0" w:after="0" w:afterAutospacing="0" w:line="400" w:lineRule="exact"/>
              <w:ind w:left="0" w:right="0"/>
              <w:textAlignment w:val="bottom"/>
              <w:rPr>
                <w:rFonts w:hint="eastAsia" w:ascii="宋体" w:hAnsi="宋体" w:cs="宋体"/>
                <w:color w:val="auto"/>
                <w:szCs w:val="21"/>
                <w:highlight w:val="none"/>
              </w:rPr>
            </w:pPr>
            <w:r>
              <w:rPr>
                <w:rFonts w:hint="eastAsia" w:ascii="宋体" w:hAnsi="宋体" w:cs="宋体"/>
                <w:color w:val="auto"/>
                <w:szCs w:val="21"/>
                <w:highlight w:val="none"/>
              </w:rPr>
              <w:t>委托代理人负责签订合同的，须携带授权委托书及委托代理人身份证原件等其他资格证件。</w:t>
            </w:r>
          </w:p>
          <w:p w14:paraId="2AFD67F0">
            <w:pPr>
              <w:keepNext w:val="0"/>
              <w:keepLines w:val="0"/>
              <w:pageBreakBefore w:val="0"/>
              <w:widowControl w:val="0"/>
              <w:suppressLineNumbers w:val="0"/>
              <w:kinsoku/>
              <w:overflowPunct/>
              <w:topLinePunct w:val="0"/>
              <w:autoSpaceDE w:val="0"/>
              <w:autoSpaceDN w:val="0"/>
              <w:bidi w:val="0"/>
              <w:snapToGrid w:val="0"/>
              <w:spacing w:before="0" w:beforeAutospacing="0" w:after="0" w:afterAutospacing="0" w:line="400" w:lineRule="exact"/>
              <w:ind w:left="0" w:right="0"/>
              <w:textAlignment w:val="bottom"/>
              <w:rPr>
                <w:rFonts w:hint="eastAsia" w:ascii="宋体" w:hAnsi="宋体" w:cs="宋体"/>
                <w:color w:val="auto"/>
                <w:szCs w:val="21"/>
                <w:highlight w:val="none"/>
              </w:rPr>
            </w:pPr>
            <w:r>
              <w:rPr>
                <w:rFonts w:hint="eastAsia" w:ascii="宋体" w:hAnsi="宋体" w:cs="宋体"/>
                <w:color w:val="auto"/>
                <w:szCs w:val="21"/>
                <w:highlight w:val="none"/>
              </w:rPr>
              <w:t>法定代表人负责签订合同的，须携带法定代表人身份证明原件及身份证原件等其他证明材料。</w:t>
            </w:r>
          </w:p>
        </w:tc>
      </w:tr>
      <w:tr w14:paraId="57D6314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78" w:type="dxa"/>
            <w:tcBorders>
              <w:top w:val="single" w:color="auto" w:sz="4" w:space="0"/>
              <w:left w:val="single" w:color="auto" w:sz="4" w:space="0"/>
              <w:bottom w:val="single" w:color="auto" w:sz="4" w:space="0"/>
              <w:right w:val="single" w:color="auto" w:sz="4" w:space="0"/>
            </w:tcBorders>
            <w:noWrap w:val="0"/>
            <w:vAlign w:val="center"/>
          </w:tcPr>
          <w:p w14:paraId="46DB2D9B">
            <w:pPr>
              <w:keepNext w:val="0"/>
              <w:keepLines w:val="0"/>
              <w:pageBreakBefore w:val="0"/>
              <w:widowControl w:val="0"/>
              <w:suppressLineNumbers w:val="0"/>
              <w:kinsoku/>
              <w:overflowPunct/>
              <w:topLinePunct w:val="0"/>
              <w:bidi w:val="0"/>
              <w:spacing w:before="0" w:beforeAutospacing="0" w:after="0" w:afterAutospacing="0" w:line="400" w:lineRule="exact"/>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38.2</w:t>
            </w:r>
          </w:p>
        </w:tc>
        <w:tc>
          <w:tcPr>
            <w:tcW w:w="8175" w:type="dxa"/>
            <w:tcBorders>
              <w:top w:val="single" w:color="auto" w:sz="4" w:space="0"/>
              <w:left w:val="single" w:color="auto" w:sz="4" w:space="0"/>
              <w:bottom w:val="single" w:color="auto" w:sz="4" w:space="0"/>
              <w:right w:val="single" w:color="auto" w:sz="4" w:space="0"/>
            </w:tcBorders>
            <w:noWrap w:val="0"/>
            <w:vAlign w:val="center"/>
          </w:tcPr>
          <w:p w14:paraId="4047BA2A">
            <w:pPr>
              <w:keepNext w:val="0"/>
              <w:keepLines w:val="0"/>
              <w:pageBreakBefore w:val="0"/>
              <w:widowControl w:val="0"/>
              <w:suppressLineNumbers w:val="0"/>
              <w:kinsoku/>
              <w:overflowPunct/>
              <w:topLinePunct w:val="0"/>
              <w:bidi w:val="0"/>
              <w:snapToGrid w:val="0"/>
              <w:spacing w:before="0" w:beforeAutospacing="0" w:after="0" w:afterAutospacing="0" w:line="400" w:lineRule="exact"/>
              <w:ind w:left="0" w:right="0"/>
              <w:rPr>
                <w:rFonts w:hint="eastAsia" w:ascii="宋体" w:hAnsi="宋体" w:cs="宋体"/>
                <w:color w:val="auto"/>
                <w:szCs w:val="21"/>
                <w:highlight w:val="none"/>
              </w:rPr>
            </w:pPr>
            <w:r>
              <w:rPr>
                <w:rFonts w:hint="eastAsia" w:ascii="宋体" w:hAnsi="宋体" w:cs="宋体"/>
                <w:color w:val="auto"/>
                <w:szCs w:val="21"/>
                <w:highlight w:val="none"/>
              </w:rPr>
              <w:t>接收质疑函方式：以书面形式</w:t>
            </w:r>
          </w:p>
          <w:p w14:paraId="5A2BB48D">
            <w:pPr>
              <w:keepNext w:val="0"/>
              <w:keepLines w:val="0"/>
              <w:pageBreakBefore w:val="0"/>
              <w:widowControl w:val="0"/>
              <w:suppressLineNumbers w:val="0"/>
              <w:kinsoku/>
              <w:overflowPunct/>
              <w:topLinePunct w:val="0"/>
              <w:bidi w:val="0"/>
              <w:snapToGrid w:val="0"/>
              <w:spacing w:before="0" w:beforeAutospacing="0" w:after="0" w:afterAutospacing="0" w:line="400" w:lineRule="exact"/>
              <w:ind w:left="0" w:right="0"/>
              <w:rPr>
                <w:rFonts w:hint="eastAsia" w:ascii="宋体" w:hAnsi="宋体" w:cs="宋体"/>
                <w:color w:val="auto"/>
                <w:szCs w:val="21"/>
                <w:highlight w:val="none"/>
              </w:rPr>
            </w:pPr>
            <w:r>
              <w:rPr>
                <w:rFonts w:hint="eastAsia" w:ascii="宋体" w:hAnsi="宋体" w:cs="宋体"/>
                <w:color w:val="auto"/>
                <w:szCs w:val="21"/>
                <w:highlight w:val="none"/>
              </w:rPr>
              <w:t>质疑联系部门及联系方式：</w:t>
            </w:r>
            <w:r>
              <w:rPr>
                <w:rFonts w:hint="eastAsia" w:ascii="宋体" w:hAnsi="宋体" w:cs="宋体"/>
                <w:color w:val="auto"/>
                <w:szCs w:val="21"/>
                <w:highlight w:val="none"/>
                <w:lang w:eastAsia="zh-CN"/>
              </w:rPr>
              <w:t>广西建设工程机电设备招标中心有限公司</w:t>
            </w:r>
            <w:r>
              <w:rPr>
                <w:rFonts w:hint="eastAsia" w:ascii="宋体" w:hAnsi="宋体" w:cs="宋体"/>
                <w:color w:val="auto"/>
                <w:szCs w:val="21"/>
                <w:highlight w:val="none"/>
              </w:rPr>
              <w:t>，联系电话：</w:t>
            </w:r>
            <w:r>
              <w:rPr>
                <w:rFonts w:hint="eastAsia" w:ascii="宋体" w:hAnsi="宋体" w:cs="宋体"/>
                <w:color w:val="auto"/>
                <w:szCs w:val="21"/>
                <w:highlight w:val="none"/>
                <w:lang w:eastAsia="zh-CN"/>
              </w:rPr>
              <w:t>0771-2807659</w:t>
            </w:r>
            <w:r>
              <w:rPr>
                <w:rFonts w:hint="eastAsia" w:ascii="宋体" w:hAnsi="宋体" w:cs="宋体"/>
                <w:color w:val="auto"/>
                <w:szCs w:val="21"/>
                <w:highlight w:val="none"/>
              </w:rPr>
              <w:t>，通讯地址：</w:t>
            </w:r>
            <w:r>
              <w:rPr>
                <w:rFonts w:hint="eastAsia" w:ascii="宋体" w:hAnsi="宋体" w:cs="宋体"/>
                <w:color w:val="auto"/>
                <w:szCs w:val="21"/>
                <w:highlight w:val="none"/>
                <w:lang w:eastAsia="zh-CN"/>
              </w:rPr>
              <w:t>广西建设工程机电设备招标中心有限公司</w:t>
            </w:r>
            <w:r>
              <w:rPr>
                <w:rFonts w:hint="eastAsia" w:ascii="宋体" w:hAnsi="宋体" w:cs="宋体"/>
                <w:color w:val="auto"/>
                <w:szCs w:val="21"/>
                <w:highlight w:val="none"/>
              </w:rPr>
              <w:t>（</w:t>
            </w:r>
            <w:r>
              <w:rPr>
                <w:rFonts w:hint="eastAsia" w:ascii="宋体" w:hAnsi="宋体" w:cs="宋体"/>
                <w:color w:val="auto"/>
                <w:szCs w:val="21"/>
                <w:highlight w:val="none"/>
                <w:lang w:eastAsia="zh-CN"/>
              </w:rPr>
              <w:t>广西南宁市青秀区枫林路18号广西国控大厦（枫林路办公区）裙楼三楼</w:t>
            </w:r>
            <w:r>
              <w:rPr>
                <w:rFonts w:hint="eastAsia" w:ascii="宋体" w:hAnsi="宋体" w:cs="宋体"/>
                <w:color w:val="auto"/>
                <w:szCs w:val="21"/>
                <w:highlight w:val="none"/>
              </w:rPr>
              <w:t>）</w:t>
            </w:r>
          </w:p>
          <w:p w14:paraId="3EE218BA">
            <w:pPr>
              <w:keepNext w:val="0"/>
              <w:keepLines w:val="0"/>
              <w:pageBreakBefore w:val="0"/>
              <w:widowControl w:val="0"/>
              <w:suppressLineNumbers w:val="0"/>
              <w:kinsoku/>
              <w:overflowPunct/>
              <w:topLinePunct w:val="0"/>
              <w:bidi w:val="0"/>
              <w:snapToGrid w:val="0"/>
              <w:spacing w:before="0" w:beforeAutospacing="0" w:after="0" w:afterAutospacing="0" w:line="400" w:lineRule="exact"/>
              <w:ind w:left="0" w:right="0"/>
              <w:rPr>
                <w:rFonts w:hint="eastAsia" w:ascii="宋体" w:hAnsi="宋体" w:cs="宋体"/>
                <w:color w:val="auto"/>
                <w:szCs w:val="21"/>
                <w:highlight w:val="none"/>
              </w:rPr>
            </w:pPr>
            <w:r>
              <w:rPr>
                <w:rFonts w:hint="eastAsia" w:ascii="宋体" w:hAnsi="宋体" w:cs="宋体"/>
                <w:color w:val="auto"/>
                <w:szCs w:val="21"/>
                <w:highlight w:val="none"/>
              </w:rPr>
              <w:t>业务时间：工作日每天上午8时30分到12时00分，下午</w:t>
            </w: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时</w:t>
            </w:r>
            <w:r>
              <w:rPr>
                <w:rFonts w:hint="eastAsia" w:ascii="宋体" w:hAnsi="宋体" w:cs="宋体"/>
                <w:color w:val="auto"/>
                <w:szCs w:val="21"/>
                <w:highlight w:val="none"/>
                <w:lang w:val="en-US" w:eastAsia="zh-CN"/>
              </w:rPr>
              <w:t>0</w:t>
            </w:r>
            <w:r>
              <w:rPr>
                <w:rFonts w:hint="eastAsia" w:ascii="宋体" w:hAnsi="宋体" w:cs="宋体"/>
                <w:color w:val="auto"/>
                <w:szCs w:val="21"/>
                <w:highlight w:val="none"/>
              </w:rPr>
              <w:t>0分到</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时</w:t>
            </w:r>
            <w:r>
              <w:rPr>
                <w:rFonts w:hint="eastAsia" w:ascii="宋体" w:hAnsi="宋体" w:cs="宋体"/>
                <w:color w:val="auto"/>
                <w:szCs w:val="21"/>
                <w:highlight w:val="none"/>
                <w:lang w:val="en-US" w:eastAsia="zh-CN"/>
              </w:rPr>
              <w:t>0</w:t>
            </w:r>
            <w:r>
              <w:rPr>
                <w:rFonts w:hint="eastAsia" w:ascii="宋体" w:hAnsi="宋体" w:cs="宋体"/>
                <w:color w:val="auto"/>
                <w:szCs w:val="21"/>
                <w:highlight w:val="none"/>
              </w:rPr>
              <w:t>0分。</w:t>
            </w:r>
          </w:p>
        </w:tc>
      </w:tr>
      <w:tr w14:paraId="7455452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78" w:type="dxa"/>
            <w:tcBorders>
              <w:top w:val="single" w:color="auto" w:sz="4" w:space="0"/>
              <w:left w:val="single" w:color="auto" w:sz="4" w:space="0"/>
              <w:bottom w:val="single" w:color="auto" w:sz="4" w:space="0"/>
              <w:right w:val="single" w:color="auto" w:sz="4" w:space="0"/>
            </w:tcBorders>
            <w:noWrap w:val="0"/>
            <w:vAlign w:val="center"/>
          </w:tcPr>
          <w:p w14:paraId="38F6D2C2">
            <w:pPr>
              <w:keepNext w:val="0"/>
              <w:keepLines w:val="0"/>
              <w:pageBreakBefore w:val="0"/>
              <w:widowControl w:val="0"/>
              <w:suppressLineNumbers w:val="0"/>
              <w:kinsoku/>
              <w:overflowPunct/>
              <w:topLinePunct w:val="0"/>
              <w:bidi w:val="0"/>
              <w:spacing w:before="0" w:beforeAutospacing="0" w:after="0" w:afterAutospacing="0" w:line="400" w:lineRule="exact"/>
              <w:ind w:left="0" w:right="0"/>
              <w:jc w:val="center"/>
              <w:rPr>
                <w:rFonts w:hint="eastAsia" w:ascii="宋体" w:hAnsi="宋体" w:cs="宋体"/>
                <w:color w:val="auto"/>
                <w:szCs w:val="21"/>
                <w:highlight w:val="none"/>
              </w:rPr>
            </w:pPr>
            <w:bookmarkStart w:id="86" w:name="_42"/>
            <w:bookmarkEnd w:id="86"/>
            <w:bookmarkStart w:id="87" w:name="_41"/>
            <w:bookmarkEnd w:id="87"/>
            <w:bookmarkStart w:id="88" w:name="_Hlt17709148"/>
            <w:r>
              <w:rPr>
                <w:rFonts w:hint="eastAsia" w:ascii="宋体" w:hAnsi="宋体" w:cs="宋体"/>
                <w:color w:val="auto"/>
                <w:szCs w:val="21"/>
                <w:highlight w:val="none"/>
              </w:rPr>
              <w:t>3</w:t>
            </w:r>
            <w:bookmarkEnd w:id="88"/>
            <w:r>
              <w:rPr>
                <w:rFonts w:hint="eastAsia" w:ascii="宋体" w:hAnsi="宋体" w:cs="宋体"/>
                <w:color w:val="auto"/>
                <w:szCs w:val="21"/>
                <w:highlight w:val="none"/>
              </w:rPr>
              <w:t>9.1</w:t>
            </w:r>
          </w:p>
        </w:tc>
        <w:tc>
          <w:tcPr>
            <w:tcW w:w="8175" w:type="dxa"/>
            <w:tcBorders>
              <w:top w:val="single" w:color="auto" w:sz="4" w:space="0"/>
              <w:left w:val="single" w:color="auto" w:sz="4" w:space="0"/>
              <w:bottom w:val="single" w:color="auto" w:sz="4" w:space="0"/>
              <w:right w:val="single" w:color="auto" w:sz="4" w:space="0"/>
            </w:tcBorders>
            <w:noWrap w:val="0"/>
            <w:vAlign w:val="center"/>
          </w:tcPr>
          <w:p w14:paraId="2C215B09">
            <w:pPr>
              <w:pStyle w:val="20"/>
              <w:keepNext w:val="0"/>
              <w:keepLines w:val="0"/>
              <w:pageBreakBefore w:val="0"/>
              <w:widowControl w:val="0"/>
              <w:suppressLineNumbers w:val="0"/>
              <w:kinsoku/>
              <w:overflowPunct/>
              <w:topLinePunct w:val="0"/>
              <w:bidi w:val="0"/>
              <w:snapToGrid w:val="0"/>
              <w:spacing w:before="0" w:beforeAutospacing="0" w:after="0" w:afterAutospacing="0" w:line="400" w:lineRule="exact"/>
              <w:ind w:left="0" w:right="0"/>
              <w:rPr>
                <w:rFonts w:hint="eastAsia" w:hAnsi="宋体" w:cs="宋体"/>
                <w:color w:val="auto"/>
                <w:highlight w:val="none"/>
              </w:rPr>
            </w:pPr>
            <w:r>
              <w:rPr>
                <w:rFonts w:hint="eastAsia" w:hAnsi="宋体" w:cs="宋体"/>
                <w:color w:val="auto"/>
                <w:highlight w:val="none"/>
              </w:rPr>
              <w:t>1.采购代理费支付方式：本项目代理服务费由</w:t>
            </w:r>
            <w:r>
              <w:rPr>
                <w:rFonts w:hint="eastAsia" w:hAnsi="宋体" w:cs="宋体"/>
                <w:color w:val="auto"/>
                <w:highlight w:val="none"/>
                <w:u w:val="single"/>
              </w:rPr>
              <w:t>中标人</w:t>
            </w:r>
            <w:r>
              <w:rPr>
                <w:rFonts w:hint="eastAsia" w:hAnsi="宋体" w:cs="宋体"/>
                <w:color w:val="auto"/>
                <w:highlight w:val="none"/>
              </w:rPr>
              <w:t>一次性向采购代理机构支付。</w:t>
            </w:r>
          </w:p>
          <w:p w14:paraId="75C77840">
            <w:pPr>
              <w:pStyle w:val="20"/>
              <w:keepNext w:val="0"/>
              <w:keepLines w:val="0"/>
              <w:pageBreakBefore w:val="0"/>
              <w:widowControl w:val="0"/>
              <w:suppressLineNumbers w:val="0"/>
              <w:kinsoku/>
              <w:overflowPunct/>
              <w:topLinePunct w:val="0"/>
              <w:bidi w:val="0"/>
              <w:snapToGrid w:val="0"/>
              <w:spacing w:before="0" w:beforeAutospacing="0" w:after="0" w:afterAutospacing="0" w:line="400" w:lineRule="exact"/>
              <w:ind w:left="0" w:right="0"/>
              <w:rPr>
                <w:rFonts w:hint="eastAsia" w:hAnsi="宋体" w:cs="宋体"/>
                <w:color w:val="auto"/>
                <w:highlight w:val="none"/>
              </w:rPr>
            </w:pPr>
            <w:r>
              <w:rPr>
                <w:rFonts w:hint="eastAsia" w:hAnsi="宋体" w:cs="宋体"/>
                <w:color w:val="auto"/>
                <w:highlight w:val="none"/>
              </w:rPr>
              <w:t>2.采购代理费收取标准：</w:t>
            </w:r>
          </w:p>
          <w:p w14:paraId="77AD7640">
            <w:pPr>
              <w:pStyle w:val="20"/>
              <w:keepNext w:val="0"/>
              <w:keepLines w:val="0"/>
              <w:pageBreakBefore w:val="0"/>
              <w:widowControl w:val="0"/>
              <w:suppressLineNumbers w:val="0"/>
              <w:kinsoku/>
              <w:overflowPunct/>
              <w:topLinePunct w:val="0"/>
              <w:bidi w:val="0"/>
              <w:snapToGrid w:val="0"/>
              <w:spacing w:before="0" w:beforeAutospacing="0" w:after="0" w:afterAutospacing="0" w:line="400" w:lineRule="exact"/>
              <w:ind w:left="0" w:right="0"/>
              <w:rPr>
                <w:rFonts w:hint="eastAsia" w:hAnsi="宋体" w:cs="宋体"/>
                <w:color w:val="auto"/>
                <w:highlight w:val="none"/>
              </w:rPr>
            </w:pPr>
            <w:r>
              <w:rPr>
                <w:rFonts w:hint="eastAsia" w:hAnsi="宋体" w:cs="宋体"/>
                <w:color w:val="auto"/>
                <w:highlight w:val="none"/>
              </w:rPr>
              <w:t>以</w:t>
            </w:r>
            <w:r>
              <w:rPr>
                <w:rFonts w:hint="eastAsia" w:hAnsi="宋体" w:cs="宋体"/>
                <w:color w:val="auto"/>
                <w:highlight w:val="none"/>
                <w:lang w:val="en-US" w:eastAsia="zh-CN"/>
              </w:rPr>
              <w:t>本项目预算金额</w:t>
            </w:r>
            <w:r>
              <w:rPr>
                <w:rFonts w:hint="eastAsia" w:hAnsi="宋体" w:cs="宋体"/>
                <w:color w:val="auto"/>
                <w:highlight w:val="none"/>
              </w:rPr>
              <w:t>为计费额，按本须知正文第39.1条规定的收费计算标准（</w:t>
            </w:r>
            <w:r>
              <w:rPr>
                <w:rFonts w:hint="eastAsia" w:hAnsi="宋体" w:cs="宋体"/>
                <w:b/>
                <w:bCs/>
                <w:color w:val="auto"/>
                <w:highlight w:val="none"/>
              </w:rPr>
              <w:t>服务类</w:t>
            </w:r>
            <w:r>
              <w:rPr>
                <w:rFonts w:hint="eastAsia" w:hAnsi="宋体" w:cs="宋体"/>
                <w:color w:val="auto"/>
                <w:highlight w:val="none"/>
              </w:rPr>
              <w:t>）采用</w:t>
            </w:r>
            <w:r>
              <w:rPr>
                <w:rFonts w:hint="eastAsia" w:hAnsi="宋体" w:cs="宋体"/>
                <w:b/>
                <w:bCs/>
                <w:color w:val="auto"/>
                <w:highlight w:val="none"/>
              </w:rPr>
              <w:t>差额定率累进法</w:t>
            </w:r>
            <w:r>
              <w:rPr>
                <w:rFonts w:hint="eastAsia" w:hAnsi="宋体" w:cs="宋体"/>
                <w:color w:val="auto"/>
                <w:highlight w:val="none"/>
              </w:rPr>
              <w:t>计算出收费基准价格</w:t>
            </w:r>
            <w:r>
              <w:rPr>
                <w:rFonts w:hint="eastAsia" w:hAnsi="宋体" w:cs="宋体"/>
                <w:b/>
                <w:bCs/>
                <w:color w:val="auto"/>
                <w:highlight w:val="none"/>
                <w:lang w:val="en-US" w:eastAsia="zh-CN"/>
              </w:rPr>
              <w:t>下浮20%</w:t>
            </w:r>
            <w:r>
              <w:rPr>
                <w:rFonts w:hint="eastAsia" w:hAnsi="宋体" w:cs="宋体"/>
                <w:color w:val="auto"/>
                <w:highlight w:val="none"/>
              </w:rPr>
              <w:t>，采购代理收费以收费</w:t>
            </w:r>
            <w:r>
              <w:rPr>
                <w:rFonts w:hint="eastAsia" w:hAnsi="宋体" w:cs="宋体"/>
                <w:color w:val="auto"/>
                <w:highlight w:val="none"/>
                <w:lang w:val="en-US" w:eastAsia="zh-CN"/>
              </w:rPr>
              <w:t>标准</w:t>
            </w:r>
            <w:r>
              <w:rPr>
                <w:rFonts w:hint="eastAsia" w:hAnsi="宋体" w:cs="宋体"/>
                <w:color w:val="auto"/>
                <w:highlight w:val="none"/>
              </w:rPr>
              <w:t>收取。</w:t>
            </w:r>
          </w:p>
          <w:p w14:paraId="792D2727">
            <w:pPr>
              <w:keepNext w:val="0"/>
              <w:keepLines w:val="0"/>
              <w:pageBreakBefore w:val="0"/>
              <w:widowControl w:val="0"/>
              <w:suppressLineNumbers w:val="0"/>
              <w:kinsoku/>
              <w:overflowPunct/>
              <w:topLinePunct w:val="0"/>
              <w:bidi w:val="0"/>
              <w:snapToGrid w:val="0"/>
              <w:spacing w:before="0" w:beforeAutospacing="0" w:after="0" w:afterAutospacing="0" w:line="400" w:lineRule="exact"/>
              <w:ind w:left="0" w:right="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3.账户名称：</w:t>
            </w:r>
            <w:r>
              <w:rPr>
                <w:rFonts w:hint="eastAsia" w:ascii="宋体" w:hAnsi="宋体" w:cs="宋体"/>
                <w:color w:val="auto"/>
                <w:kern w:val="0"/>
                <w:szCs w:val="21"/>
                <w:highlight w:val="none"/>
                <w:lang w:eastAsia="zh-CN"/>
              </w:rPr>
              <w:t>广西建设工程机电设备招标中心有限公司</w:t>
            </w:r>
          </w:p>
          <w:p w14:paraId="4FC4C861">
            <w:pPr>
              <w:pStyle w:val="20"/>
              <w:keepNext w:val="0"/>
              <w:keepLines w:val="0"/>
              <w:pageBreakBefore w:val="0"/>
              <w:widowControl w:val="0"/>
              <w:suppressLineNumbers w:val="0"/>
              <w:kinsoku/>
              <w:overflowPunct/>
              <w:topLinePunct w:val="0"/>
              <w:bidi w:val="0"/>
              <w:snapToGrid w:val="0"/>
              <w:spacing w:before="0" w:beforeAutospacing="0" w:after="0" w:afterAutospacing="0" w:line="400" w:lineRule="exact"/>
              <w:ind w:left="0" w:right="0"/>
              <w:rPr>
                <w:rFonts w:hint="eastAsia" w:hAnsi="宋体" w:cs="宋体"/>
                <w:color w:val="auto"/>
                <w:highlight w:val="none"/>
                <w:lang w:eastAsia="zh-CN"/>
              </w:rPr>
            </w:pPr>
            <w:r>
              <w:rPr>
                <w:rFonts w:hint="eastAsia" w:hAnsi="宋体" w:cs="宋体"/>
                <w:color w:val="auto"/>
                <w:highlight w:val="none"/>
              </w:rPr>
              <w:t>银行账号：7719  0142  3310  201</w:t>
            </w:r>
          </w:p>
          <w:p w14:paraId="2AE0ECAA">
            <w:pPr>
              <w:pStyle w:val="20"/>
              <w:keepNext w:val="0"/>
              <w:keepLines w:val="0"/>
              <w:pageBreakBefore w:val="0"/>
              <w:widowControl w:val="0"/>
              <w:suppressLineNumbers w:val="0"/>
              <w:kinsoku/>
              <w:overflowPunct/>
              <w:topLinePunct w:val="0"/>
              <w:bidi w:val="0"/>
              <w:snapToGrid w:val="0"/>
              <w:spacing w:before="0" w:beforeAutospacing="0" w:after="0" w:afterAutospacing="0" w:line="400" w:lineRule="exact"/>
              <w:ind w:left="0" w:right="0"/>
              <w:rPr>
                <w:rFonts w:hint="eastAsia" w:hAnsi="宋体" w:cs="宋体"/>
                <w:color w:val="auto"/>
                <w:highlight w:val="none"/>
              </w:rPr>
            </w:pPr>
            <w:r>
              <w:rPr>
                <w:rFonts w:hint="eastAsia" w:hAnsi="宋体" w:cs="宋体"/>
                <w:color w:val="auto"/>
                <w:highlight w:val="none"/>
              </w:rPr>
              <w:t>开户银行：</w:t>
            </w:r>
            <w:r>
              <w:rPr>
                <w:rFonts w:hint="eastAsia" w:hAnsi="宋体" w:cs="宋体"/>
                <w:color w:val="auto"/>
                <w:highlight w:val="none"/>
                <w:lang w:eastAsia="zh-CN"/>
              </w:rPr>
              <w:t>招商银行南宁分行营业部</w:t>
            </w:r>
          </w:p>
        </w:tc>
      </w:tr>
      <w:tr w14:paraId="62F97DB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78" w:type="dxa"/>
            <w:tcBorders>
              <w:top w:val="single" w:color="auto" w:sz="4" w:space="0"/>
              <w:left w:val="single" w:color="auto" w:sz="4" w:space="0"/>
              <w:bottom w:val="single" w:color="auto" w:sz="4" w:space="0"/>
              <w:right w:val="single" w:color="auto" w:sz="4" w:space="0"/>
            </w:tcBorders>
            <w:noWrap w:val="0"/>
            <w:vAlign w:val="center"/>
          </w:tcPr>
          <w:p w14:paraId="47B1EB26">
            <w:pPr>
              <w:keepNext w:val="0"/>
              <w:keepLines w:val="0"/>
              <w:pageBreakBefore w:val="0"/>
              <w:widowControl w:val="0"/>
              <w:suppressLineNumbers w:val="0"/>
              <w:kinsoku/>
              <w:overflowPunct/>
              <w:topLinePunct w:val="0"/>
              <w:bidi w:val="0"/>
              <w:snapToGrid w:val="0"/>
              <w:spacing w:before="0" w:beforeAutospacing="0" w:after="0" w:afterAutospacing="0" w:line="400" w:lineRule="exact"/>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40.1</w:t>
            </w:r>
          </w:p>
        </w:tc>
        <w:tc>
          <w:tcPr>
            <w:tcW w:w="8175" w:type="dxa"/>
            <w:tcBorders>
              <w:top w:val="single" w:color="auto" w:sz="4" w:space="0"/>
              <w:left w:val="single" w:color="auto" w:sz="4" w:space="0"/>
              <w:bottom w:val="single" w:color="auto" w:sz="4" w:space="0"/>
              <w:right w:val="single" w:color="auto" w:sz="4" w:space="0"/>
            </w:tcBorders>
            <w:noWrap w:val="0"/>
            <w:vAlign w:val="center"/>
          </w:tcPr>
          <w:p w14:paraId="5741FB10">
            <w:pPr>
              <w:keepNext w:val="0"/>
              <w:keepLines w:val="0"/>
              <w:pageBreakBefore w:val="0"/>
              <w:widowControl w:val="0"/>
              <w:suppressLineNumbers w:val="0"/>
              <w:kinsoku/>
              <w:overflowPunct/>
              <w:topLinePunct w:val="0"/>
              <w:bidi w:val="0"/>
              <w:snapToGrid w:val="0"/>
              <w:spacing w:before="0" w:beforeAutospacing="0" w:after="0" w:afterAutospacing="0" w:line="400" w:lineRule="exact"/>
              <w:ind w:left="0" w:right="0"/>
              <w:rPr>
                <w:rFonts w:hint="eastAsia" w:ascii="宋体" w:hAnsi="宋体" w:cs="宋体"/>
                <w:color w:val="auto"/>
                <w:szCs w:val="21"/>
                <w:highlight w:val="none"/>
              </w:rPr>
            </w:pPr>
            <w:r>
              <w:rPr>
                <w:rFonts w:hint="eastAsia" w:ascii="宋体" w:hAnsi="宋体" w:cs="宋体"/>
                <w:color w:val="auto"/>
                <w:szCs w:val="21"/>
                <w:highlight w:val="none"/>
              </w:rPr>
              <w:t>解释：构成本招标文件的各个组成文件应互为解释，互为说明；除招标文件中有特别规定外，仅适用于招标投标阶段的规定，按更正公告（澄清公告）、招标公告、采购需求、投标人须知、评标方法及评标标准、拟签订的合同文本、投标文件格式的先后顺序解释；同一组成文件中就同一事项的规定或者约定不一致的，以编排顺序在后者为准；同一组成文件不同版本之间有不一致的，以形成时间在后者为准；更正公告（澄清公告）与同步更新的招标文件不一致时以更正公告（澄清公告）为准。按本款前述规定仍不能形成结论的，由采购人或者采购代理机构负责解释。</w:t>
            </w:r>
          </w:p>
        </w:tc>
      </w:tr>
      <w:tr w14:paraId="412F488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78" w:type="dxa"/>
            <w:tcBorders>
              <w:top w:val="single" w:color="auto" w:sz="4" w:space="0"/>
              <w:left w:val="single" w:color="auto" w:sz="4" w:space="0"/>
              <w:bottom w:val="single" w:color="auto" w:sz="4" w:space="0"/>
              <w:right w:val="single" w:color="auto" w:sz="4" w:space="0"/>
            </w:tcBorders>
            <w:noWrap w:val="0"/>
            <w:vAlign w:val="center"/>
          </w:tcPr>
          <w:p w14:paraId="00D8E4CD">
            <w:pPr>
              <w:keepNext w:val="0"/>
              <w:keepLines w:val="0"/>
              <w:pageBreakBefore w:val="0"/>
              <w:widowControl w:val="0"/>
              <w:suppressLineNumbers w:val="0"/>
              <w:kinsoku/>
              <w:overflowPunct/>
              <w:topLinePunct w:val="0"/>
              <w:bidi w:val="0"/>
              <w:snapToGrid w:val="0"/>
              <w:spacing w:before="0" w:beforeAutospacing="0" w:after="0" w:afterAutospacing="0" w:line="400" w:lineRule="exact"/>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40.2</w:t>
            </w:r>
          </w:p>
        </w:tc>
        <w:tc>
          <w:tcPr>
            <w:tcW w:w="8175" w:type="dxa"/>
            <w:tcBorders>
              <w:top w:val="single" w:color="auto" w:sz="4" w:space="0"/>
              <w:left w:val="single" w:color="auto" w:sz="4" w:space="0"/>
              <w:bottom w:val="single" w:color="auto" w:sz="4" w:space="0"/>
              <w:right w:val="single" w:color="auto" w:sz="4" w:space="0"/>
            </w:tcBorders>
            <w:noWrap w:val="0"/>
            <w:vAlign w:val="center"/>
          </w:tcPr>
          <w:p w14:paraId="54941004">
            <w:pPr>
              <w:pStyle w:val="20"/>
              <w:keepNext w:val="0"/>
              <w:keepLines w:val="0"/>
              <w:pageBreakBefore w:val="0"/>
              <w:widowControl w:val="0"/>
              <w:suppressLineNumbers w:val="0"/>
              <w:kinsoku/>
              <w:overflowPunct/>
              <w:topLinePunct w:val="0"/>
              <w:bidi w:val="0"/>
              <w:snapToGrid w:val="0"/>
              <w:spacing w:before="0" w:beforeAutospacing="0" w:after="0" w:afterAutospacing="0" w:line="400" w:lineRule="exact"/>
              <w:ind w:left="0" w:right="0"/>
              <w:rPr>
                <w:rFonts w:hint="eastAsia" w:hAnsi="宋体" w:cs="宋体"/>
                <w:bCs/>
                <w:color w:val="auto"/>
                <w:highlight w:val="none"/>
              </w:rPr>
            </w:pPr>
            <w:r>
              <w:rPr>
                <w:rFonts w:hint="eastAsia" w:hAnsi="宋体" w:cs="宋体"/>
                <w:bCs/>
                <w:color w:val="auto"/>
                <w:highlight w:val="none"/>
              </w:rPr>
              <w:t>1.本招标文件中描述投标人的“公章”是指根据我国对公章的管理规定</w:t>
            </w:r>
            <w:r>
              <w:rPr>
                <w:rFonts w:hint="eastAsia" w:hAnsi="宋体" w:cs="宋体"/>
                <w:bCs/>
                <w:color w:val="auto"/>
                <w:highlight w:val="none"/>
                <w:lang w:eastAsia="zh-CN"/>
              </w:rPr>
              <w:t>，使</w:t>
            </w:r>
            <w:r>
              <w:rPr>
                <w:rFonts w:hint="eastAsia" w:hAnsi="宋体" w:cs="宋体"/>
                <w:bCs/>
                <w:color w:val="auto"/>
                <w:highlight w:val="none"/>
              </w:rPr>
              <w:t>用投标人法定主体行为名称制作的印章，除本招标文件有特殊规定外，投标人的财务章、部门章、分公司章、工会章、合同章、投标专用章、业务专用章及银行的转账章、现金收讫章、现金付讫章等其他形式印章均不能代替公章。</w:t>
            </w:r>
          </w:p>
          <w:p w14:paraId="66803B20">
            <w:pPr>
              <w:pStyle w:val="20"/>
              <w:keepNext w:val="0"/>
              <w:keepLines w:val="0"/>
              <w:pageBreakBefore w:val="0"/>
              <w:widowControl w:val="0"/>
              <w:suppressLineNumbers w:val="0"/>
              <w:kinsoku/>
              <w:overflowPunct/>
              <w:topLinePunct w:val="0"/>
              <w:bidi w:val="0"/>
              <w:snapToGrid w:val="0"/>
              <w:spacing w:before="0" w:beforeAutospacing="0" w:after="0" w:afterAutospacing="0" w:line="400" w:lineRule="exact"/>
              <w:ind w:left="0" w:right="0"/>
              <w:rPr>
                <w:rFonts w:hint="eastAsia" w:hAnsi="宋体" w:cs="宋体"/>
                <w:bCs/>
                <w:color w:val="auto"/>
                <w:highlight w:val="none"/>
              </w:rPr>
            </w:pPr>
            <w:r>
              <w:rPr>
                <w:rFonts w:hint="eastAsia" w:hAnsi="宋体" w:cs="宋体"/>
                <w:bCs/>
                <w:color w:val="auto"/>
                <w:highlight w:val="none"/>
              </w:rPr>
              <w:t>2.本招标文件所称的“</w:t>
            </w:r>
            <w:r>
              <w:rPr>
                <w:rFonts w:hint="eastAsia" w:hAnsi="宋体" w:cs="宋体"/>
                <w:color w:val="auto"/>
                <w:highlight w:val="none"/>
              </w:rPr>
              <w:t>电子签章</w:t>
            </w:r>
            <w:r>
              <w:rPr>
                <w:rFonts w:hint="eastAsia" w:hAnsi="宋体" w:cs="宋体"/>
                <w:color w:val="auto"/>
                <w:highlight w:val="none"/>
                <w:lang w:eastAsia="zh-CN"/>
              </w:rPr>
              <w:t>”“</w:t>
            </w:r>
            <w:r>
              <w:rPr>
                <w:rFonts w:hint="eastAsia" w:hAnsi="宋体" w:cs="宋体"/>
                <w:bCs/>
                <w:color w:val="auto"/>
                <w:highlight w:val="none"/>
              </w:rPr>
              <w:t>电子签名”</w:t>
            </w:r>
            <w:r>
              <w:rPr>
                <w:rFonts w:hint="eastAsia" w:hAnsi="宋体" w:cs="宋体"/>
                <w:color w:val="auto"/>
                <w:highlight w:val="none"/>
              </w:rPr>
              <w:t>，是指经广西政府采购云平台认可的CA认证的电子签名数据为表现形式的印章，可用于签署电子投标文件，电子印章与实物印章具有同等法律效力，不因其采用电子化表现形式而否定其法律效力。</w:t>
            </w:r>
          </w:p>
          <w:p w14:paraId="65A5EBDA">
            <w:pPr>
              <w:pStyle w:val="20"/>
              <w:keepNext w:val="0"/>
              <w:keepLines w:val="0"/>
              <w:pageBreakBefore w:val="0"/>
              <w:widowControl w:val="0"/>
              <w:suppressLineNumbers w:val="0"/>
              <w:kinsoku/>
              <w:overflowPunct/>
              <w:topLinePunct w:val="0"/>
              <w:bidi w:val="0"/>
              <w:snapToGrid w:val="0"/>
              <w:spacing w:before="0" w:beforeAutospacing="0" w:after="0" w:afterAutospacing="0" w:line="400" w:lineRule="exact"/>
              <w:ind w:left="0" w:right="0"/>
              <w:rPr>
                <w:rFonts w:hint="eastAsia" w:hAnsi="宋体" w:cs="宋体"/>
                <w:bCs/>
                <w:color w:val="auto"/>
                <w:highlight w:val="none"/>
              </w:rPr>
            </w:pPr>
            <w:r>
              <w:rPr>
                <w:rFonts w:hint="eastAsia" w:hAnsi="宋体" w:cs="宋体"/>
                <w:bCs/>
                <w:color w:val="auto"/>
                <w:highlight w:val="none"/>
              </w:rPr>
              <w:t>3.投标人为其他组织或者自然人时，本招标文件规定的法定代表人指负责人或者自然人。本招标文件所称负责人是指参加投标的其他组织营业执照或者执业许可证等证照上的负责人，本招标文件所称自然人指参与投标的自然人本人，且应具备独立承担民事责任能力，自然人应当为年满18岁以上成年人（十六周岁以上的未成年人，以自己的劳动收入为主要生活来源的，视为完全民事行为能力人）。</w:t>
            </w:r>
          </w:p>
          <w:p w14:paraId="5D18CFDE">
            <w:pPr>
              <w:pStyle w:val="20"/>
              <w:keepNext w:val="0"/>
              <w:keepLines w:val="0"/>
              <w:pageBreakBefore w:val="0"/>
              <w:widowControl w:val="0"/>
              <w:suppressLineNumbers w:val="0"/>
              <w:kinsoku/>
              <w:overflowPunct/>
              <w:topLinePunct w:val="0"/>
              <w:bidi w:val="0"/>
              <w:snapToGrid w:val="0"/>
              <w:spacing w:before="0" w:beforeAutospacing="0" w:after="0" w:afterAutospacing="0" w:line="400" w:lineRule="exact"/>
              <w:ind w:left="0" w:right="0"/>
              <w:rPr>
                <w:rFonts w:hint="eastAsia" w:hAnsi="宋体" w:cs="宋体"/>
                <w:bCs/>
                <w:color w:val="auto"/>
                <w:highlight w:val="none"/>
              </w:rPr>
            </w:pPr>
            <w:r>
              <w:rPr>
                <w:rFonts w:hint="eastAsia" w:hAnsi="宋体" w:cs="宋体"/>
                <w:bCs/>
                <w:color w:val="auto"/>
                <w:highlight w:val="none"/>
              </w:rPr>
              <w:t>4.本招标文件中描述投标人的“签字”是指投标人的法定代表人或者委托代理人亲自在文件规定签字处亲笔写上个人的名字的行为，私章、签字章、印鉴、影印等其他形式均不能代替亲笔签字。</w:t>
            </w:r>
          </w:p>
          <w:p w14:paraId="6B31BFFF">
            <w:pPr>
              <w:keepNext w:val="0"/>
              <w:keepLines w:val="0"/>
              <w:pageBreakBefore w:val="0"/>
              <w:widowControl w:val="0"/>
              <w:suppressLineNumbers w:val="0"/>
              <w:kinsoku/>
              <w:overflowPunct/>
              <w:topLinePunct w:val="0"/>
              <w:bidi w:val="0"/>
              <w:spacing w:before="0" w:beforeAutospacing="0" w:after="0" w:afterAutospacing="0" w:line="400" w:lineRule="exact"/>
              <w:ind w:left="0" w:right="0"/>
              <w:jc w:val="left"/>
              <w:rPr>
                <w:rFonts w:hint="eastAsia" w:ascii="宋体" w:hAnsi="宋体" w:cs="宋体"/>
                <w:color w:val="auto"/>
                <w:szCs w:val="21"/>
                <w:highlight w:val="none"/>
              </w:rPr>
            </w:pPr>
            <w:r>
              <w:rPr>
                <w:rFonts w:hint="eastAsia" w:ascii="宋体" w:hAnsi="宋体" w:cs="宋体"/>
                <w:bCs/>
                <w:color w:val="auto"/>
                <w:szCs w:val="21"/>
                <w:highlight w:val="none"/>
              </w:rPr>
              <w:t>5.</w:t>
            </w:r>
            <w:r>
              <w:rPr>
                <w:rFonts w:hint="eastAsia" w:ascii="宋体" w:hAnsi="宋体" w:cs="宋体"/>
                <w:bCs/>
                <w:color w:val="auto"/>
                <w:kern w:val="0"/>
                <w:szCs w:val="21"/>
                <w:highlight w:val="none"/>
              </w:rPr>
              <w:t>本招标文件所称的“以上”“以下”“以内”“届满”，包括本数；所称的“不满”“超过”“以外”，不包括本数。</w:t>
            </w:r>
          </w:p>
        </w:tc>
      </w:tr>
    </w:tbl>
    <w:p w14:paraId="22610CE7">
      <w:pPr>
        <w:pStyle w:val="4"/>
        <w:jc w:val="center"/>
        <w:rPr>
          <w:rFonts w:hint="eastAsia" w:ascii="宋体" w:hAnsi="宋体" w:eastAsia="宋体" w:cs="宋体"/>
          <w:color w:val="auto"/>
          <w:highlight w:val="none"/>
        </w:rPr>
      </w:pPr>
      <w:r>
        <w:rPr>
          <w:rFonts w:hint="eastAsia" w:ascii="宋体" w:hAnsi="宋体" w:eastAsia="宋体" w:cs="宋体"/>
          <w:color w:val="auto"/>
          <w:highlight w:val="none"/>
        </w:rPr>
        <w:br w:type="page"/>
      </w:r>
      <w:bookmarkStart w:id="89" w:name="_Toc978"/>
      <w:bookmarkStart w:id="90" w:name="_Toc4106"/>
      <w:bookmarkStart w:id="91" w:name="_Toc21607"/>
      <w:r>
        <w:rPr>
          <w:rFonts w:hint="eastAsia" w:ascii="宋体" w:hAnsi="宋体" w:eastAsia="宋体" w:cs="宋体"/>
          <w:color w:val="auto"/>
          <w:highlight w:val="none"/>
        </w:rPr>
        <w:t>投标人须知正文</w:t>
      </w:r>
      <w:bookmarkEnd w:id="89"/>
      <w:bookmarkEnd w:id="90"/>
      <w:bookmarkEnd w:id="91"/>
    </w:p>
    <w:p w14:paraId="3AD9BD61">
      <w:pPr>
        <w:pStyle w:val="2"/>
        <w:keepNext w:val="0"/>
        <w:keepLines w:val="0"/>
        <w:jc w:val="center"/>
        <w:rPr>
          <w:rFonts w:hint="eastAsia" w:ascii="宋体" w:hAnsi="宋体" w:cs="宋体"/>
          <w:color w:val="auto"/>
          <w:highlight w:val="none"/>
        </w:rPr>
      </w:pPr>
      <w:bookmarkStart w:id="92" w:name="_Toc1149"/>
      <w:bookmarkStart w:id="93" w:name="_Toc7551"/>
      <w:r>
        <w:rPr>
          <w:rFonts w:hint="eastAsia" w:ascii="宋体" w:hAnsi="宋体" w:cs="宋体"/>
          <w:color w:val="auto"/>
          <w:highlight w:val="none"/>
        </w:rPr>
        <w:t>一、总  则</w:t>
      </w:r>
      <w:bookmarkEnd w:id="92"/>
      <w:bookmarkEnd w:id="93"/>
    </w:p>
    <w:p w14:paraId="6C75E394">
      <w:pPr>
        <w:keepNext w:val="0"/>
        <w:keepLines w:val="0"/>
        <w:pageBreakBefore w:val="0"/>
        <w:widowControl w:val="0"/>
        <w:kinsoku/>
        <w:wordWrap/>
        <w:overflowPunct/>
        <w:topLinePunct w:val="0"/>
        <w:autoSpaceDE/>
        <w:autoSpaceDN/>
        <w:bidi w:val="0"/>
        <w:spacing w:line="400" w:lineRule="exact"/>
        <w:ind w:firstLine="482" w:firstLineChars="200"/>
        <w:textAlignment w:val="auto"/>
        <w:rPr>
          <w:rFonts w:hint="eastAsia" w:ascii="宋体" w:hAnsi="宋体" w:cs="宋体"/>
          <w:b/>
          <w:color w:val="auto"/>
          <w:sz w:val="24"/>
          <w:highlight w:val="none"/>
        </w:rPr>
      </w:pPr>
      <w:bookmarkStart w:id="94" w:name="_Toc254970527"/>
      <w:bookmarkStart w:id="95" w:name="_Toc254970668"/>
      <w:r>
        <w:rPr>
          <w:rFonts w:hint="eastAsia" w:ascii="宋体" w:hAnsi="宋体" w:cs="宋体"/>
          <w:b/>
          <w:color w:val="auto"/>
          <w:sz w:val="24"/>
          <w:highlight w:val="none"/>
        </w:rPr>
        <w:t>1.适用范围</w:t>
      </w:r>
      <w:bookmarkEnd w:id="94"/>
      <w:bookmarkEnd w:id="95"/>
    </w:p>
    <w:p w14:paraId="65A1C1ED">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1.1适用法律：本项目采购人、采购代理机构、投标人、评标委员会的相关行为均受《中华人民共和国政府采购法》《中华人民共和国政府采购法实施条例》《政府采购货物和服务招标投标管理办法》及本项目本级和上级财政部门政府采购有关规定的约束和保护。</w:t>
      </w:r>
    </w:p>
    <w:p w14:paraId="61AD3C1B">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1.2本招标文件</w:t>
      </w:r>
      <w:r>
        <w:rPr>
          <w:rFonts w:hint="eastAsia" w:ascii="宋体" w:hAnsi="宋体" w:cs="宋体"/>
          <w:color w:val="auto"/>
          <w:spacing w:val="-6"/>
          <w:szCs w:val="21"/>
          <w:highlight w:val="none"/>
        </w:rPr>
        <w:t>适用于本项目的所有采购程序和环节（</w:t>
      </w:r>
      <w:r>
        <w:rPr>
          <w:rFonts w:hint="eastAsia" w:ascii="宋体" w:hAnsi="宋体" w:cs="宋体"/>
          <w:color w:val="auto"/>
          <w:spacing w:val="-6"/>
          <w:szCs w:val="21"/>
          <w:highlight w:val="none"/>
          <w:lang w:eastAsia="zh-CN"/>
        </w:rPr>
        <w:t>法律法规</w:t>
      </w:r>
      <w:r>
        <w:rPr>
          <w:rFonts w:hint="eastAsia" w:ascii="宋体" w:hAnsi="宋体" w:cs="宋体"/>
          <w:color w:val="auto"/>
          <w:spacing w:val="-6"/>
          <w:szCs w:val="21"/>
          <w:highlight w:val="none"/>
        </w:rPr>
        <w:t>另有规定的，从其规定）。</w:t>
      </w:r>
    </w:p>
    <w:p w14:paraId="4122EB34">
      <w:pPr>
        <w:keepNext w:val="0"/>
        <w:keepLines w:val="0"/>
        <w:pageBreakBefore w:val="0"/>
        <w:widowControl w:val="0"/>
        <w:kinsoku/>
        <w:wordWrap/>
        <w:overflowPunct/>
        <w:topLinePunct w:val="0"/>
        <w:autoSpaceDE/>
        <w:autoSpaceDN/>
        <w:bidi w:val="0"/>
        <w:spacing w:line="400" w:lineRule="exact"/>
        <w:ind w:firstLine="482" w:firstLineChars="200"/>
        <w:textAlignment w:val="auto"/>
        <w:rPr>
          <w:rFonts w:hint="eastAsia" w:ascii="宋体" w:hAnsi="宋体" w:cs="宋体"/>
          <w:b/>
          <w:color w:val="auto"/>
          <w:sz w:val="24"/>
          <w:highlight w:val="none"/>
        </w:rPr>
      </w:pPr>
      <w:bookmarkStart w:id="96" w:name="_Toc254970528"/>
      <w:bookmarkStart w:id="97" w:name="_Toc254970669"/>
      <w:r>
        <w:rPr>
          <w:rFonts w:hint="eastAsia" w:ascii="宋体" w:hAnsi="宋体" w:cs="宋体"/>
          <w:b/>
          <w:color w:val="auto"/>
          <w:sz w:val="24"/>
          <w:highlight w:val="none"/>
        </w:rPr>
        <w:t>2.定义</w:t>
      </w:r>
      <w:bookmarkEnd w:id="96"/>
      <w:bookmarkEnd w:id="97"/>
    </w:p>
    <w:p w14:paraId="360C4ED6">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2.1“采购人”是指依法进行政府采购的国家机关、事业单位、团体组织。</w:t>
      </w:r>
    </w:p>
    <w:p w14:paraId="7A370F82">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2.2“采购代理机构”是指政府采购集中采购机构和集中采购机构以外的采购代理机构。</w:t>
      </w:r>
    </w:p>
    <w:p w14:paraId="7ADD74CF">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2.3“供应商”是指向采购人提供货物、工程或者服务的法人、其他组织或者自然人。</w:t>
      </w:r>
    </w:p>
    <w:p w14:paraId="10CC7116">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2.4“投标人”是指响应招标、参加投标竞争的法人、其他组织或者自然人。</w:t>
      </w:r>
    </w:p>
    <w:p w14:paraId="316EA481">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2.5“服务”是指除货物和工程以外的其他政府采购对象。</w:t>
      </w:r>
    </w:p>
    <w:p w14:paraId="5C417DE3">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2.6“书面形式”是指合同书、信件和数据电文（包括电报、电传、传真、电子数据交换和电子邮件）等可以有形地表现所载内容的形式。</w:t>
      </w:r>
    </w:p>
    <w:p w14:paraId="19C0A28E">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2.7“实质性要求”是指招标文件中已经指明不满足则投标无效的条款，或者不能负偏离的条款，或者采购需求中带“▲”的条款。</w:t>
      </w:r>
    </w:p>
    <w:p w14:paraId="2A27D59B">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2.8“正偏离”，是指投标文件对招标文件“采购需求”中有关条款作出的响应优于条款要求并有利于采购人的情形。</w:t>
      </w:r>
    </w:p>
    <w:p w14:paraId="3ADAE022">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2.9“负偏离”，是指投标文件对招标文件“采购需求”中有关条款作出的响应不满足条款要求，导致采购人要求不能得到满足的情形。</w:t>
      </w:r>
    </w:p>
    <w:p w14:paraId="2A539805">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2.10“允许负偏离的条款”是指采购需求中的不属于“实质性要求”的条款。</w:t>
      </w:r>
      <w:bookmarkStart w:id="98" w:name="_Toc254970529"/>
      <w:bookmarkStart w:id="99" w:name="_Toc254970670"/>
    </w:p>
    <w:p w14:paraId="6E5A12E5">
      <w:pPr>
        <w:keepNext w:val="0"/>
        <w:keepLines w:val="0"/>
        <w:pageBreakBefore w:val="0"/>
        <w:widowControl w:val="0"/>
        <w:kinsoku/>
        <w:wordWrap/>
        <w:overflowPunct/>
        <w:topLinePunct w:val="0"/>
        <w:autoSpaceDE/>
        <w:autoSpaceDN/>
        <w:bidi w:val="0"/>
        <w:spacing w:line="400" w:lineRule="exact"/>
        <w:ind w:firstLine="482" w:firstLineChars="200"/>
        <w:textAlignment w:val="auto"/>
        <w:rPr>
          <w:rFonts w:hint="eastAsia" w:ascii="宋体" w:hAnsi="宋体" w:cs="宋体"/>
          <w:b/>
          <w:color w:val="auto"/>
          <w:sz w:val="24"/>
          <w:highlight w:val="none"/>
        </w:rPr>
      </w:pPr>
      <w:r>
        <w:rPr>
          <w:rFonts w:hint="eastAsia" w:ascii="宋体" w:hAnsi="宋体" w:cs="宋体"/>
          <w:b/>
          <w:color w:val="auto"/>
          <w:sz w:val="24"/>
          <w:highlight w:val="none"/>
        </w:rPr>
        <w:t>3.</w:t>
      </w:r>
      <w:bookmarkEnd w:id="98"/>
      <w:bookmarkEnd w:id="99"/>
      <w:r>
        <w:rPr>
          <w:rFonts w:hint="eastAsia" w:ascii="宋体" w:hAnsi="宋体" w:cs="宋体"/>
          <w:b/>
          <w:color w:val="auto"/>
          <w:sz w:val="24"/>
          <w:highlight w:val="none"/>
        </w:rPr>
        <w:t>投标人的资格要求</w:t>
      </w:r>
    </w:p>
    <w:p w14:paraId="43EA7E17">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投标人的资格要求详见“投标人须知前附表”。</w:t>
      </w:r>
    </w:p>
    <w:p w14:paraId="78D47342">
      <w:pPr>
        <w:keepNext w:val="0"/>
        <w:keepLines w:val="0"/>
        <w:pageBreakBefore w:val="0"/>
        <w:widowControl w:val="0"/>
        <w:kinsoku/>
        <w:wordWrap/>
        <w:overflowPunct/>
        <w:topLinePunct w:val="0"/>
        <w:autoSpaceDE/>
        <w:autoSpaceDN/>
        <w:bidi w:val="0"/>
        <w:spacing w:line="400" w:lineRule="exact"/>
        <w:ind w:firstLine="482" w:firstLineChars="200"/>
        <w:textAlignment w:val="auto"/>
        <w:rPr>
          <w:rFonts w:hint="eastAsia" w:ascii="宋体" w:hAnsi="宋体" w:cs="宋体"/>
          <w:b/>
          <w:color w:val="auto"/>
          <w:sz w:val="24"/>
          <w:highlight w:val="none"/>
        </w:rPr>
      </w:pPr>
      <w:bookmarkStart w:id="100" w:name="_Toc254970671"/>
      <w:bookmarkStart w:id="101" w:name="_Toc254970530"/>
      <w:r>
        <w:rPr>
          <w:rFonts w:hint="eastAsia" w:ascii="宋体" w:hAnsi="宋体" w:cs="宋体"/>
          <w:b/>
          <w:color w:val="auto"/>
          <w:sz w:val="24"/>
          <w:highlight w:val="none"/>
        </w:rPr>
        <w:t>4.投标委托</w:t>
      </w:r>
      <w:bookmarkEnd w:id="100"/>
      <w:bookmarkEnd w:id="101"/>
    </w:p>
    <w:p w14:paraId="36B86956">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投标人代表参加投标活动过程中必须携带个人有效身份证件。如投标人代表不是法定代表人，须持有授权委托书（按第六章要求格式填写）。</w:t>
      </w:r>
    </w:p>
    <w:p w14:paraId="2BF963A7">
      <w:pPr>
        <w:keepNext w:val="0"/>
        <w:keepLines w:val="0"/>
        <w:pageBreakBefore w:val="0"/>
        <w:widowControl w:val="0"/>
        <w:kinsoku/>
        <w:wordWrap/>
        <w:overflowPunct/>
        <w:topLinePunct w:val="0"/>
        <w:autoSpaceDE/>
        <w:autoSpaceDN/>
        <w:bidi w:val="0"/>
        <w:spacing w:line="400" w:lineRule="exact"/>
        <w:ind w:firstLine="482" w:firstLineChars="200"/>
        <w:textAlignment w:val="auto"/>
        <w:rPr>
          <w:rFonts w:hint="eastAsia" w:ascii="宋体" w:hAnsi="宋体" w:cs="宋体"/>
          <w:b/>
          <w:color w:val="auto"/>
          <w:sz w:val="24"/>
          <w:highlight w:val="none"/>
        </w:rPr>
      </w:pPr>
      <w:bookmarkStart w:id="102" w:name="_5.投标费用"/>
      <w:bookmarkEnd w:id="102"/>
      <w:bookmarkStart w:id="103" w:name="_Toc254970672"/>
      <w:bookmarkStart w:id="104" w:name="_Toc254970531"/>
      <w:r>
        <w:rPr>
          <w:rFonts w:hint="eastAsia" w:ascii="宋体" w:hAnsi="宋体" w:cs="宋体"/>
          <w:b/>
          <w:color w:val="auto"/>
          <w:sz w:val="24"/>
          <w:highlight w:val="none"/>
        </w:rPr>
        <w:t>5.投标费用</w:t>
      </w:r>
      <w:bookmarkEnd w:id="103"/>
      <w:bookmarkEnd w:id="104"/>
    </w:p>
    <w:p w14:paraId="709B265F">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投标费用：投标人应承担参与本次采购活动有关的所有费用，包括但不限于获取招标文件、勘查现场、编制和提交投标文件、参加澄清说明、签订合同等，不论投标结果如何，均应自行承担。</w:t>
      </w:r>
    </w:p>
    <w:p w14:paraId="3A5C9977">
      <w:pPr>
        <w:keepNext w:val="0"/>
        <w:keepLines w:val="0"/>
        <w:pageBreakBefore w:val="0"/>
        <w:widowControl w:val="0"/>
        <w:kinsoku/>
        <w:wordWrap/>
        <w:overflowPunct/>
        <w:topLinePunct w:val="0"/>
        <w:autoSpaceDE/>
        <w:autoSpaceDN/>
        <w:bidi w:val="0"/>
        <w:spacing w:line="400" w:lineRule="exact"/>
        <w:ind w:firstLine="482" w:firstLineChars="200"/>
        <w:textAlignment w:val="auto"/>
        <w:rPr>
          <w:rFonts w:hint="default" w:ascii="宋体" w:hAnsi="宋体" w:eastAsia="宋体" w:cs="宋体"/>
          <w:b/>
          <w:color w:val="auto"/>
          <w:sz w:val="24"/>
          <w:highlight w:val="none"/>
          <w:lang w:val="en-US" w:eastAsia="zh-CN"/>
        </w:rPr>
      </w:pPr>
      <w:r>
        <w:rPr>
          <w:rFonts w:hint="eastAsia" w:ascii="宋体" w:hAnsi="宋体" w:cs="宋体"/>
          <w:b/>
          <w:color w:val="auto"/>
          <w:sz w:val="24"/>
          <w:highlight w:val="none"/>
        </w:rPr>
        <w:t>6.联合体投标</w:t>
      </w:r>
      <w:r>
        <w:rPr>
          <w:rFonts w:hint="eastAsia" w:ascii="宋体" w:hAnsi="宋体" w:cs="宋体"/>
          <w:b/>
          <w:color w:val="auto"/>
          <w:sz w:val="24"/>
          <w:highlight w:val="none"/>
          <w:lang w:val="en-US" w:eastAsia="zh-CN"/>
        </w:rPr>
        <w:t>(</w:t>
      </w:r>
      <w:r>
        <w:rPr>
          <w:rFonts w:hint="eastAsia" w:ascii="宋体" w:hAnsi="宋体" w:cs="宋体"/>
          <w:b/>
          <w:color w:val="auto"/>
          <w:sz w:val="24"/>
          <w:highlight w:val="none"/>
          <w:lang w:eastAsia="zh-CN"/>
        </w:rPr>
        <w:t>本</w:t>
      </w:r>
      <w:r>
        <w:rPr>
          <w:rFonts w:hint="eastAsia" w:ascii="宋体" w:hAnsi="宋体" w:cs="宋体"/>
          <w:b/>
          <w:color w:val="auto"/>
          <w:sz w:val="24"/>
          <w:highlight w:val="none"/>
          <w:lang w:val="en-US" w:eastAsia="zh-CN"/>
        </w:rPr>
        <w:t>项目不适用本条)</w:t>
      </w:r>
    </w:p>
    <w:p w14:paraId="0D6EC679">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6.1本项目是否接受联合体投标，详见“投标人须知前附表”。</w:t>
      </w:r>
    </w:p>
    <w:p w14:paraId="1987C41E">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bCs/>
          <w:color w:val="auto"/>
          <w:szCs w:val="21"/>
          <w:highlight w:val="none"/>
        </w:rPr>
      </w:pPr>
      <w:r>
        <w:rPr>
          <w:rFonts w:hint="eastAsia" w:ascii="宋体" w:hAnsi="宋体" w:cs="宋体"/>
          <w:bCs/>
          <w:color w:val="auto"/>
          <w:szCs w:val="21"/>
          <w:highlight w:val="none"/>
        </w:rPr>
        <w:t>6.2如接受联合体投标，联合体投标要求详见“投标人须知前附表”。</w:t>
      </w:r>
    </w:p>
    <w:p w14:paraId="67049C72">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bCs/>
          <w:color w:val="auto"/>
          <w:szCs w:val="21"/>
          <w:highlight w:val="none"/>
        </w:rPr>
        <w:t>6.3</w:t>
      </w:r>
      <w:r>
        <w:rPr>
          <w:rFonts w:hint="eastAsia" w:ascii="宋体" w:hAnsi="宋体" w:cs="宋体"/>
          <w:color w:val="auto"/>
          <w:szCs w:val="21"/>
          <w:highlight w:val="none"/>
        </w:rPr>
        <w:t>根据《政府采购促进中小企业发展管理办法》（财库〔2020〕46号）第九条第二款、《财政部关于进一步加大政府采购支持中小企业力度的通知》（财库〔2022〕19号）和《广西壮族自治区财政厅关于持续优化政府采购营商环境推动高质量发展的通知》（桂财采〔2024〕55号）的规定，接受大中型企业与小微企业组成联合体或者允许大中型企业向一家或者多家小微企业分包的采购项目，对于联合协议或者分包意向协议约定小微企业的合同份额占到合同总金额30%以上的，采购人、采购代理机构应当对联合体或者大中型企业的报价给予4%的扣除，用扣除后的价格参加评审。</w:t>
      </w:r>
    </w:p>
    <w:p w14:paraId="45AA1980">
      <w:pPr>
        <w:keepNext w:val="0"/>
        <w:keepLines w:val="0"/>
        <w:pageBreakBefore w:val="0"/>
        <w:widowControl w:val="0"/>
        <w:kinsoku/>
        <w:wordWrap/>
        <w:overflowPunct/>
        <w:topLinePunct w:val="0"/>
        <w:autoSpaceDE/>
        <w:autoSpaceDN/>
        <w:bidi w:val="0"/>
        <w:spacing w:line="400" w:lineRule="exact"/>
        <w:ind w:firstLine="482" w:firstLineChars="200"/>
        <w:textAlignment w:val="auto"/>
        <w:rPr>
          <w:rFonts w:hint="eastAsia" w:ascii="宋体" w:hAnsi="宋体" w:cs="宋体"/>
          <w:b/>
          <w:color w:val="auto"/>
          <w:sz w:val="24"/>
          <w:highlight w:val="none"/>
        </w:rPr>
      </w:pPr>
      <w:r>
        <w:rPr>
          <w:rFonts w:hint="eastAsia" w:ascii="宋体" w:hAnsi="宋体" w:cs="宋体"/>
          <w:b/>
          <w:color w:val="auto"/>
          <w:sz w:val="24"/>
          <w:highlight w:val="none"/>
        </w:rPr>
        <w:t>7.转包与分包</w:t>
      </w:r>
    </w:p>
    <w:p w14:paraId="422AA9FA">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szCs w:val="21"/>
          <w:highlight w:val="none"/>
        </w:rPr>
      </w:pPr>
      <w:bookmarkStart w:id="105" w:name="_Toc254970532"/>
      <w:bookmarkStart w:id="106" w:name="_Toc254970673"/>
      <w:r>
        <w:rPr>
          <w:rFonts w:hint="eastAsia" w:ascii="宋体" w:hAnsi="宋体" w:cs="宋体"/>
          <w:color w:val="auto"/>
          <w:szCs w:val="21"/>
          <w:highlight w:val="none"/>
        </w:rPr>
        <w:t>7.1本项目不允许转包。</w:t>
      </w:r>
    </w:p>
    <w:p w14:paraId="71AB5303">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7.2本项目是否允许分包详见“投标人须知前附表”，本项目不允许违法分包。允许分包的非主体、非关键性工作，根据法律法规规定承担该工作需要行政许可的，如该工作由投标人自行承担，投标人应具备相应的行政许可，如投标人不具备相应的行政许可必须采用分包的方式，但分包投标人应具备相应行政许可。</w:t>
      </w:r>
    </w:p>
    <w:p w14:paraId="6CECCD4A">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7.3投标人根据招标文件的规定和采购项目的实际情况，拟在中标后将中标项目的非主体、非关键性工作分包的，应当在投标文件中载明分包承担主体，分包承担主体应当具备相应资质条件且不得再次分包。</w:t>
      </w:r>
    </w:p>
    <w:p w14:paraId="48F0A0A5">
      <w:pPr>
        <w:keepNext w:val="0"/>
        <w:keepLines w:val="0"/>
        <w:pageBreakBefore w:val="0"/>
        <w:widowControl w:val="0"/>
        <w:kinsoku/>
        <w:wordWrap/>
        <w:overflowPunct/>
        <w:topLinePunct w:val="0"/>
        <w:autoSpaceDE/>
        <w:autoSpaceDN/>
        <w:bidi w:val="0"/>
        <w:spacing w:line="400" w:lineRule="exact"/>
        <w:ind w:firstLine="482" w:firstLineChars="200"/>
        <w:textAlignment w:val="auto"/>
        <w:rPr>
          <w:rFonts w:hint="eastAsia" w:ascii="宋体" w:hAnsi="宋体" w:cs="宋体"/>
          <w:b/>
          <w:color w:val="auto"/>
          <w:sz w:val="24"/>
          <w:highlight w:val="none"/>
        </w:rPr>
      </w:pPr>
      <w:r>
        <w:rPr>
          <w:rFonts w:hint="eastAsia" w:ascii="宋体" w:hAnsi="宋体" w:cs="宋体"/>
          <w:b/>
          <w:color w:val="auto"/>
          <w:sz w:val="24"/>
          <w:highlight w:val="none"/>
        </w:rPr>
        <w:t>8.特别说明</w:t>
      </w:r>
      <w:bookmarkEnd w:id="105"/>
      <w:bookmarkEnd w:id="106"/>
    </w:p>
    <w:p w14:paraId="0D8164A5">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8.1如果本招标文件要求提供投标人或制造商的资格、信誉、荣誉、业绩与企业认证等材料的，资格、信誉、荣誉、业绩与企业认证等必须为投标人或者制造商所拥有或自身获得 。</w:t>
      </w:r>
    </w:p>
    <w:p w14:paraId="719C3B72">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8.2投标人应仔细阅读招标文件的所有内容，按照招标文件的要求提交投标文件，并对所提供的全部资料的真实性承担法律责任。</w:t>
      </w:r>
    </w:p>
    <w:p w14:paraId="4930A73B">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8.3投标人在投标活动中提供任何虚假材料，将报监管部门查处；中标后发现的，中标人须依照《中华人民共和国消费者权益保护法》规定赔偿采购人，且民事赔偿并不免除违法投标人的行政与刑事责任。</w:t>
      </w:r>
    </w:p>
    <w:p w14:paraId="03A2781A">
      <w:pPr>
        <w:keepNext w:val="0"/>
        <w:keepLines w:val="0"/>
        <w:pageBreakBefore w:val="0"/>
        <w:widowControl w:val="0"/>
        <w:kinsoku/>
        <w:wordWrap/>
        <w:overflowPunct/>
        <w:topLinePunct w:val="0"/>
        <w:autoSpaceDE/>
        <w:autoSpaceDN/>
        <w:bidi w:val="0"/>
        <w:spacing w:line="400" w:lineRule="exact"/>
        <w:ind w:firstLine="482" w:firstLineChars="200"/>
        <w:textAlignment w:val="auto"/>
        <w:rPr>
          <w:rFonts w:hint="eastAsia" w:ascii="宋体" w:hAnsi="宋体" w:cs="宋体"/>
          <w:b/>
          <w:color w:val="auto"/>
          <w:sz w:val="24"/>
          <w:highlight w:val="none"/>
        </w:rPr>
      </w:pPr>
      <w:r>
        <w:rPr>
          <w:rFonts w:hint="eastAsia" w:ascii="宋体" w:hAnsi="宋体" w:cs="宋体"/>
          <w:b/>
          <w:color w:val="auto"/>
          <w:sz w:val="24"/>
          <w:highlight w:val="none"/>
        </w:rPr>
        <w:t>9.回避与串通投标</w:t>
      </w:r>
    </w:p>
    <w:p w14:paraId="3A0076AD">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9.1在政府采购活动中，采购人员及相关人员与供应商有下列利害关系之一的，应当回避：</w:t>
      </w:r>
    </w:p>
    <w:p w14:paraId="755FD847">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（1）参加采购活动前3年内与供应商存在劳动关系；</w:t>
      </w:r>
    </w:p>
    <w:p w14:paraId="15129887">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（2）参加采购活动前3年内担任供应商的董事、监事；</w:t>
      </w:r>
    </w:p>
    <w:p w14:paraId="16888869">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（3）参加采购活动前3年内是供应商的控股股东或者实际控制人；</w:t>
      </w:r>
    </w:p>
    <w:p w14:paraId="1838D8D2">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（4）与供应商的法定代表人或者负责人有夫妻、直系血亲、三代以内旁系血亲或者近姻亲关系；</w:t>
      </w:r>
    </w:p>
    <w:p w14:paraId="5A1781DA">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（5）与供应商有其他可能影响政府采购活动公平、公正进行的关系。</w:t>
      </w:r>
    </w:p>
    <w:p w14:paraId="01CD8E77">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14:paraId="2579396A">
      <w:pPr>
        <w:keepNext w:val="0"/>
        <w:keepLines w:val="0"/>
        <w:pageBreakBefore w:val="0"/>
        <w:widowControl w:val="0"/>
        <w:kinsoku/>
        <w:wordWrap/>
        <w:overflowPunct/>
        <w:topLinePunct w:val="0"/>
        <w:autoSpaceDE/>
        <w:autoSpaceDN/>
        <w:bidi w:val="0"/>
        <w:snapToGrid w:val="0"/>
        <w:spacing w:line="400" w:lineRule="exact"/>
        <w:ind w:firstLine="422" w:firstLineChars="200"/>
        <w:jc w:val="left"/>
        <w:textAlignment w:val="auto"/>
        <w:rPr>
          <w:rFonts w:hint="eastAsia" w:ascii="宋体" w:hAnsi="宋体" w:cs="宋体"/>
          <w:b/>
          <w:color w:val="auto"/>
          <w:szCs w:val="21"/>
          <w:highlight w:val="none"/>
        </w:rPr>
      </w:pPr>
      <w:r>
        <w:rPr>
          <w:rFonts w:hint="eastAsia" w:ascii="宋体" w:hAnsi="宋体" w:cs="宋体"/>
          <w:b/>
          <w:color w:val="auto"/>
          <w:szCs w:val="21"/>
          <w:highlight w:val="none"/>
        </w:rPr>
        <w:t>9.2有下列情形之一的视为投标人相互串通投标，投标文件将被视为无效：</w:t>
      </w:r>
    </w:p>
    <w:p w14:paraId="68EF94C7">
      <w:pPr>
        <w:keepNext w:val="0"/>
        <w:keepLines w:val="0"/>
        <w:pageBreakBefore w:val="0"/>
        <w:widowControl w:val="0"/>
        <w:kinsoku/>
        <w:wordWrap/>
        <w:overflowPunct/>
        <w:topLinePunct w:val="0"/>
        <w:autoSpaceDE/>
        <w:autoSpaceDN/>
        <w:bidi w:val="0"/>
        <w:snapToGrid w:val="0"/>
        <w:spacing w:line="400" w:lineRule="exact"/>
        <w:ind w:firstLine="422" w:firstLineChars="200"/>
        <w:jc w:val="left"/>
        <w:textAlignment w:val="auto"/>
        <w:rPr>
          <w:rFonts w:hint="eastAsia" w:ascii="宋体" w:hAnsi="宋体" w:cs="宋体"/>
          <w:b/>
          <w:color w:val="auto"/>
          <w:szCs w:val="21"/>
          <w:highlight w:val="none"/>
        </w:rPr>
      </w:pPr>
      <w:r>
        <w:rPr>
          <w:rFonts w:hint="eastAsia" w:ascii="宋体" w:hAnsi="宋体" w:cs="宋体"/>
          <w:b/>
          <w:color w:val="auto"/>
          <w:szCs w:val="21"/>
          <w:highlight w:val="none"/>
        </w:rPr>
        <w:t>（1）不同投标人的投标文件由同一单位或者个人编制；或者不同投标人报名的IP地址一致的；或者编制标书硬件设备CPU编号、硬盘编号、网卡地址一致的情况。</w:t>
      </w:r>
    </w:p>
    <w:p w14:paraId="52987BA0">
      <w:pPr>
        <w:keepNext w:val="0"/>
        <w:keepLines w:val="0"/>
        <w:pageBreakBefore w:val="0"/>
        <w:widowControl w:val="0"/>
        <w:kinsoku/>
        <w:wordWrap/>
        <w:overflowPunct/>
        <w:topLinePunct w:val="0"/>
        <w:autoSpaceDE/>
        <w:autoSpaceDN/>
        <w:bidi w:val="0"/>
        <w:snapToGrid w:val="0"/>
        <w:spacing w:line="400" w:lineRule="exact"/>
        <w:ind w:firstLine="422" w:firstLineChars="200"/>
        <w:jc w:val="left"/>
        <w:textAlignment w:val="auto"/>
        <w:rPr>
          <w:rFonts w:hint="eastAsia" w:ascii="宋体" w:hAnsi="宋体" w:cs="宋体"/>
          <w:b/>
          <w:color w:val="auto"/>
          <w:szCs w:val="21"/>
          <w:highlight w:val="none"/>
        </w:rPr>
      </w:pPr>
      <w:r>
        <w:rPr>
          <w:rFonts w:hint="eastAsia" w:ascii="宋体" w:hAnsi="宋体" w:cs="宋体"/>
          <w:b/>
          <w:color w:val="auto"/>
          <w:szCs w:val="21"/>
          <w:highlight w:val="none"/>
        </w:rPr>
        <w:t>（2）不同投标人委托同一单位或者个人办理投标事宜；</w:t>
      </w:r>
    </w:p>
    <w:p w14:paraId="68D2BA50">
      <w:pPr>
        <w:keepNext w:val="0"/>
        <w:keepLines w:val="0"/>
        <w:pageBreakBefore w:val="0"/>
        <w:widowControl w:val="0"/>
        <w:kinsoku/>
        <w:wordWrap/>
        <w:overflowPunct/>
        <w:topLinePunct w:val="0"/>
        <w:autoSpaceDE/>
        <w:autoSpaceDN/>
        <w:bidi w:val="0"/>
        <w:snapToGrid w:val="0"/>
        <w:spacing w:line="400" w:lineRule="exact"/>
        <w:ind w:firstLine="422" w:firstLineChars="200"/>
        <w:jc w:val="left"/>
        <w:textAlignment w:val="auto"/>
        <w:rPr>
          <w:rFonts w:hint="eastAsia" w:ascii="宋体" w:hAnsi="宋体" w:cs="宋体"/>
          <w:b/>
          <w:color w:val="auto"/>
          <w:szCs w:val="21"/>
          <w:highlight w:val="none"/>
        </w:rPr>
      </w:pPr>
      <w:r>
        <w:rPr>
          <w:rFonts w:hint="eastAsia" w:ascii="宋体" w:hAnsi="宋体" w:cs="宋体"/>
          <w:b/>
          <w:color w:val="auto"/>
          <w:szCs w:val="21"/>
          <w:highlight w:val="none"/>
        </w:rPr>
        <w:t>（3）不同的投标人的投标文件载明的项目管理员为同一个人；</w:t>
      </w:r>
    </w:p>
    <w:p w14:paraId="27342E5C">
      <w:pPr>
        <w:keepNext w:val="0"/>
        <w:keepLines w:val="0"/>
        <w:pageBreakBefore w:val="0"/>
        <w:widowControl w:val="0"/>
        <w:kinsoku/>
        <w:wordWrap/>
        <w:overflowPunct/>
        <w:topLinePunct w:val="0"/>
        <w:autoSpaceDE/>
        <w:autoSpaceDN/>
        <w:bidi w:val="0"/>
        <w:snapToGrid w:val="0"/>
        <w:spacing w:line="400" w:lineRule="exact"/>
        <w:ind w:firstLine="422" w:firstLineChars="200"/>
        <w:jc w:val="left"/>
        <w:textAlignment w:val="auto"/>
        <w:rPr>
          <w:rFonts w:hint="eastAsia" w:ascii="宋体" w:hAnsi="宋体" w:cs="宋体"/>
          <w:b/>
          <w:color w:val="auto"/>
          <w:szCs w:val="21"/>
          <w:highlight w:val="none"/>
        </w:rPr>
      </w:pPr>
      <w:r>
        <w:rPr>
          <w:rFonts w:hint="eastAsia" w:ascii="宋体" w:hAnsi="宋体" w:cs="宋体"/>
          <w:b/>
          <w:color w:val="auto"/>
          <w:szCs w:val="21"/>
          <w:highlight w:val="none"/>
        </w:rPr>
        <w:t>（4）不同投标人的投标文件异常一致或者投标报价呈规律性差异；</w:t>
      </w:r>
    </w:p>
    <w:p w14:paraId="1DC1B43B">
      <w:pPr>
        <w:keepNext w:val="0"/>
        <w:keepLines w:val="0"/>
        <w:pageBreakBefore w:val="0"/>
        <w:widowControl w:val="0"/>
        <w:kinsoku/>
        <w:wordWrap/>
        <w:overflowPunct/>
        <w:topLinePunct w:val="0"/>
        <w:autoSpaceDE/>
        <w:autoSpaceDN/>
        <w:bidi w:val="0"/>
        <w:snapToGrid w:val="0"/>
        <w:spacing w:line="400" w:lineRule="exact"/>
        <w:ind w:firstLine="422" w:firstLineChars="200"/>
        <w:jc w:val="left"/>
        <w:textAlignment w:val="auto"/>
        <w:rPr>
          <w:rFonts w:hint="eastAsia" w:ascii="宋体" w:hAnsi="宋体" w:cs="宋体"/>
          <w:b/>
          <w:color w:val="auto"/>
          <w:szCs w:val="21"/>
          <w:highlight w:val="none"/>
        </w:rPr>
      </w:pPr>
      <w:r>
        <w:rPr>
          <w:rFonts w:hint="eastAsia" w:ascii="宋体" w:hAnsi="宋体" w:cs="宋体"/>
          <w:b/>
          <w:color w:val="auto"/>
          <w:szCs w:val="21"/>
          <w:highlight w:val="none"/>
        </w:rPr>
        <w:t>（5）不同投标人的投标文件相互混装；</w:t>
      </w:r>
    </w:p>
    <w:p w14:paraId="6EB1E180">
      <w:pPr>
        <w:keepNext w:val="0"/>
        <w:keepLines w:val="0"/>
        <w:pageBreakBefore w:val="0"/>
        <w:widowControl w:val="0"/>
        <w:kinsoku/>
        <w:wordWrap/>
        <w:overflowPunct/>
        <w:topLinePunct w:val="0"/>
        <w:autoSpaceDE/>
        <w:autoSpaceDN/>
        <w:bidi w:val="0"/>
        <w:snapToGrid w:val="0"/>
        <w:spacing w:line="400" w:lineRule="exact"/>
        <w:ind w:firstLine="422" w:firstLineChars="200"/>
        <w:jc w:val="left"/>
        <w:textAlignment w:val="auto"/>
        <w:rPr>
          <w:rFonts w:hint="eastAsia" w:ascii="宋体" w:hAnsi="宋体" w:cs="宋体"/>
          <w:b/>
          <w:color w:val="auto"/>
          <w:szCs w:val="21"/>
          <w:highlight w:val="none"/>
        </w:rPr>
      </w:pPr>
      <w:r>
        <w:rPr>
          <w:rFonts w:hint="eastAsia" w:ascii="宋体" w:hAnsi="宋体" w:cs="宋体"/>
          <w:b/>
          <w:color w:val="auto"/>
          <w:szCs w:val="21"/>
          <w:highlight w:val="none"/>
        </w:rPr>
        <w:t>（6）不同投标人的投标保证金从同一单位或者个人账户转出。</w:t>
      </w:r>
    </w:p>
    <w:p w14:paraId="286333D5">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9.3供应商有下列情形之一的，属于恶意串通行为，将报同级监督管理部门：</w:t>
      </w:r>
    </w:p>
    <w:p w14:paraId="72BEAC7F">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（1）供应商直接或者间接从采购人或者采购代理机构处获得其他供应商的相关信息并修改其投标文件或者响应文件；</w:t>
      </w:r>
    </w:p>
    <w:p w14:paraId="6BC26DD3">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（2）供应商按照采购人或者采购代理机构的授意撤换、修改投标文件或者响应文件；</w:t>
      </w:r>
    </w:p>
    <w:p w14:paraId="1F5454C2">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（3）供应商之间协商报价、技术方案等投标文件或者响应文件的实质性内容；</w:t>
      </w:r>
    </w:p>
    <w:p w14:paraId="2EE1802A">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（4）属于同一集团、协会、商会等组织成员的供应商按照该组织要求协同参加政府采购活动；</w:t>
      </w:r>
    </w:p>
    <w:p w14:paraId="01D30BF8">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（5）供应商之间事先约定一致抬高或者压低投标报价，或者在招标项目中事先约定轮流以高价位或者低价位中标，或者事先约定由某一特定供应商中标，然后再参加投标；</w:t>
      </w:r>
    </w:p>
    <w:p w14:paraId="09E29918">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（6）供应商之间商定部分供应商放弃参加政府采购活动或者放弃中标；</w:t>
      </w:r>
    </w:p>
    <w:p w14:paraId="4B32088C">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（7）供应商与采购人或者采购代理机构之间、供应商相互之间，为谋求特定供应商中标或者排斥其他供应商的其他串通行为。</w:t>
      </w:r>
    </w:p>
    <w:p w14:paraId="713323EC">
      <w:pPr>
        <w:pStyle w:val="2"/>
        <w:keepNext w:val="0"/>
        <w:keepLines w:val="0"/>
        <w:pageBreakBefore w:val="0"/>
        <w:widowControl w:val="0"/>
        <w:kinsoku/>
        <w:wordWrap/>
        <w:overflowPunct/>
        <w:topLinePunct w:val="0"/>
        <w:autoSpaceDE/>
        <w:autoSpaceDN/>
        <w:bidi w:val="0"/>
        <w:spacing w:line="400" w:lineRule="exact"/>
        <w:jc w:val="center"/>
        <w:textAlignment w:val="auto"/>
        <w:rPr>
          <w:rFonts w:hint="eastAsia" w:ascii="宋体" w:hAnsi="宋体" w:cs="宋体"/>
          <w:color w:val="auto"/>
          <w:highlight w:val="none"/>
        </w:rPr>
      </w:pPr>
      <w:bookmarkStart w:id="107" w:name="_Toc30666"/>
      <w:bookmarkStart w:id="108" w:name="_Toc254970534"/>
      <w:bookmarkStart w:id="109" w:name="_Toc254970675"/>
      <w:bookmarkStart w:id="110" w:name="_Toc16733"/>
      <w:r>
        <w:rPr>
          <w:rFonts w:hint="eastAsia" w:ascii="宋体" w:hAnsi="宋体" w:cs="宋体"/>
          <w:color w:val="auto"/>
          <w:highlight w:val="none"/>
        </w:rPr>
        <w:t>二、招标文件</w:t>
      </w:r>
      <w:bookmarkEnd w:id="107"/>
      <w:bookmarkEnd w:id="108"/>
      <w:bookmarkEnd w:id="109"/>
      <w:bookmarkEnd w:id="110"/>
    </w:p>
    <w:p w14:paraId="55C701EE">
      <w:pPr>
        <w:keepNext w:val="0"/>
        <w:keepLines w:val="0"/>
        <w:pageBreakBefore w:val="0"/>
        <w:widowControl w:val="0"/>
        <w:kinsoku/>
        <w:wordWrap/>
        <w:overflowPunct/>
        <w:topLinePunct w:val="0"/>
        <w:autoSpaceDE/>
        <w:autoSpaceDN/>
        <w:bidi w:val="0"/>
        <w:spacing w:line="400" w:lineRule="exact"/>
        <w:ind w:firstLine="482" w:firstLineChars="200"/>
        <w:textAlignment w:val="auto"/>
        <w:rPr>
          <w:rFonts w:hint="eastAsia" w:ascii="宋体" w:hAnsi="宋体" w:cs="宋体"/>
          <w:b/>
          <w:color w:val="auto"/>
          <w:sz w:val="24"/>
          <w:highlight w:val="none"/>
        </w:rPr>
      </w:pPr>
      <w:r>
        <w:rPr>
          <w:rFonts w:hint="eastAsia" w:ascii="宋体" w:hAnsi="宋体" w:cs="宋体"/>
          <w:b/>
          <w:color w:val="auto"/>
          <w:sz w:val="24"/>
          <w:highlight w:val="none"/>
        </w:rPr>
        <w:t>10.招标文件的组成</w:t>
      </w:r>
    </w:p>
    <w:p w14:paraId="0395AEEC">
      <w:pPr>
        <w:keepNext w:val="0"/>
        <w:keepLines w:val="0"/>
        <w:pageBreakBefore w:val="0"/>
        <w:widowControl w:val="0"/>
        <w:kinsoku/>
        <w:wordWrap/>
        <w:overflowPunct/>
        <w:topLinePunct w:val="0"/>
        <w:autoSpaceDE/>
        <w:autoSpaceDN/>
        <w:bidi w:val="0"/>
        <w:snapToGrid w:val="0"/>
        <w:spacing w:line="400" w:lineRule="exact"/>
        <w:ind w:firstLine="42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（1）招标公告；</w:t>
      </w:r>
    </w:p>
    <w:p w14:paraId="65AE5E96">
      <w:pPr>
        <w:keepNext w:val="0"/>
        <w:keepLines w:val="0"/>
        <w:pageBreakBefore w:val="0"/>
        <w:widowControl w:val="0"/>
        <w:kinsoku/>
        <w:wordWrap/>
        <w:overflowPunct/>
        <w:topLinePunct w:val="0"/>
        <w:autoSpaceDE/>
        <w:autoSpaceDN/>
        <w:bidi w:val="0"/>
        <w:snapToGrid w:val="0"/>
        <w:spacing w:line="400" w:lineRule="exact"/>
        <w:ind w:firstLine="42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 xml:space="preserve">（2）采购需求； </w:t>
      </w:r>
    </w:p>
    <w:p w14:paraId="6EB5D00B">
      <w:pPr>
        <w:keepNext w:val="0"/>
        <w:keepLines w:val="0"/>
        <w:pageBreakBefore w:val="0"/>
        <w:widowControl w:val="0"/>
        <w:kinsoku/>
        <w:wordWrap/>
        <w:overflowPunct/>
        <w:topLinePunct w:val="0"/>
        <w:autoSpaceDE/>
        <w:autoSpaceDN/>
        <w:bidi w:val="0"/>
        <w:snapToGrid w:val="0"/>
        <w:spacing w:line="400" w:lineRule="exact"/>
        <w:ind w:firstLine="42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（3）投标人须知；</w:t>
      </w:r>
    </w:p>
    <w:p w14:paraId="2AC12464">
      <w:pPr>
        <w:keepNext w:val="0"/>
        <w:keepLines w:val="0"/>
        <w:pageBreakBefore w:val="0"/>
        <w:widowControl w:val="0"/>
        <w:kinsoku/>
        <w:wordWrap/>
        <w:overflowPunct/>
        <w:topLinePunct w:val="0"/>
        <w:autoSpaceDE/>
        <w:autoSpaceDN/>
        <w:bidi w:val="0"/>
        <w:snapToGrid w:val="0"/>
        <w:spacing w:line="400" w:lineRule="exact"/>
        <w:ind w:firstLine="42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（4）评标方法及评标标准；</w:t>
      </w:r>
    </w:p>
    <w:p w14:paraId="58F9A771">
      <w:pPr>
        <w:keepNext w:val="0"/>
        <w:keepLines w:val="0"/>
        <w:pageBreakBefore w:val="0"/>
        <w:widowControl w:val="0"/>
        <w:kinsoku/>
        <w:wordWrap/>
        <w:overflowPunct/>
        <w:topLinePunct w:val="0"/>
        <w:autoSpaceDE/>
        <w:autoSpaceDN/>
        <w:bidi w:val="0"/>
        <w:snapToGrid w:val="0"/>
        <w:spacing w:line="400" w:lineRule="exact"/>
        <w:ind w:firstLine="42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（5）拟签订的合同文本；</w:t>
      </w:r>
    </w:p>
    <w:p w14:paraId="487DDF80">
      <w:pPr>
        <w:keepNext w:val="0"/>
        <w:keepLines w:val="0"/>
        <w:pageBreakBefore w:val="0"/>
        <w:widowControl w:val="0"/>
        <w:kinsoku/>
        <w:wordWrap/>
        <w:overflowPunct/>
        <w:topLinePunct w:val="0"/>
        <w:autoSpaceDE/>
        <w:autoSpaceDN/>
        <w:bidi w:val="0"/>
        <w:snapToGrid w:val="0"/>
        <w:spacing w:line="400" w:lineRule="exact"/>
        <w:ind w:firstLine="42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（6）投标文件格式。</w:t>
      </w:r>
    </w:p>
    <w:p w14:paraId="4B31B8DD">
      <w:pPr>
        <w:keepNext w:val="0"/>
        <w:keepLines w:val="0"/>
        <w:pageBreakBefore w:val="0"/>
        <w:widowControl w:val="0"/>
        <w:kinsoku/>
        <w:wordWrap/>
        <w:overflowPunct/>
        <w:topLinePunct w:val="0"/>
        <w:autoSpaceDE/>
        <w:autoSpaceDN/>
        <w:bidi w:val="0"/>
        <w:spacing w:line="400" w:lineRule="exact"/>
        <w:ind w:firstLine="482" w:firstLineChars="200"/>
        <w:textAlignment w:val="auto"/>
        <w:rPr>
          <w:rFonts w:hint="eastAsia" w:ascii="宋体" w:hAnsi="宋体" w:cs="宋体"/>
          <w:b/>
          <w:color w:val="auto"/>
          <w:sz w:val="24"/>
          <w:highlight w:val="none"/>
        </w:rPr>
      </w:pPr>
      <w:r>
        <w:rPr>
          <w:rFonts w:hint="eastAsia" w:ascii="宋体" w:hAnsi="宋体" w:cs="宋体"/>
          <w:b/>
          <w:color w:val="auto"/>
          <w:sz w:val="24"/>
          <w:highlight w:val="none"/>
        </w:rPr>
        <w:t>11.招标文件的澄清、修改 、现场考察和答疑会</w:t>
      </w:r>
    </w:p>
    <w:p w14:paraId="381A09AE">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11.1采购人或者采购代理机构可以对已发出的招标文件进行必要的澄清或者修改，但不得改变采购标的和资格条件。澄清或者修改应当在原公告发布媒体上发布澄清公告。澄清或者修改的内容为招标文件的组成部分。</w:t>
      </w:r>
    </w:p>
    <w:p w14:paraId="02D77DCE">
      <w:pPr>
        <w:pStyle w:val="20"/>
        <w:keepNext w:val="0"/>
        <w:keepLines w:val="0"/>
        <w:pageBreakBefore w:val="0"/>
        <w:widowControl w:val="0"/>
        <w:kinsoku/>
        <w:wordWrap/>
        <w:overflowPunct/>
        <w:topLinePunct w:val="0"/>
        <w:autoSpaceDE/>
        <w:autoSpaceDN/>
        <w:bidi w:val="0"/>
        <w:snapToGrid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澄清或者修改的内容可能影响投标文件编制的，采购人或者采购代理机构应当在投标截止时间至少15日前，以书面形式通知所有获取招标文件的潜在投标人；不足15日的，采购人或者采购代理机构应当顺延提交投标文件的截止时间。</w:t>
      </w:r>
    </w:p>
    <w:p w14:paraId="400C0136">
      <w:pPr>
        <w:pStyle w:val="20"/>
        <w:keepNext w:val="0"/>
        <w:keepLines w:val="0"/>
        <w:pageBreakBefore w:val="0"/>
        <w:widowControl w:val="0"/>
        <w:kinsoku/>
        <w:wordWrap/>
        <w:overflowPunct/>
        <w:topLinePunct w:val="0"/>
        <w:autoSpaceDE/>
        <w:autoSpaceDN/>
        <w:bidi w:val="0"/>
        <w:snapToGrid w:val="0"/>
        <w:spacing w:line="400" w:lineRule="exact"/>
        <w:ind w:firstLine="420" w:firstLineChars="200"/>
        <w:textAlignment w:val="auto"/>
        <w:rPr>
          <w:rFonts w:hint="eastAsia" w:ascii="宋体" w:hAnsi="宋体" w:cs="宋体"/>
          <w:color w:val="auto"/>
          <w:highlight w:val="none"/>
        </w:rPr>
      </w:pPr>
      <w:r>
        <w:rPr>
          <w:rFonts w:hint="eastAsia" w:hAnsi="宋体" w:cs="宋体"/>
          <w:color w:val="auto"/>
          <w:highlight w:val="none"/>
        </w:rPr>
        <w:t>11.2</w:t>
      </w:r>
      <w:bookmarkStart w:id="111" w:name="_Hlk53134511"/>
      <w:r>
        <w:rPr>
          <w:rFonts w:hint="eastAsia" w:hAnsi="宋体" w:cs="宋体"/>
          <w:color w:val="auto"/>
          <w:highlight w:val="none"/>
        </w:rPr>
        <w:t>采购人或者采购代理机构可以在招标文件提供期限截止后，组织已获取招标文件的潜在投标人现场考察或者召开开标前答疑会，具体详见“投标人须知前附表”。</w:t>
      </w:r>
      <w:bookmarkEnd w:id="111"/>
      <w:bookmarkStart w:id="112" w:name="_Toc254970676"/>
      <w:bookmarkStart w:id="113" w:name="_Toc28609"/>
      <w:bookmarkStart w:id="114" w:name="_Toc11493"/>
      <w:bookmarkStart w:id="115" w:name="_Toc254970535"/>
    </w:p>
    <w:p w14:paraId="63A0A9E8">
      <w:pPr>
        <w:pStyle w:val="2"/>
        <w:keepNext w:val="0"/>
        <w:keepLines w:val="0"/>
        <w:pageBreakBefore w:val="0"/>
        <w:widowControl w:val="0"/>
        <w:kinsoku/>
        <w:wordWrap/>
        <w:overflowPunct/>
        <w:topLinePunct w:val="0"/>
        <w:autoSpaceDE/>
        <w:autoSpaceDN/>
        <w:bidi w:val="0"/>
        <w:spacing w:line="400" w:lineRule="exact"/>
        <w:jc w:val="center"/>
        <w:textAlignment w:val="auto"/>
        <w:rPr>
          <w:rFonts w:hint="eastAsia" w:ascii="宋体" w:hAnsi="宋体" w:cs="宋体"/>
          <w:color w:val="auto"/>
          <w:highlight w:val="none"/>
        </w:rPr>
      </w:pPr>
      <w:r>
        <w:rPr>
          <w:rFonts w:hint="eastAsia" w:ascii="宋体" w:hAnsi="宋体" w:cs="宋体"/>
          <w:color w:val="auto"/>
          <w:highlight w:val="none"/>
        </w:rPr>
        <w:t>三、投标文件的编制</w:t>
      </w:r>
      <w:bookmarkEnd w:id="112"/>
      <w:bookmarkEnd w:id="113"/>
      <w:bookmarkEnd w:id="114"/>
      <w:bookmarkEnd w:id="115"/>
    </w:p>
    <w:p w14:paraId="1C95C1CE">
      <w:pPr>
        <w:keepNext w:val="0"/>
        <w:keepLines w:val="0"/>
        <w:pageBreakBefore w:val="0"/>
        <w:widowControl w:val="0"/>
        <w:kinsoku/>
        <w:wordWrap/>
        <w:overflowPunct/>
        <w:topLinePunct w:val="0"/>
        <w:autoSpaceDE/>
        <w:autoSpaceDN/>
        <w:bidi w:val="0"/>
        <w:spacing w:line="400" w:lineRule="exact"/>
        <w:ind w:firstLine="482" w:firstLineChars="200"/>
        <w:textAlignment w:val="auto"/>
        <w:rPr>
          <w:rFonts w:hint="eastAsia" w:ascii="宋体" w:hAnsi="宋体" w:cs="宋体"/>
          <w:b/>
          <w:color w:val="auto"/>
          <w:sz w:val="24"/>
          <w:highlight w:val="none"/>
        </w:rPr>
      </w:pPr>
      <w:bookmarkStart w:id="116" w:name="_Toc254970677"/>
      <w:bookmarkStart w:id="117" w:name="_Toc254970536"/>
      <w:r>
        <w:rPr>
          <w:rFonts w:hint="eastAsia" w:ascii="宋体" w:hAnsi="宋体" w:cs="宋体"/>
          <w:b/>
          <w:color w:val="auto"/>
          <w:sz w:val="24"/>
          <w:highlight w:val="none"/>
        </w:rPr>
        <w:t>12.投标文件的编制原则</w:t>
      </w:r>
    </w:p>
    <w:p w14:paraId="2547BF1B">
      <w:pPr>
        <w:keepNext w:val="0"/>
        <w:keepLines w:val="0"/>
        <w:pageBreakBefore w:val="0"/>
        <w:widowControl w:val="0"/>
        <w:kinsoku/>
        <w:wordWrap/>
        <w:overflowPunct/>
        <w:topLinePunct w:val="0"/>
        <w:autoSpaceDE/>
        <w:autoSpaceDN/>
        <w:bidi w:val="0"/>
        <w:snapToGrid w:val="0"/>
        <w:spacing w:line="400" w:lineRule="exact"/>
        <w:ind w:firstLine="42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投标人必须按照招标文件的要求编制投标文件。投标文件必须对招标文件提出的要求和条件作出明确响应。</w:t>
      </w:r>
    </w:p>
    <w:p w14:paraId="2E0403FA">
      <w:pPr>
        <w:keepNext w:val="0"/>
        <w:keepLines w:val="0"/>
        <w:pageBreakBefore w:val="0"/>
        <w:widowControl w:val="0"/>
        <w:kinsoku/>
        <w:wordWrap/>
        <w:overflowPunct/>
        <w:topLinePunct w:val="0"/>
        <w:autoSpaceDE/>
        <w:autoSpaceDN/>
        <w:bidi w:val="0"/>
        <w:spacing w:line="400" w:lineRule="exact"/>
        <w:ind w:firstLine="482" w:firstLineChars="200"/>
        <w:textAlignment w:val="auto"/>
        <w:rPr>
          <w:rFonts w:hint="eastAsia" w:ascii="宋体" w:hAnsi="宋体" w:cs="宋体"/>
          <w:b/>
          <w:color w:val="auto"/>
          <w:sz w:val="24"/>
          <w:highlight w:val="none"/>
        </w:rPr>
      </w:pPr>
      <w:r>
        <w:rPr>
          <w:rFonts w:hint="eastAsia" w:ascii="宋体" w:hAnsi="宋体" w:cs="宋体"/>
          <w:b/>
          <w:color w:val="auto"/>
          <w:sz w:val="24"/>
          <w:highlight w:val="none"/>
        </w:rPr>
        <w:t>13.投标文件的组成</w:t>
      </w:r>
      <w:bookmarkEnd w:id="116"/>
      <w:bookmarkEnd w:id="117"/>
    </w:p>
    <w:p w14:paraId="6E5F5271">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投标文件由报价文件、资格证明文件、商务及技术文件三部分组成。</w:t>
      </w:r>
    </w:p>
    <w:p w14:paraId="7691FE54">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szCs w:val="21"/>
          <w:highlight w:val="none"/>
        </w:rPr>
      </w:pPr>
      <w:bookmarkStart w:id="118" w:name="_13.1报价文件:_具体材料见“投标人须知前附表”。"/>
      <w:bookmarkEnd w:id="118"/>
      <w:r>
        <w:rPr>
          <w:rFonts w:hint="eastAsia" w:ascii="宋体" w:hAnsi="宋体" w:cs="宋体"/>
          <w:color w:val="auto"/>
          <w:szCs w:val="21"/>
          <w:highlight w:val="none"/>
        </w:rPr>
        <w:t>（1）报价文件：具体材料见“投标人须知前附表”。</w:t>
      </w:r>
    </w:p>
    <w:p w14:paraId="0F0A678C">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szCs w:val="21"/>
          <w:highlight w:val="none"/>
        </w:rPr>
      </w:pPr>
      <w:bookmarkStart w:id="119" w:name="_13.2资格证明文件：具体材料见“投标人须知前附表”。"/>
      <w:bookmarkEnd w:id="119"/>
      <w:r>
        <w:rPr>
          <w:rFonts w:hint="eastAsia" w:ascii="宋体" w:hAnsi="宋体" w:cs="宋体"/>
          <w:color w:val="auto"/>
          <w:szCs w:val="21"/>
          <w:highlight w:val="none"/>
        </w:rPr>
        <w:t>（2）资格证明文件：具体材料见“投标人须知前附表”。</w:t>
      </w:r>
    </w:p>
    <w:p w14:paraId="2FE6202A">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szCs w:val="21"/>
          <w:highlight w:val="none"/>
        </w:rPr>
      </w:pPr>
      <w:bookmarkStart w:id="120" w:name="_13.3商务文件:_具体材料见“投标人须知前附表”。"/>
      <w:bookmarkEnd w:id="120"/>
      <w:r>
        <w:rPr>
          <w:rFonts w:hint="eastAsia" w:ascii="宋体" w:hAnsi="宋体" w:cs="宋体"/>
          <w:color w:val="auto"/>
          <w:szCs w:val="21"/>
          <w:highlight w:val="none"/>
        </w:rPr>
        <w:t>（3）商务及技术文件：具体材料见“投标人须知前附表”。</w:t>
      </w:r>
    </w:p>
    <w:p w14:paraId="443D640C">
      <w:pPr>
        <w:keepNext w:val="0"/>
        <w:keepLines w:val="0"/>
        <w:pageBreakBefore w:val="0"/>
        <w:widowControl w:val="0"/>
        <w:kinsoku/>
        <w:wordWrap/>
        <w:overflowPunct/>
        <w:topLinePunct w:val="0"/>
        <w:autoSpaceDE/>
        <w:autoSpaceDN/>
        <w:bidi w:val="0"/>
        <w:spacing w:line="400" w:lineRule="exact"/>
        <w:ind w:firstLine="482" w:firstLineChars="200"/>
        <w:textAlignment w:val="auto"/>
        <w:rPr>
          <w:rFonts w:hint="eastAsia" w:ascii="宋体" w:hAnsi="宋体" w:cs="宋体"/>
          <w:b/>
          <w:color w:val="auto"/>
          <w:sz w:val="24"/>
          <w:highlight w:val="none"/>
        </w:rPr>
      </w:pPr>
      <w:bookmarkStart w:id="121" w:name="_13.5投标文件电子版：具体材料见“投标人须知前附表”。"/>
      <w:bookmarkEnd w:id="121"/>
      <w:bookmarkStart w:id="122" w:name="_13.4技术文件：具体材料见“投标人须知前附表”。"/>
      <w:bookmarkEnd w:id="122"/>
      <w:bookmarkStart w:id="123" w:name="_Toc254970678"/>
      <w:bookmarkStart w:id="124" w:name="_Toc254970537"/>
      <w:r>
        <w:rPr>
          <w:rFonts w:hint="eastAsia" w:ascii="宋体" w:hAnsi="宋体" w:cs="宋体"/>
          <w:b/>
          <w:color w:val="auto"/>
          <w:sz w:val="24"/>
          <w:highlight w:val="none"/>
        </w:rPr>
        <w:t>14.投标文件的语言及计量</w:t>
      </w:r>
      <w:bookmarkEnd w:id="123"/>
      <w:bookmarkEnd w:id="124"/>
    </w:p>
    <w:p w14:paraId="28AC8780">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14.1语言文字</w:t>
      </w:r>
    </w:p>
    <w:p w14:paraId="25AD6BD8">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投标文件以及投标人与采购人就有关投标事宜的所有来往函电，均应以中文书写（除专用术语外，与招标投标有关的语言均使用中文。必要时专用术语应附有中文注释）。投标人提交的支持文件和印刷的文献可以使用别的语言，但其相应内容应同时附中文翻译文本，在解释投标文件时以中文翻译文本为主。对不同文字文本投标文件的解释发生异议的，以中文文本为准。</w:t>
      </w:r>
    </w:p>
    <w:p w14:paraId="0B25D3FF">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14.2投标计量单位</w:t>
      </w:r>
    </w:p>
    <w:p w14:paraId="0972AC46">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招标文件已有明确规定的，使用招标文件规定的计量单位；招标文件没有规定的，应采用中华人民共和国法定计量单位，货币种类为人民币，</w:t>
      </w:r>
      <w:r>
        <w:rPr>
          <w:rFonts w:hint="eastAsia" w:ascii="宋体" w:hAnsi="宋体" w:cs="宋体"/>
          <w:b/>
          <w:color w:val="auto"/>
          <w:szCs w:val="21"/>
          <w:highlight w:val="none"/>
        </w:rPr>
        <w:t>否则视同未响应</w:t>
      </w:r>
      <w:r>
        <w:rPr>
          <w:rFonts w:hint="eastAsia" w:ascii="宋体" w:hAnsi="宋体" w:cs="宋体"/>
          <w:color w:val="auto"/>
          <w:szCs w:val="21"/>
          <w:highlight w:val="none"/>
        </w:rPr>
        <w:t>。</w:t>
      </w:r>
    </w:p>
    <w:p w14:paraId="3AB1A2DE">
      <w:pPr>
        <w:keepNext w:val="0"/>
        <w:keepLines w:val="0"/>
        <w:pageBreakBefore w:val="0"/>
        <w:widowControl w:val="0"/>
        <w:kinsoku/>
        <w:wordWrap/>
        <w:overflowPunct/>
        <w:topLinePunct w:val="0"/>
        <w:autoSpaceDE/>
        <w:autoSpaceDN/>
        <w:bidi w:val="0"/>
        <w:spacing w:line="400" w:lineRule="exact"/>
        <w:ind w:firstLine="482" w:firstLineChars="200"/>
        <w:textAlignment w:val="auto"/>
        <w:rPr>
          <w:rFonts w:hint="eastAsia" w:ascii="宋体" w:hAnsi="宋体" w:cs="宋体"/>
          <w:b/>
          <w:color w:val="auto"/>
          <w:sz w:val="24"/>
          <w:highlight w:val="none"/>
        </w:rPr>
      </w:pPr>
      <w:r>
        <w:rPr>
          <w:rFonts w:hint="eastAsia" w:ascii="宋体" w:hAnsi="宋体" w:cs="宋体"/>
          <w:b/>
          <w:color w:val="auto"/>
          <w:sz w:val="24"/>
          <w:highlight w:val="none"/>
        </w:rPr>
        <w:t>15.投标的风险</w:t>
      </w:r>
    </w:p>
    <w:p w14:paraId="76CC1377">
      <w:pPr>
        <w:pStyle w:val="20"/>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hAnsi="宋体" w:cs="宋体"/>
          <w:color w:val="auto"/>
          <w:highlight w:val="none"/>
        </w:rPr>
      </w:pPr>
      <w:r>
        <w:rPr>
          <w:rFonts w:hint="eastAsia" w:hAnsi="宋体" w:cs="宋体"/>
          <w:color w:val="auto"/>
          <w:highlight w:val="none"/>
        </w:rPr>
        <w:t>投标人没有按照招标文件要求提供全部资料，或者投标人没有对招标文件作出实质性响应是投标人的风险，并可能导致其投标被拒绝。</w:t>
      </w:r>
    </w:p>
    <w:p w14:paraId="3AB4BD60">
      <w:pPr>
        <w:keepNext w:val="0"/>
        <w:keepLines w:val="0"/>
        <w:pageBreakBefore w:val="0"/>
        <w:widowControl w:val="0"/>
        <w:kinsoku/>
        <w:wordWrap/>
        <w:overflowPunct/>
        <w:topLinePunct w:val="0"/>
        <w:autoSpaceDE/>
        <w:autoSpaceDN/>
        <w:bidi w:val="0"/>
        <w:spacing w:line="400" w:lineRule="exact"/>
        <w:ind w:firstLine="482" w:firstLineChars="200"/>
        <w:textAlignment w:val="auto"/>
        <w:rPr>
          <w:rFonts w:hint="eastAsia" w:ascii="宋体" w:hAnsi="宋体" w:cs="宋体"/>
          <w:b/>
          <w:color w:val="auto"/>
          <w:sz w:val="24"/>
          <w:highlight w:val="none"/>
        </w:rPr>
      </w:pPr>
      <w:bookmarkStart w:id="125" w:name="_Toc254970679"/>
      <w:bookmarkStart w:id="126" w:name="_Toc254970538"/>
      <w:r>
        <w:rPr>
          <w:rFonts w:hint="eastAsia" w:ascii="宋体" w:hAnsi="宋体" w:cs="宋体"/>
          <w:b/>
          <w:color w:val="auto"/>
          <w:sz w:val="24"/>
          <w:highlight w:val="none"/>
        </w:rPr>
        <w:t>16.投标报价</w:t>
      </w:r>
      <w:bookmarkEnd w:id="125"/>
      <w:bookmarkEnd w:id="126"/>
    </w:p>
    <w:p w14:paraId="7EFA6619">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16.1投标报价应按“第六章　投标文件格式”中“开标一览表”格式填写。</w:t>
      </w:r>
    </w:p>
    <w:p w14:paraId="27B11D31">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szCs w:val="21"/>
          <w:highlight w:val="none"/>
        </w:rPr>
      </w:pPr>
      <w:bookmarkStart w:id="127" w:name="_16.2投标报价具体定义见投标人须知前附表。"/>
      <w:bookmarkEnd w:id="127"/>
      <w:r>
        <w:rPr>
          <w:rFonts w:hint="eastAsia" w:ascii="宋体" w:hAnsi="宋体" w:cs="宋体"/>
          <w:color w:val="auto"/>
          <w:szCs w:val="21"/>
          <w:highlight w:val="none"/>
        </w:rPr>
        <w:t>16.2投标报价具体包括内容详见“投标人须知前附表”。</w:t>
      </w:r>
    </w:p>
    <w:p w14:paraId="140FA32C">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16.3投标人必须就所投每个分标的全部内容分别作完整唯一总价报价，不得存在漏项报价；投标人必须就所投分标的单项内容作唯一报价。</w:t>
      </w:r>
    </w:p>
    <w:p w14:paraId="42D52069">
      <w:pPr>
        <w:keepNext w:val="0"/>
        <w:keepLines w:val="0"/>
        <w:pageBreakBefore w:val="0"/>
        <w:widowControl w:val="0"/>
        <w:kinsoku/>
        <w:wordWrap/>
        <w:overflowPunct/>
        <w:topLinePunct w:val="0"/>
        <w:autoSpaceDE/>
        <w:autoSpaceDN/>
        <w:bidi w:val="0"/>
        <w:spacing w:line="400" w:lineRule="exact"/>
        <w:ind w:firstLine="482" w:firstLineChars="200"/>
        <w:textAlignment w:val="auto"/>
        <w:rPr>
          <w:rFonts w:hint="eastAsia" w:ascii="宋体" w:hAnsi="宋体" w:cs="宋体"/>
          <w:b/>
          <w:color w:val="auto"/>
          <w:sz w:val="24"/>
          <w:highlight w:val="none"/>
        </w:rPr>
      </w:pPr>
      <w:r>
        <w:rPr>
          <w:rFonts w:hint="eastAsia" w:ascii="宋体" w:hAnsi="宋体" w:cs="宋体"/>
          <w:b/>
          <w:color w:val="auto"/>
          <w:sz w:val="24"/>
          <w:highlight w:val="none"/>
        </w:rPr>
        <w:t>17.投标有效期</w:t>
      </w:r>
    </w:p>
    <w:p w14:paraId="59CE25DA">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szCs w:val="21"/>
          <w:highlight w:val="none"/>
        </w:rPr>
      </w:pPr>
      <w:bookmarkStart w:id="128" w:name="_17.1投标有效期应按“投标人须知中的前附表”规定的期限。"/>
      <w:bookmarkEnd w:id="128"/>
      <w:r>
        <w:rPr>
          <w:rFonts w:hint="eastAsia" w:ascii="宋体" w:hAnsi="宋体" w:cs="宋体"/>
          <w:color w:val="auto"/>
          <w:szCs w:val="21"/>
          <w:highlight w:val="none"/>
        </w:rPr>
        <w:t>17.1投标有效期是指为保证采购人有足够的时间在开标后完成评标、定标、合同签订等工作而要求投标人提交的投标文件在一定时间内保持有效的期限。</w:t>
      </w:r>
    </w:p>
    <w:p w14:paraId="26793116">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17.2</w:t>
      </w:r>
      <w:bookmarkStart w:id="129" w:name="_Toc254970540"/>
      <w:bookmarkStart w:id="130" w:name="_Toc254970681"/>
      <w:r>
        <w:rPr>
          <w:rFonts w:hint="eastAsia" w:ascii="宋体" w:hAnsi="宋体" w:cs="宋体"/>
          <w:color w:val="auto"/>
          <w:szCs w:val="21"/>
          <w:highlight w:val="none"/>
        </w:rPr>
        <w:t xml:space="preserve"> 投标有效期应按招标文件规定的期限作出承诺，具体详见“投标人须知前附表”。</w:t>
      </w:r>
      <w:r>
        <w:rPr>
          <w:rFonts w:hint="eastAsia" w:ascii="宋体" w:hAnsi="宋体" w:cs="宋体"/>
          <w:b/>
          <w:color w:val="auto"/>
          <w:szCs w:val="21"/>
          <w:highlight w:val="none"/>
        </w:rPr>
        <w:t>承诺的投标有效期低于招标文件规定期限的，按无效投标处理</w:t>
      </w:r>
      <w:r>
        <w:rPr>
          <w:rFonts w:hint="eastAsia" w:ascii="宋体" w:hAnsi="宋体" w:cs="宋体"/>
          <w:color w:val="auto"/>
          <w:szCs w:val="21"/>
          <w:highlight w:val="none"/>
        </w:rPr>
        <w:t>。</w:t>
      </w:r>
    </w:p>
    <w:p w14:paraId="4F2CC03F">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17.3投标人的投标文件在投标有效期内均保持有效。</w:t>
      </w:r>
      <w:bookmarkEnd w:id="129"/>
      <w:bookmarkEnd w:id="130"/>
    </w:p>
    <w:p w14:paraId="0A230FC0">
      <w:pPr>
        <w:keepNext w:val="0"/>
        <w:keepLines w:val="0"/>
        <w:pageBreakBefore w:val="0"/>
        <w:widowControl w:val="0"/>
        <w:kinsoku/>
        <w:wordWrap/>
        <w:overflowPunct/>
        <w:topLinePunct w:val="0"/>
        <w:autoSpaceDE/>
        <w:autoSpaceDN/>
        <w:bidi w:val="0"/>
        <w:spacing w:line="400" w:lineRule="exact"/>
        <w:ind w:firstLine="482" w:firstLineChars="200"/>
        <w:textAlignment w:val="auto"/>
        <w:rPr>
          <w:rFonts w:hint="eastAsia" w:ascii="宋体" w:hAnsi="宋体" w:cs="宋体"/>
          <w:b/>
          <w:color w:val="auto"/>
          <w:sz w:val="24"/>
          <w:highlight w:val="none"/>
        </w:rPr>
      </w:pPr>
      <w:bookmarkStart w:id="131" w:name="_18.投标保证金"/>
      <w:bookmarkEnd w:id="131"/>
      <w:bookmarkStart w:id="132" w:name="_Toc254970541"/>
      <w:bookmarkStart w:id="133" w:name="_Toc254970682"/>
      <w:r>
        <w:rPr>
          <w:rFonts w:hint="eastAsia" w:ascii="宋体" w:hAnsi="宋体" w:cs="宋体"/>
          <w:b/>
          <w:color w:val="auto"/>
          <w:sz w:val="24"/>
          <w:highlight w:val="none"/>
        </w:rPr>
        <w:t>18.投标保证金</w:t>
      </w:r>
      <w:bookmarkEnd w:id="132"/>
      <w:bookmarkEnd w:id="133"/>
    </w:p>
    <w:p w14:paraId="1ADB5351">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18.1投标人须按“投标人须知前附表” 的规定提交投标保证金。</w:t>
      </w:r>
    </w:p>
    <w:p w14:paraId="0D5B66BC">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18.2投标保证金的退还</w:t>
      </w:r>
    </w:p>
    <w:p w14:paraId="3809C459">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 xml:space="preserve">未中标人的投标保证金自中标通知书发出之日起5个工作日内退还；中标人的投标保证金自政府采购合同签订之日起5个工作日内退还。 </w:t>
      </w:r>
    </w:p>
    <w:p w14:paraId="03C283CA">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18.3除逾期退还投标保证金和终止招标的情形以外，投标保证金不计息。</w:t>
      </w:r>
    </w:p>
    <w:p w14:paraId="02EB972F">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18.4投标人有下列情形之一的，投标保证金将不予退还：</w:t>
      </w:r>
    </w:p>
    <w:p w14:paraId="710E63DB">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（1）投标人在投标有效期内撤销投标文件的；</w:t>
      </w:r>
    </w:p>
    <w:p w14:paraId="6BB72F30">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（2）未按规定提交履约保证金的；</w:t>
      </w:r>
    </w:p>
    <w:p w14:paraId="23EAACCB">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（3）投标人在投标过程中弄虚作假，提供虚假材料的；</w:t>
      </w:r>
    </w:p>
    <w:p w14:paraId="26C60413">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（4）中标人无正当理由不与采购人签订合同的；</w:t>
      </w:r>
    </w:p>
    <w:p w14:paraId="0708ED7C">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szCs w:val="21"/>
          <w:highlight w:val="none"/>
        </w:rPr>
      </w:pPr>
      <w:bookmarkStart w:id="134" w:name="_Toc254970542"/>
      <w:bookmarkStart w:id="135" w:name="_Toc254970683"/>
      <w:r>
        <w:rPr>
          <w:rFonts w:hint="eastAsia" w:ascii="宋体" w:hAnsi="宋体" w:cs="宋体"/>
          <w:color w:val="auto"/>
          <w:szCs w:val="21"/>
          <w:highlight w:val="none"/>
        </w:rPr>
        <w:t>（5）投标人出现本章第9.2、9.3情形的；</w:t>
      </w:r>
    </w:p>
    <w:p w14:paraId="57B4D0E9">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（6）法律法规规定的其他情形。</w:t>
      </w:r>
    </w:p>
    <w:bookmarkEnd w:id="134"/>
    <w:bookmarkEnd w:id="135"/>
    <w:p w14:paraId="1FE7BB87">
      <w:pPr>
        <w:keepNext w:val="0"/>
        <w:keepLines w:val="0"/>
        <w:pageBreakBefore w:val="0"/>
        <w:widowControl w:val="0"/>
        <w:kinsoku/>
        <w:wordWrap/>
        <w:overflowPunct/>
        <w:topLinePunct w:val="0"/>
        <w:autoSpaceDE/>
        <w:autoSpaceDN/>
        <w:bidi w:val="0"/>
        <w:spacing w:line="400" w:lineRule="exact"/>
        <w:ind w:firstLine="482" w:firstLineChars="200"/>
        <w:textAlignment w:val="auto"/>
        <w:rPr>
          <w:rFonts w:hint="eastAsia" w:ascii="宋体" w:hAnsi="宋体" w:cs="宋体"/>
          <w:b/>
          <w:color w:val="auto"/>
          <w:sz w:val="24"/>
          <w:highlight w:val="none"/>
        </w:rPr>
      </w:pPr>
      <w:r>
        <w:rPr>
          <w:rFonts w:hint="eastAsia" w:ascii="宋体" w:hAnsi="宋体" w:cs="宋体"/>
          <w:b/>
          <w:color w:val="auto"/>
          <w:sz w:val="24"/>
          <w:highlight w:val="none"/>
        </w:rPr>
        <w:t>19.投标文件的编制</w:t>
      </w:r>
    </w:p>
    <w:p w14:paraId="5FAE67B0">
      <w:pPr>
        <w:pStyle w:val="20"/>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19.1投标人应先安装“广西政府采购云电子投标客户端”（请自行前往广西政府采购云平台进行下载），并按照本项目招标文件规定的格式和顺序和广西政府采购云平台的要求编制并加密。投标文件内容不完整、编排混乱导致投标文件被误读、漏读或者查找不到相关内容的，由此引发的后果由投标人承担。</w:t>
      </w:r>
    </w:p>
    <w:p w14:paraId="58D6530C">
      <w:pPr>
        <w:pStyle w:val="20"/>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hAnsi="宋体" w:cs="宋体"/>
          <w:color w:val="auto"/>
          <w:highlight w:val="none"/>
        </w:rPr>
      </w:pPr>
      <w:bookmarkStart w:id="136" w:name="_19.2投标文件应按报价文件、资格证明文件、商务文件、技术文件分别编制"/>
      <w:bookmarkEnd w:id="136"/>
      <w:r>
        <w:rPr>
          <w:rFonts w:hint="eastAsia" w:hAnsi="宋体" w:cs="宋体"/>
          <w:color w:val="auto"/>
          <w:highlight w:val="none"/>
        </w:rPr>
        <w:t>19.2为确保网上操作合法、有效和安全，投标人应当在投标截止时间前完成在广西政府采购云平台的身份认证，确保在电子投标过程中能够对相关数据电文进行加密和使用电子签章。</w:t>
      </w:r>
    </w:p>
    <w:p w14:paraId="66F38293">
      <w:pPr>
        <w:pStyle w:val="20"/>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19.3投标文件须由投标人在规定位置签字（或者电子签名）、盖章（具体以投标人须知前附表或投标文件格式规定为准），</w:t>
      </w:r>
      <w:r>
        <w:rPr>
          <w:rFonts w:hint="eastAsia" w:hAnsi="宋体" w:cs="宋体"/>
          <w:b/>
          <w:color w:val="auto"/>
          <w:highlight w:val="none"/>
        </w:rPr>
        <w:t>否则按无效投标处理</w:t>
      </w:r>
      <w:r>
        <w:rPr>
          <w:rFonts w:hint="eastAsia" w:hAnsi="宋体" w:cs="宋体"/>
          <w:color w:val="auto"/>
          <w:highlight w:val="none"/>
        </w:rPr>
        <w:t>。</w:t>
      </w:r>
    </w:p>
    <w:p w14:paraId="0A31A942">
      <w:pPr>
        <w:pStyle w:val="20"/>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19.4投标文件中标注的投标人名称应与主体资格证明（如营业执照或者事业单位法人证书或者执业许可证或者登记证书等）及公章一致，并与广西政府采购云平台中获取招标文件的投标人名称一致，投标人为自然人的，标注的投标人名称应与身份证姓名及签名一致，</w:t>
      </w:r>
      <w:r>
        <w:rPr>
          <w:rFonts w:hint="eastAsia" w:hAnsi="宋体" w:cs="宋体"/>
          <w:b/>
          <w:color w:val="auto"/>
          <w:highlight w:val="none"/>
        </w:rPr>
        <w:t>否则按无效投标处理</w:t>
      </w:r>
      <w:r>
        <w:rPr>
          <w:rFonts w:hint="eastAsia" w:hAnsi="宋体" w:cs="宋体"/>
          <w:color w:val="auto"/>
          <w:highlight w:val="none"/>
        </w:rPr>
        <w:t>。</w:t>
      </w:r>
    </w:p>
    <w:p w14:paraId="6630725C">
      <w:pPr>
        <w:pStyle w:val="20"/>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19.5投标文件应尽量避免涂改、行间插字或者删除。如果出现上述情况，改动之处应由投标人的法定代表人或者其委托代理人签字（或者电子签名）或者加盖公章或者加盖电子签章。投标文件因字迹潦草或者表达不清所引起的后果由投标人承担。</w:t>
      </w:r>
    </w:p>
    <w:p w14:paraId="0551BB61">
      <w:pPr>
        <w:keepNext w:val="0"/>
        <w:keepLines w:val="0"/>
        <w:pageBreakBefore w:val="0"/>
        <w:widowControl w:val="0"/>
        <w:kinsoku/>
        <w:wordWrap/>
        <w:overflowPunct/>
        <w:topLinePunct w:val="0"/>
        <w:autoSpaceDE/>
        <w:autoSpaceDN/>
        <w:bidi w:val="0"/>
        <w:spacing w:line="400" w:lineRule="exact"/>
        <w:ind w:firstLine="482" w:firstLineChars="200"/>
        <w:textAlignment w:val="auto"/>
        <w:rPr>
          <w:rFonts w:hint="eastAsia" w:ascii="宋体" w:hAnsi="宋体" w:cs="宋体"/>
          <w:b/>
          <w:color w:val="auto"/>
          <w:sz w:val="24"/>
          <w:highlight w:val="none"/>
        </w:rPr>
      </w:pPr>
      <w:r>
        <w:rPr>
          <w:rFonts w:hint="eastAsia" w:ascii="宋体" w:hAnsi="宋体" w:cs="宋体"/>
          <w:b/>
          <w:color w:val="auto"/>
          <w:sz w:val="24"/>
          <w:highlight w:val="none"/>
        </w:rPr>
        <w:t>20.电子备份投标文件</w:t>
      </w:r>
    </w:p>
    <w:p w14:paraId="0D278108">
      <w:pPr>
        <w:pStyle w:val="20"/>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电子备份投标文件是指通过“广西政府采购云电子投标客户端”在线编制生成且后缀名为“bfbs”的文件，是否接受电子备份投标文件详见“投标人须知前附表”。</w:t>
      </w:r>
    </w:p>
    <w:p w14:paraId="08ABDF84">
      <w:pPr>
        <w:keepNext w:val="0"/>
        <w:keepLines w:val="0"/>
        <w:pageBreakBefore w:val="0"/>
        <w:widowControl w:val="0"/>
        <w:kinsoku/>
        <w:wordWrap/>
        <w:overflowPunct/>
        <w:topLinePunct w:val="0"/>
        <w:autoSpaceDE/>
        <w:autoSpaceDN/>
        <w:bidi w:val="0"/>
        <w:spacing w:line="400" w:lineRule="exact"/>
        <w:ind w:firstLine="482" w:firstLineChars="200"/>
        <w:textAlignment w:val="auto"/>
        <w:rPr>
          <w:rFonts w:hint="eastAsia" w:ascii="宋体" w:hAnsi="宋体" w:cs="宋体"/>
          <w:b/>
          <w:color w:val="auto"/>
          <w:sz w:val="24"/>
          <w:highlight w:val="none"/>
        </w:rPr>
      </w:pPr>
      <w:r>
        <w:rPr>
          <w:rFonts w:hint="eastAsia" w:ascii="宋体" w:hAnsi="宋体" w:cs="宋体"/>
          <w:b/>
          <w:color w:val="auto"/>
          <w:sz w:val="24"/>
          <w:highlight w:val="none"/>
        </w:rPr>
        <w:t>21.投标文件的提交</w:t>
      </w:r>
    </w:p>
    <w:p w14:paraId="49FB683D">
      <w:pPr>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ascii="宋体" w:hAnsi="宋体" w:cs="宋体"/>
          <w:b/>
          <w:color w:val="auto"/>
          <w:highlight w:val="none"/>
        </w:rPr>
      </w:pPr>
      <w:bookmarkStart w:id="137" w:name="_21.1投标人必须在“投标人须知中的前附表”规定的投标文件接收时间和投"/>
      <w:bookmarkEnd w:id="137"/>
      <w:r>
        <w:rPr>
          <w:rFonts w:hint="eastAsia" w:ascii="宋体" w:hAnsi="宋体" w:cs="宋体"/>
          <w:bCs/>
          <w:color w:val="auto"/>
          <w:szCs w:val="21"/>
          <w:highlight w:val="none"/>
        </w:rPr>
        <w:t>21.1投标人必须在“投标人须知前附表”规定的</w:t>
      </w:r>
      <w:r>
        <w:rPr>
          <w:rFonts w:hint="eastAsia" w:ascii="宋体" w:hAnsi="宋体" w:cs="宋体"/>
          <w:color w:val="auto"/>
          <w:szCs w:val="21"/>
          <w:highlight w:val="none"/>
        </w:rPr>
        <w:t>提交投标文件截止时间前将</w:t>
      </w:r>
      <w:r>
        <w:rPr>
          <w:rFonts w:hint="eastAsia" w:ascii="宋体" w:hAnsi="宋体" w:cs="宋体"/>
          <w:bCs/>
          <w:color w:val="auto"/>
          <w:szCs w:val="21"/>
          <w:highlight w:val="none"/>
        </w:rPr>
        <w:t>电子投标文件提交至投标地点。电子投标文件应在制作完成后，在投标截止时间前通过有效数字证书（CA认证锁）进行电子签章、加密，然后通过网络将加密的电子投标文件递交至</w:t>
      </w:r>
      <w:r>
        <w:rPr>
          <w:rFonts w:hint="eastAsia" w:ascii="宋体" w:hAnsi="宋体" w:cs="宋体"/>
          <w:b/>
          <w:color w:val="auto"/>
          <w:szCs w:val="21"/>
          <w:highlight w:val="none"/>
        </w:rPr>
        <w:t>广西政府采购云平台</w:t>
      </w:r>
      <w:r>
        <w:rPr>
          <w:rFonts w:hint="eastAsia" w:ascii="宋体" w:hAnsi="宋体" w:cs="宋体"/>
          <w:bCs/>
          <w:color w:val="auto"/>
          <w:szCs w:val="21"/>
          <w:highlight w:val="none"/>
        </w:rPr>
        <w:t>。</w:t>
      </w:r>
    </w:p>
    <w:p w14:paraId="2643A0D5">
      <w:pPr>
        <w:keepNext w:val="0"/>
        <w:keepLines w:val="0"/>
        <w:pageBreakBefore w:val="0"/>
        <w:widowControl w:val="0"/>
        <w:kinsoku/>
        <w:wordWrap/>
        <w:overflowPunct/>
        <w:topLinePunct w:val="0"/>
        <w:autoSpaceDE/>
        <w:autoSpaceDN/>
        <w:bidi w:val="0"/>
        <w:spacing w:line="400" w:lineRule="exact"/>
        <w:ind w:firstLine="422" w:firstLineChars="200"/>
        <w:textAlignment w:val="auto"/>
        <w:rPr>
          <w:rFonts w:hint="eastAsia" w:ascii="宋体" w:hAnsi="宋体" w:cs="宋体"/>
          <w:b/>
          <w:color w:val="auto"/>
          <w:szCs w:val="20"/>
          <w:highlight w:val="none"/>
        </w:rPr>
      </w:pPr>
      <w:r>
        <w:rPr>
          <w:rFonts w:hint="eastAsia" w:ascii="宋体" w:hAnsi="宋体" w:cs="宋体"/>
          <w:b/>
          <w:color w:val="auto"/>
          <w:szCs w:val="21"/>
          <w:highlight w:val="none"/>
        </w:rPr>
        <w:t>21.2未在规定时间内提交或者未按照招标文件要求加密的电子投标文件，广西政府采购云平台将拒收。</w:t>
      </w:r>
    </w:p>
    <w:p w14:paraId="79868005">
      <w:pPr>
        <w:keepNext w:val="0"/>
        <w:keepLines w:val="0"/>
        <w:pageBreakBefore w:val="0"/>
        <w:widowControl w:val="0"/>
        <w:kinsoku/>
        <w:wordWrap/>
        <w:overflowPunct/>
        <w:topLinePunct w:val="0"/>
        <w:autoSpaceDE/>
        <w:autoSpaceDN/>
        <w:bidi w:val="0"/>
        <w:spacing w:line="400" w:lineRule="exact"/>
        <w:ind w:firstLine="482" w:firstLineChars="200"/>
        <w:textAlignment w:val="auto"/>
        <w:rPr>
          <w:rFonts w:hint="eastAsia" w:ascii="宋体" w:hAnsi="宋体" w:cs="宋体"/>
          <w:b/>
          <w:color w:val="auto"/>
          <w:sz w:val="24"/>
          <w:highlight w:val="none"/>
        </w:rPr>
      </w:pPr>
      <w:r>
        <w:rPr>
          <w:rFonts w:hint="eastAsia" w:ascii="宋体" w:hAnsi="宋体" w:cs="宋体"/>
          <w:b/>
          <w:color w:val="auto"/>
          <w:sz w:val="24"/>
          <w:highlight w:val="none"/>
        </w:rPr>
        <w:t>22. 投标文件的补充、修改、撤回与退回</w:t>
      </w:r>
    </w:p>
    <w:p w14:paraId="16CAF63C">
      <w:pPr>
        <w:keepNext w:val="0"/>
        <w:keepLines w:val="0"/>
        <w:pageBreakBefore w:val="0"/>
        <w:widowControl w:val="0"/>
        <w:kinsoku/>
        <w:wordWrap/>
        <w:overflowPunct/>
        <w:topLinePunct w:val="0"/>
        <w:autoSpaceDE/>
        <w:autoSpaceDN/>
        <w:bidi w:val="0"/>
        <w:snapToGrid w:val="0"/>
        <w:spacing w:line="400" w:lineRule="exact"/>
        <w:ind w:firstLine="420"/>
        <w:jc w:val="left"/>
        <w:textAlignment w:val="auto"/>
        <w:rPr>
          <w:rFonts w:hint="eastAsia" w:ascii="宋体" w:hAnsi="宋体" w:cs="宋体"/>
          <w:color w:val="auto"/>
          <w:szCs w:val="21"/>
          <w:highlight w:val="none"/>
        </w:rPr>
      </w:pPr>
      <w:bookmarkStart w:id="138" w:name="_Toc254970684"/>
      <w:bookmarkStart w:id="139" w:name="_Toc254970543"/>
      <w:r>
        <w:rPr>
          <w:rFonts w:hint="eastAsia" w:ascii="宋体" w:hAnsi="宋体" w:cs="宋体"/>
          <w:color w:val="auto"/>
          <w:szCs w:val="21"/>
          <w:highlight w:val="none"/>
        </w:rPr>
        <w:t>22.1</w:t>
      </w:r>
      <w:r>
        <w:rPr>
          <w:rFonts w:hint="eastAsia" w:ascii="宋体" w:hAnsi="宋体" w:cs="宋体"/>
          <w:bCs/>
          <w:color w:val="auto"/>
          <w:szCs w:val="21"/>
          <w:highlight w:val="none"/>
        </w:rPr>
        <w:t>投标人应当在投标截止时间前完成电子投标文件的上传、提交，投标截止时间前可以补充、修改或者撤回投标文件。补充或者修改投标文件的，应当先行撤回原投标文件，补充、修改后重新上传、提交，投标截止时间前未完成上传、提交的，视为撤回投标文件。投标截止时间以后上传递交的投标文件，广西政府采购云平台将予以拒收。</w:t>
      </w:r>
      <w:r>
        <w:rPr>
          <w:rFonts w:hint="eastAsia" w:ascii="宋体" w:hAnsi="宋体" w:cs="宋体"/>
          <w:color w:val="auto"/>
          <w:szCs w:val="21"/>
          <w:highlight w:val="none"/>
        </w:rPr>
        <w:t>（补充、修改或者撤回方式可登录</w:t>
      </w:r>
      <w:r>
        <w:rPr>
          <w:rFonts w:hint="eastAsia" w:ascii="宋体" w:hAnsi="宋体" w:cs="宋体"/>
          <w:color w:val="auto"/>
          <w:kern w:val="0"/>
          <w:szCs w:val="21"/>
          <w:highlight w:val="none"/>
        </w:rPr>
        <w:t>广西政府采购云平台，</w:t>
      </w:r>
      <w:r>
        <w:rPr>
          <w:rFonts w:hint="eastAsia" w:ascii="宋体" w:hAnsi="宋体" w:cs="宋体"/>
          <w:color w:val="auto"/>
          <w:szCs w:val="21"/>
          <w:highlight w:val="none"/>
        </w:rPr>
        <w:t>依次进入“服务中心”中查看 “电子投标文件制作与投送教程”）</w:t>
      </w:r>
    </w:p>
    <w:bookmarkEnd w:id="138"/>
    <w:bookmarkEnd w:id="139"/>
    <w:p w14:paraId="78A5FBD9">
      <w:pPr>
        <w:pStyle w:val="79"/>
        <w:keepNext w:val="0"/>
        <w:keepLines w:val="0"/>
        <w:pageBreakBefore w:val="0"/>
        <w:widowControl w:val="0"/>
        <w:kinsoku/>
        <w:wordWrap/>
        <w:overflowPunct/>
        <w:topLinePunct w:val="0"/>
        <w:autoSpaceDE/>
        <w:autoSpaceDN/>
        <w:bidi w:val="0"/>
        <w:spacing w:before="0" w:line="400" w:lineRule="exact"/>
        <w:ind w:firstLine="420"/>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22.2广西政府采购云平台收到投标文件后向供应商发出确认回执通知。在投标截止时</w:t>
      </w:r>
      <w:r>
        <w:rPr>
          <w:rFonts w:hint="eastAsia" w:ascii="宋体" w:hAnsi="宋体" w:cs="宋体"/>
          <w:color w:val="auto"/>
          <w:sz w:val="21"/>
          <w:szCs w:val="21"/>
          <w:highlight w:val="none"/>
          <w:lang w:eastAsia="zh-CN"/>
        </w:rPr>
        <w:t>间之</w:t>
      </w:r>
      <w:r>
        <w:rPr>
          <w:rFonts w:hint="eastAsia" w:ascii="宋体" w:hAnsi="宋体" w:cs="宋体"/>
          <w:color w:val="auto"/>
          <w:sz w:val="21"/>
          <w:szCs w:val="21"/>
          <w:highlight w:val="none"/>
        </w:rPr>
        <w:t>前，除供应商补充、修改或者撤回投标文件外，任何单位和个人不得解密或提取投标文件。</w:t>
      </w:r>
    </w:p>
    <w:p w14:paraId="5D7DE86F">
      <w:pPr>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22.3在投标截止时间后，采购人和采购代理机构对已提交的投标文件概不退回。</w:t>
      </w:r>
    </w:p>
    <w:p w14:paraId="5546B86A">
      <w:pPr>
        <w:pStyle w:val="2"/>
        <w:keepNext w:val="0"/>
        <w:keepLines w:val="0"/>
        <w:pageBreakBefore w:val="0"/>
        <w:widowControl w:val="0"/>
        <w:kinsoku/>
        <w:wordWrap/>
        <w:overflowPunct/>
        <w:topLinePunct w:val="0"/>
        <w:autoSpaceDE/>
        <w:autoSpaceDN/>
        <w:bidi w:val="0"/>
        <w:spacing w:line="400" w:lineRule="exact"/>
        <w:jc w:val="center"/>
        <w:textAlignment w:val="auto"/>
        <w:rPr>
          <w:rFonts w:hint="eastAsia" w:ascii="宋体" w:hAnsi="宋体" w:cs="宋体"/>
          <w:color w:val="auto"/>
          <w:highlight w:val="none"/>
        </w:rPr>
      </w:pPr>
      <w:bookmarkStart w:id="140" w:name="_Toc254970685"/>
      <w:bookmarkStart w:id="141" w:name="_Toc254970544"/>
      <w:bookmarkStart w:id="142" w:name="_Toc23160"/>
      <w:bookmarkStart w:id="143" w:name="_Toc21393"/>
      <w:r>
        <w:rPr>
          <w:rFonts w:hint="eastAsia" w:ascii="宋体" w:hAnsi="宋体" w:cs="宋体"/>
          <w:color w:val="auto"/>
          <w:highlight w:val="none"/>
        </w:rPr>
        <w:t>四、开  标</w:t>
      </w:r>
      <w:bookmarkEnd w:id="140"/>
      <w:bookmarkEnd w:id="141"/>
      <w:bookmarkEnd w:id="142"/>
      <w:bookmarkEnd w:id="143"/>
    </w:p>
    <w:p w14:paraId="3ADA8F43">
      <w:pPr>
        <w:keepNext w:val="0"/>
        <w:keepLines w:val="0"/>
        <w:pageBreakBefore w:val="0"/>
        <w:widowControl w:val="0"/>
        <w:kinsoku/>
        <w:wordWrap/>
        <w:overflowPunct/>
        <w:topLinePunct w:val="0"/>
        <w:autoSpaceDE/>
        <w:autoSpaceDN/>
        <w:bidi w:val="0"/>
        <w:spacing w:line="400" w:lineRule="exact"/>
        <w:ind w:firstLine="482" w:firstLineChars="200"/>
        <w:textAlignment w:val="auto"/>
        <w:rPr>
          <w:rFonts w:hint="eastAsia" w:ascii="宋体" w:hAnsi="宋体" w:cs="宋体"/>
          <w:b/>
          <w:color w:val="auto"/>
          <w:sz w:val="24"/>
          <w:highlight w:val="none"/>
        </w:rPr>
      </w:pPr>
      <w:bookmarkStart w:id="144" w:name="_23.开标时间和地点"/>
      <w:bookmarkEnd w:id="144"/>
      <w:r>
        <w:rPr>
          <w:rFonts w:hint="eastAsia" w:ascii="宋体" w:hAnsi="宋体" w:cs="宋体"/>
          <w:b/>
          <w:color w:val="auto"/>
          <w:sz w:val="24"/>
          <w:highlight w:val="none"/>
        </w:rPr>
        <w:t>23.开标时间和地点</w:t>
      </w:r>
    </w:p>
    <w:p w14:paraId="184C3B3B">
      <w:pPr>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ascii="宋体" w:hAnsi="宋体" w:cs="宋体"/>
          <w:bCs/>
          <w:color w:val="auto"/>
          <w:highlight w:val="none"/>
        </w:rPr>
      </w:pPr>
      <w:r>
        <w:rPr>
          <w:rFonts w:hint="eastAsia" w:ascii="宋体" w:hAnsi="宋体" w:cs="宋体"/>
          <w:bCs/>
          <w:color w:val="auto"/>
          <w:highlight w:val="none"/>
        </w:rPr>
        <w:t>开标时间及地点详见“投标人须知前附表”</w:t>
      </w:r>
    </w:p>
    <w:p w14:paraId="094CAB75">
      <w:pPr>
        <w:keepNext w:val="0"/>
        <w:keepLines w:val="0"/>
        <w:pageBreakBefore w:val="0"/>
        <w:widowControl w:val="0"/>
        <w:kinsoku/>
        <w:wordWrap/>
        <w:overflowPunct/>
        <w:topLinePunct w:val="0"/>
        <w:autoSpaceDE/>
        <w:autoSpaceDN/>
        <w:bidi w:val="0"/>
        <w:spacing w:line="400" w:lineRule="exact"/>
        <w:ind w:firstLine="482" w:firstLineChars="200"/>
        <w:textAlignment w:val="auto"/>
        <w:rPr>
          <w:rFonts w:hint="eastAsia" w:ascii="宋体" w:hAnsi="宋体" w:cs="宋体"/>
          <w:b/>
          <w:color w:val="auto"/>
          <w:sz w:val="24"/>
          <w:highlight w:val="none"/>
        </w:rPr>
      </w:pPr>
      <w:r>
        <w:rPr>
          <w:rFonts w:hint="eastAsia" w:ascii="宋体" w:hAnsi="宋体" w:cs="宋体"/>
          <w:b/>
          <w:color w:val="auto"/>
          <w:sz w:val="24"/>
          <w:highlight w:val="none"/>
        </w:rPr>
        <w:t>24.开标程序</w:t>
      </w:r>
    </w:p>
    <w:p w14:paraId="41AD7B91">
      <w:pPr>
        <w:pStyle w:val="9"/>
        <w:keepNext w:val="0"/>
        <w:keepLines w:val="0"/>
        <w:pageBreakBefore w:val="0"/>
        <w:widowControl w:val="0"/>
        <w:kinsoku/>
        <w:wordWrap/>
        <w:overflowPunct/>
        <w:topLinePunct w:val="0"/>
        <w:autoSpaceDE/>
        <w:autoSpaceDN/>
        <w:bidi w:val="0"/>
        <w:spacing w:line="400" w:lineRule="exact"/>
        <w:textAlignment w:val="auto"/>
        <w:rPr>
          <w:rFonts w:hint="eastAsia" w:ascii="宋体" w:hAnsi="宋体" w:cs="宋体"/>
          <w:color w:val="auto"/>
          <w:highlight w:val="none"/>
        </w:rPr>
      </w:pPr>
      <w:r>
        <w:rPr>
          <w:rFonts w:hint="eastAsia" w:ascii="宋体" w:hAnsi="宋体" w:cs="宋体"/>
          <w:color w:val="auto"/>
          <w:highlight w:val="none"/>
        </w:rPr>
        <w:t>24.1提交投标文件截止时间止，投标人不足3家的，不得开标。</w:t>
      </w:r>
    </w:p>
    <w:p w14:paraId="7BD4AA51">
      <w:pPr>
        <w:pStyle w:val="9"/>
        <w:keepNext w:val="0"/>
        <w:keepLines w:val="0"/>
        <w:pageBreakBefore w:val="0"/>
        <w:widowControl w:val="0"/>
        <w:kinsoku/>
        <w:wordWrap/>
        <w:overflowPunct/>
        <w:topLinePunct w:val="0"/>
        <w:autoSpaceDE/>
        <w:autoSpaceDN/>
        <w:bidi w:val="0"/>
        <w:spacing w:line="400" w:lineRule="exact"/>
        <w:textAlignment w:val="auto"/>
        <w:rPr>
          <w:rFonts w:hint="eastAsia" w:ascii="宋体" w:hAnsi="宋体" w:cs="宋体"/>
          <w:color w:val="auto"/>
          <w:highlight w:val="none"/>
        </w:rPr>
      </w:pPr>
      <w:r>
        <w:rPr>
          <w:rFonts w:hint="eastAsia" w:ascii="宋体" w:hAnsi="宋体" w:cs="宋体"/>
          <w:color w:val="auto"/>
          <w:highlight w:val="none"/>
        </w:rPr>
        <w:t>24.2采购代理机构将按照招标文件规定的时间通过广西政府采购云平台组织线上开标活动，所有供应商均应当准时在线参加，投标人因未在线参加开标而导致投标文件无法按时解密等一切后果由投标人自己承担。</w:t>
      </w:r>
    </w:p>
    <w:p w14:paraId="3E97FC36">
      <w:pPr>
        <w:pStyle w:val="9"/>
        <w:keepNext w:val="0"/>
        <w:keepLines w:val="0"/>
        <w:pageBreakBefore w:val="0"/>
        <w:widowControl w:val="0"/>
        <w:kinsoku/>
        <w:wordWrap/>
        <w:overflowPunct/>
        <w:topLinePunct w:val="0"/>
        <w:autoSpaceDE/>
        <w:autoSpaceDN/>
        <w:bidi w:val="0"/>
        <w:spacing w:line="400" w:lineRule="exact"/>
        <w:textAlignment w:val="auto"/>
        <w:rPr>
          <w:rFonts w:hint="eastAsia" w:ascii="宋体" w:hAnsi="宋体" w:cs="宋体"/>
          <w:color w:val="auto"/>
          <w:highlight w:val="none"/>
        </w:rPr>
      </w:pPr>
      <w:r>
        <w:rPr>
          <w:rFonts w:hint="eastAsia" w:ascii="宋体" w:hAnsi="宋体" w:cs="宋体"/>
          <w:color w:val="auto"/>
          <w:highlight w:val="none"/>
        </w:rPr>
        <w:t>24.3开标程序</w:t>
      </w:r>
    </w:p>
    <w:p w14:paraId="1A7E0649">
      <w:pPr>
        <w:pStyle w:val="9"/>
        <w:keepNext w:val="0"/>
        <w:keepLines w:val="0"/>
        <w:pageBreakBefore w:val="0"/>
        <w:widowControl w:val="0"/>
        <w:kinsoku/>
        <w:wordWrap/>
        <w:overflowPunct/>
        <w:topLinePunct w:val="0"/>
        <w:autoSpaceDE/>
        <w:autoSpaceDN/>
        <w:bidi w:val="0"/>
        <w:spacing w:line="400" w:lineRule="exact"/>
        <w:textAlignment w:val="auto"/>
        <w:rPr>
          <w:rFonts w:hint="eastAsia" w:ascii="宋体" w:hAnsi="宋体" w:cs="宋体"/>
          <w:color w:val="auto"/>
          <w:highlight w:val="none"/>
        </w:rPr>
      </w:pPr>
      <w:r>
        <w:rPr>
          <w:rFonts w:hint="eastAsia" w:ascii="宋体" w:hAnsi="宋体" w:cs="宋体"/>
          <w:color w:val="auto"/>
          <w:highlight w:val="none"/>
        </w:rPr>
        <w:t>（1）解密电子投标文件。广西政府采购云平台按开标时间自动提取所有投标文件。采购代理机构依托广西政府采购云平台向各投标人发出电子加密投标文件【开始解密】通知，由投标人按</w:t>
      </w:r>
      <w:r>
        <w:rPr>
          <w:rFonts w:hint="eastAsia" w:ascii="宋体" w:hAnsi="宋体" w:cs="宋体"/>
          <w:bCs/>
          <w:color w:val="auto"/>
          <w:szCs w:val="21"/>
          <w:highlight w:val="none"/>
        </w:rPr>
        <w:t>“投标人须知前附表”</w:t>
      </w:r>
      <w:r>
        <w:rPr>
          <w:rFonts w:hint="eastAsia" w:ascii="宋体" w:hAnsi="宋体" w:cs="宋体"/>
          <w:color w:val="auto"/>
          <w:highlight w:val="none"/>
        </w:rPr>
        <w:t>规定的时间内自行进行投标文件解密。投标人的法定代表人或其委托代理人须凭加密时所用的CA锁准时登录到广西政府采购云平台电子开标大厅签到并对电子投标文件解密。</w:t>
      </w:r>
      <w:r>
        <w:rPr>
          <w:rFonts w:hint="eastAsia" w:ascii="宋体" w:hAnsi="宋体" w:cs="宋体"/>
          <w:b/>
          <w:color w:val="auto"/>
          <w:highlight w:val="none"/>
        </w:rPr>
        <w:t>投标人未在规定的时间内解密投标文件或者解密失败的，</w:t>
      </w:r>
      <w:r>
        <w:rPr>
          <w:rFonts w:hint="eastAsia" w:ascii="宋体" w:hAnsi="宋体" w:cs="宋体"/>
          <w:b/>
          <w:color w:val="auto"/>
          <w:szCs w:val="21"/>
          <w:highlight w:val="none"/>
        </w:rPr>
        <w:t>投标人的投标文件作无效处理</w:t>
      </w:r>
      <w:r>
        <w:rPr>
          <w:rFonts w:hint="eastAsia" w:ascii="宋体" w:hAnsi="宋体" w:cs="宋体"/>
          <w:b/>
          <w:color w:val="auto"/>
          <w:highlight w:val="none"/>
        </w:rPr>
        <w:t>。</w:t>
      </w:r>
    </w:p>
    <w:p w14:paraId="12F8ECDC">
      <w:pPr>
        <w:pStyle w:val="9"/>
        <w:keepNext w:val="0"/>
        <w:keepLines w:val="0"/>
        <w:pageBreakBefore w:val="0"/>
        <w:widowControl w:val="0"/>
        <w:kinsoku/>
        <w:wordWrap/>
        <w:overflowPunct/>
        <w:topLinePunct w:val="0"/>
        <w:autoSpaceDE/>
        <w:autoSpaceDN/>
        <w:bidi w:val="0"/>
        <w:spacing w:line="400" w:lineRule="exact"/>
        <w:textAlignment w:val="auto"/>
        <w:rPr>
          <w:rFonts w:hint="eastAsia" w:ascii="宋体" w:hAnsi="宋体" w:cs="宋体"/>
          <w:color w:val="auto"/>
          <w:highlight w:val="none"/>
        </w:rPr>
      </w:pPr>
      <w:r>
        <w:rPr>
          <w:rFonts w:hint="eastAsia" w:ascii="宋体" w:hAnsi="宋体" w:cs="宋体"/>
          <w:color w:val="auto"/>
          <w:highlight w:val="none"/>
        </w:rPr>
        <w:t>（2）电子唱标。投标文件解密结束，宣布的内容均在广西政府采购云平台远程开标大厅展示，具体详见</w:t>
      </w:r>
      <w:r>
        <w:rPr>
          <w:rFonts w:hint="eastAsia" w:ascii="宋体" w:hAnsi="宋体" w:cs="宋体"/>
          <w:bCs/>
          <w:color w:val="auto"/>
          <w:highlight w:val="none"/>
        </w:rPr>
        <w:t>“投标人须知前附表”</w:t>
      </w:r>
      <w:r>
        <w:rPr>
          <w:rFonts w:hint="eastAsia" w:ascii="宋体" w:hAnsi="宋体" w:cs="宋体"/>
          <w:color w:val="auto"/>
          <w:highlight w:val="none"/>
        </w:rPr>
        <w:t>；</w:t>
      </w:r>
    </w:p>
    <w:p w14:paraId="28F564F6">
      <w:pPr>
        <w:pStyle w:val="9"/>
        <w:keepNext w:val="0"/>
        <w:keepLines w:val="0"/>
        <w:pageBreakBefore w:val="0"/>
        <w:widowControl w:val="0"/>
        <w:kinsoku/>
        <w:wordWrap/>
        <w:overflowPunct/>
        <w:topLinePunct w:val="0"/>
        <w:autoSpaceDE/>
        <w:autoSpaceDN/>
        <w:bidi w:val="0"/>
        <w:spacing w:line="400" w:lineRule="exact"/>
        <w:textAlignment w:val="auto"/>
        <w:rPr>
          <w:rFonts w:hint="eastAsia" w:ascii="宋体" w:hAnsi="宋体" w:cs="宋体"/>
          <w:color w:val="auto"/>
          <w:highlight w:val="none"/>
        </w:rPr>
      </w:pPr>
      <w:r>
        <w:rPr>
          <w:rFonts w:hint="eastAsia" w:ascii="宋体" w:hAnsi="宋体" w:cs="宋体"/>
          <w:color w:val="auto"/>
          <w:highlight w:val="none"/>
        </w:rPr>
        <w:t>（3）开标过程由采购代理机构如实记录，并电子留痕，由参加电子开标的各投标人代表对电子开标记录在开标记录公布后15分钟内进行当场校核及勘误，并线上确认是否有异议，未确认的视同认可开标结果。</w:t>
      </w:r>
    </w:p>
    <w:p w14:paraId="6D0C9B61">
      <w:pPr>
        <w:pStyle w:val="9"/>
        <w:keepNext w:val="0"/>
        <w:keepLines w:val="0"/>
        <w:pageBreakBefore w:val="0"/>
        <w:widowControl w:val="0"/>
        <w:kinsoku/>
        <w:wordWrap/>
        <w:overflowPunct/>
        <w:topLinePunct w:val="0"/>
        <w:autoSpaceDE/>
        <w:autoSpaceDN/>
        <w:bidi w:val="0"/>
        <w:spacing w:line="400" w:lineRule="exact"/>
        <w:textAlignment w:val="auto"/>
        <w:rPr>
          <w:rFonts w:hint="eastAsia" w:ascii="宋体" w:hAnsi="宋体" w:cs="宋体"/>
          <w:color w:val="auto"/>
          <w:highlight w:val="none"/>
        </w:rPr>
      </w:pPr>
      <w:r>
        <w:rPr>
          <w:rFonts w:hint="eastAsia" w:ascii="宋体" w:hAnsi="宋体" w:cs="宋体"/>
          <w:color w:val="auto"/>
          <w:highlight w:val="none"/>
        </w:rPr>
        <w:t>（4）投标人代表对开标过程和开标记录有疑义，以及认为采购人、采购代理机构相关工作人员有需要回避的情形的，应当场提出询问或者回避申请。采购人、采购代理机构对投标人代表提出的询问或者回避申请应当及时处理。</w:t>
      </w:r>
    </w:p>
    <w:p w14:paraId="13966970">
      <w:pPr>
        <w:pStyle w:val="9"/>
        <w:keepNext w:val="0"/>
        <w:keepLines w:val="0"/>
        <w:pageBreakBefore w:val="0"/>
        <w:widowControl w:val="0"/>
        <w:kinsoku/>
        <w:wordWrap/>
        <w:overflowPunct/>
        <w:topLinePunct w:val="0"/>
        <w:autoSpaceDE/>
        <w:autoSpaceDN/>
        <w:bidi w:val="0"/>
        <w:spacing w:line="400" w:lineRule="exact"/>
        <w:textAlignment w:val="auto"/>
        <w:rPr>
          <w:rFonts w:hint="eastAsia" w:ascii="宋体" w:hAnsi="宋体" w:cs="宋体"/>
          <w:color w:val="auto"/>
          <w:szCs w:val="21"/>
          <w:highlight w:val="none"/>
        </w:rPr>
      </w:pPr>
      <w:r>
        <w:rPr>
          <w:rFonts w:hint="eastAsia" w:ascii="宋体" w:hAnsi="宋体" w:cs="宋体"/>
          <w:color w:val="auto"/>
          <w:szCs w:val="21"/>
          <w:highlight w:val="none"/>
        </w:rPr>
        <w:t>（5）开标结束。</w:t>
      </w:r>
    </w:p>
    <w:p w14:paraId="1909B2C2">
      <w:pPr>
        <w:pStyle w:val="20"/>
        <w:keepNext w:val="0"/>
        <w:keepLines w:val="0"/>
        <w:pageBreakBefore w:val="0"/>
        <w:widowControl w:val="0"/>
        <w:kinsoku/>
        <w:wordWrap/>
        <w:overflowPunct/>
        <w:topLinePunct w:val="0"/>
        <w:autoSpaceDE/>
        <w:autoSpaceDN/>
        <w:bidi w:val="0"/>
        <w:snapToGrid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特别说明：如遇广西政府采购云平台电子化开标或评审程序调整的，按调整后执行。</w:t>
      </w:r>
    </w:p>
    <w:p w14:paraId="6D138675">
      <w:pPr>
        <w:pStyle w:val="20"/>
        <w:keepNext w:val="0"/>
        <w:keepLines w:val="0"/>
        <w:pageBreakBefore w:val="0"/>
        <w:widowControl w:val="0"/>
        <w:kinsoku/>
        <w:wordWrap/>
        <w:overflowPunct/>
        <w:topLinePunct w:val="0"/>
        <w:autoSpaceDE/>
        <w:autoSpaceDN/>
        <w:bidi w:val="0"/>
        <w:snapToGrid w:val="0"/>
        <w:spacing w:line="400" w:lineRule="exact"/>
        <w:ind w:left="689" w:leftChars="228" w:hanging="210" w:hangingChars="100"/>
        <w:textAlignment w:val="auto"/>
        <w:rPr>
          <w:rFonts w:hint="eastAsia" w:hAnsi="宋体" w:cs="宋体"/>
          <w:color w:val="auto"/>
          <w:highlight w:val="none"/>
        </w:rPr>
      </w:pPr>
    </w:p>
    <w:p w14:paraId="4707B302">
      <w:pPr>
        <w:pStyle w:val="2"/>
        <w:keepNext w:val="0"/>
        <w:keepLines w:val="0"/>
        <w:pageBreakBefore w:val="0"/>
        <w:widowControl w:val="0"/>
        <w:kinsoku/>
        <w:wordWrap/>
        <w:overflowPunct/>
        <w:topLinePunct w:val="0"/>
        <w:autoSpaceDE/>
        <w:autoSpaceDN/>
        <w:bidi w:val="0"/>
        <w:spacing w:line="400" w:lineRule="exact"/>
        <w:jc w:val="center"/>
        <w:textAlignment w:val="auto"/>
        <w:rPr>
          <w:rFonts w:hint="eastAsia" w:ascii="宋体" w:hAnsi="宋体" w:cs="宋体"/>
          <w:color w:val="auto"/>
          <w:highlight w:val="none"/>
        </w:rPr>
      </w:pPr>
      <w:bookmarkStart w:id="145" w:name="_Toc6086"/>
      <w:bookmarkStart w:id="146" w:name="_Toc2525"/>
      <w:r>
        <w:rPr>
          <w:rFonts w:hint="eastAsia" w:ascii="宋体" w:hAnsi="宋体" w:cs="宋体"/>
          <w:color w:val="auto"/>
          <w:highlight w:val="none"/>
        </w:rPr>
        <w:t>五、资格审查</w:t>
      </w:r>
      <w:bookmarkEnd w:id="145"/>
      <w:bookmarkEnd w:id="146"/>
    </w:p>
    <w:p w14:paraId="429D9C94">
      <w:pPr>
        <w:keepNext w:val="0"/>
        <w:keepLines w:val="0"/>
        <w:pageBreakBefore w:val="0"/>
        <w:widowControl w:val="0"/>
        <w:kinsoku/>
        <w:wordWrap/>
        <w:overflowPunct/>
        <w:topLinePunct w:val="0"/>
        <w:autoSpaceDE/>
        <w:autoSpaceDN/>
        <w:bidi w:val="0"/>
        <w:spacing w:line="400" w:lineRule="exact"/>
        <w:ind w:firstLine="482" w:firstLineChars="200"/>
        <w:textAlignment w:val="auto"/>
        <w:rPr>
          <w:rFonts w:hint="eastAsia" w:ascii="宋体" w:hAnsi="宋体" w:cs="宋体"/>
          <w:b/>
          <w:color w:val="auto"/>
          <w:sz w:val="24"/>
          <w:highlight w:val="none"/>
        </w:rPr>
      </w:pPr>
      <w:r>
        <w:rPr>
          <w:rFonts w:hint="eastAsia" w:ascii="宋体" w:hAnsi="宋体" w:cs="宋体"/>
          <w:b/>
          <w:color w:val="auto"/>
          <w:sz w:val="24"/>
          <w:highlight w:val="none"/>
        </w:rPr>
        <w:t>25.资格审查</w:t>
      </w:r>
    </w:p>
    <w:p w14:paraId="0C42E848">
      <w:pPr>
        <w:pStyle w:val="20"/>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25.1开标结束后，采购人或者采购代理机构通过电子开评标系统依据招标文件对电子投标文件进行线上资格审查。</w:t>
      </w:r>
    </w:p>
    <w:p w14:paraId="11A8B8C1">
      <w:pPr>
        <w:pStyle w:val="20"/>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25.2资格审查标准为本招标文件中载明对投标人资格要求的条件。本项目资格审查采用合格制，凡符合招标文件规定的投标人资格要求的投标人均通过资格审查。</w:t>
      </w:r>
    </w:p>
    <w:p w14:paraId="13B7D450">
      <w:pPr>
        <w:pStyle w:val="20"/>
        <w:keepNext w:val="0"/>
        <w:keepLines w:val="0"/>
        <w:pageBreakBefore w:val="0"/>
        <w:widowControl w:val="0"/>
        <w:kinsoku/>
        <w:wordWrap/>
        <w:overflowPunct/>
        <w:topLinePunct w:val="0"/>
        <w:autoSpaceDE/>
        <w:autoSpaceDN/>
        <w:bidi w:val="0"/>
        <w:spacing w:line="400" w:lineRule="exact"/>
        <w:ind w:firstLine="422" w:firstLineChars="200"/>
        <w:textAlignment w:val="auto"/>
        <w:rPr>
          <w:rFonts w:hint="eastAsia" w:hAnsi="宋体" w:cs="宋体"/>
          <w:b/>
          <w:color w:val="auto"/>
          <w:highlight w:val="none"/>
        </w:rPr>
      </w:pPr>
      <w:bookmarkStart w:id="147" w:name="_25.3_投标人有下列情形之一的，资格审查不通过而导致其投标无效："/>
      <w:bookmarkEnd w:id="147"/>
      <w:r>
        <w:rPr>
          <w:rFonts w:hint="eastAsia" w:hAnsi="宋体" w:cs="宋体"/>
          <w:b/>
          <w:color w:val="auto"/>
          <w:highlight w:val="none"/>
        </w:rPr>
        <w:t>25.3 投标人有下列情形之一的，资格审查不通过，作无效投标处理：</w:t>
      </w:r>
    </w:p>
    <w:p w14:paraId="587C799F">
      <w:pPr>
        <w:pStyle w:val="20"/>
        <w:keepNext w:val="0"/>
        <w:keepLines w:val="0"/>
        <w:pageBreakBefore w:val="0"/>
        <w:widowControl w:val="0"/>
        <w:kinsoku/>
        <w:wordWrap/>
        <w:overflowPunct/>
        <w:topLinePunct w:val="0"/>
        <w:autoSpaceDE/>
        <w:autoSpaceDN/>
        <w:bidi w:val="0"/>
        <w:spacing w:line="400" w:lineRule="exact"/>
        <w:ind w:firstLine="422" w:firstLineChars="200"/>
        <w:textAlignment w:val="auto"/>
        <w:rPr>
          <w:rFonts w:hint="eastAsia" w:hAnsi="宋体" w:cs="宋体"/>
          <w:b/>
          <w:color w:val="auto"/>
          <w:highlight w:val="none"/>
        </w:rPr>
      </w:pPr>
      <w:r>
        <w:rPr>
          <w:rFonts w:hint="eastAsia" w:hAnsi="宋体" w:cs="宋体"/>
          <w:b/>
          <w:color w:val="auto"/>
          <w:highlight w:val="none"/>
        </w:rPr>
        <w:t>（1）不具备招标文件中规定的资格要求的；</w:t>
      </w:r>
    </w:p>
    <w:p w14:paraId="18C74FC8">
      <w:pPr>
        <w:pStyle w:val="20"/>
        <w:keepNext w:val="0"/>
        <w:keepLines w:val="0"/>
        <w:pageBreakBefore w:val="0"/>
        <w:widowControl w:val="0"/>
        <w:kinsoku/>
        <w:wordWrap/>
        <w:overflowPunct/>
        <w:topLinePunct w:val="0"/>
        <w:autoSpaceDE/>
        <w:autoSpaceDN/>
        <w:bidi w:val="0"/>
        <w:spacing w:line="400" w:lineRule="exact"/>
        <w:ind w:firstLine="422" w:firstLineChars="200"/>
        <w:textAlignment w:val="auto"/>
        <w:rPr>
          <w:rFonts w:hint="eastAsia" w:hAnsi="宋体" w:cs="宋体"/>
          <w:b/>
          <w:color w:val="auto"/>
          <w:highlight w:val="none"/>
        </w:rPr>
      </w:pPr>
      <w:r>
        <w:rPr>
          <w:rFonts w:hint="eastAsia" w:hAnsi="宋体" w:cs="宋体"/>
          <w:b/>
          <w:color w:val="auto"/>
          <w:highlight w:val="none"/>
        </w:rPr>
        <w:t>（2）在“信用中国”网站（www.creditchina.gov.cn）、中国政府采购网（www.ccgp.gov.cn）被列入失信被执行人、重大税收违法失信主体、政府采购严重违法失信行为记录名单及其他不符合《中华人民共和国政府采购法》第二十二条规定条件的；（注：其中信用查询规则见“投标人须知前附表”）</w:t>
      </w:r>
    </w:p>
    <w:p w14:paraId="23C24E81">
      <w:pPr>
        <w:pStyle w:val="20"/>
        <w:keepNext w:val="0"/>
        <w:keepLines w:val="0"/>
        <w:pageBreakBefore w:val="0"/>
        <w:widowControl w:val="0"/>
        <w:kinsoku/>
        <w:wordWrap/>
        <w:overflowPunct/>
        <w:topLinePunct w:val="0"/>
        <w:autoSpaceDE/>
        <w:autoSpaceDN/>
        <w:bidi w:val="0"/>
        <w:spacing w:line="400" w:lineRule="exact"/>
        <w:ind w:firstLine="422" w:firstLineChars="200"/>
        <w:textAlignment w:val="auto"/>
        <w:rPr>
          <w:rFonts w:hint="eastAsia" w:hAnsi="宋体" w:cs="宋体"/>
          <w:b/>
          <w:color w:val="auto"/>
          <w:highlight w:val="none"/>
        </w:rPr>
      </w:pPr>
      <w:r>
        <w:rPr>
          <w:rFonts w:hint="eastAsia" w:hAnsi="宋体" w:cs="宋体"/>
          <w:b/>
          <w:color w:val="auto"/>
          <w:highlight w:val="none"/>
        </w:rPr>
        <w:t>（3）同一合同项下的不同投标人，单位负责人为同一人或者存在直接控股、管理关系的；为本项目提供过整体设计、规范编制或者项目管理、监理、检测等服务的供应商，再参加该采购项目的其他采购活动的；</w:t>
      </w:r>
    </w:p>
    <w:p w14:paraId="12D8CFF3">
      <w:pPr>
        <w:pStyle w:val="20"/>
        <w:keepNext w:val="0"/>
        <w:keepLines w:val="0"/>
        <w:pageBreakBefore w:val="0"/>
        <w:widowControl w:val="0"/>
        <w:kinsoku/>
        <w:wordWrap/>
        <w:overflowPunct/>
        <w:topLinePunct w:val="0"/>
        <w:autoSpaceDE/>
        <w:autoSpaceDN/>
        <w:bidi w:val="0"/>
        <w:spacing w:line="400" w:lineRule="exact"/>
        <w:ind w:firstLine="422" w:firstLineChars="200"/>
        <w:textAlignment w:val="auto"/>
        <w:rPr>
          <w:rFonts w:hint="eastAsia" w:hAnsi="宋体" w:cs="宋体"/>
          <w:b/>
          <w:color w:val="auto"/>
          <w:highlight w:val="none"/>
        </w:rPr>
      </w:pPr>
      <w:r>
        <w:rPr>
          <w:rFonts w:hint="eastAsia" w:hAnsi="宋体" w:cs="宋体"/>
          <w:b/>
          <w:color w:val="auto"/>
          <w:highlight w:val="none"/>
        </w:rPr>
        <w:t>（4）投标文件中的资格证明文件缺少任一项“投标人须知前附表”资格证明文件规定“必须提供”的文件资料的；</w:t>
      </w:r>
    </w:p>
    <w:p w14:paraId="4062D8EA">
      <w:pPr>
        <w:pStyle w:val="20"/>
        <w:keepNext w:val="0"/>
        <w:keepLines w:val="0"/>
        <w:pageBreakBefore w:val="0"/>
        <w:widowControl w:val="0"/>
        <w:kinsoku/>
        <w:wordWrap/>
        <w:overflowPunct/>
        <w:topLinePunct w:val="0"/>
        <w:autoSpaceDE/>
        <w:autoSpaceDN/>
        <w:bidi w:val="0"/>
        <w:spacing w:line="400" w:lineRule="exact"/>
        <w:ind w:firstLine="422" w:firstLineChars="200"/>
        <w:textAlignment w:val="auto"/>
        <w:rPr>
          <w:rFonts w:hint="eastAsia" w:hAnsi="宋体" w:cs="宋体"/>
          <w:b/>
          <w:color w:val="auto"/>
          <w:highlight w:val="none"/>
        </w:rPr>
      </w:pPr>
      <w:r>
        <w:rPr>
          <w:rFonts w:hint="eastAsia" w:hAnsi="宋体" w:cs="宋体"/>
          <w:b/>
          <w:color w:val="auto"/>
          <w:highlight w:val="none"/>
        </w:rPr>
        <w:t>（5）投标文件中的资格证明文件出现任一项不符合“投标人须知前附表”资格证明文件规定“必须提供”的文件资料要求或者无效的。</w:t>
      </w:r>
    </w:p>
    <w:p w14:paraId="2C04D214">
      <w:pPr>
        <w:pStyle w:val="20"/>
        <w:keepNext w:val="0"/>
        <w:keepLines w:val="0"/>
        <w:pageBreakBefore w:val="0"/>
        <w:widowControl w:val="0"/>
        <w:kinsoku/>
        <w:wordWrap/>
        <w:overflowPunct/>
        <w:topLinePunct w:val="0"/>
        <w:autoSpaceDE/>
        <w:autoSpaceDN/>
        <w:bidi w:val="0"/>
        <w:spacing w:line="400" w:lineRule="exact"/>
        <w:ind w:firstLine="422" w:firstLineChars="200"/>
        <w:textAlignment w:val="auto"/>
        <w:rPr>
          <w:rFonts w:hint="eastAsia" w:hAnsi="宋体" w:cs="宋体"/>
          <w:b/>
          <w:color w:val="auto"/>
          <w:highlight w:val="none"/>
        </w:rPr>
      </w:pPr>
      <w:r>
        <w:rPr>
          <w:rFonts w:hint="eastAsia" w:hAnsi="宋体" w:cs="宋体"/>
          <w:b/>
          <w:color w:val="auto"/>
          <w:highlight w:val="none"/>
        </w:rPr>
        <w:t>25.4合格投标人不足3家的，不得评标。</w:t>
      </w:r>
    </w:p>
    <w:p w14:paraId="3AA7A015">
      <w:pPr>
        <w:pStyle w:val="20"/>
        <w:keepNext w:val="0"/>
        <w:keepLines w:val="0"/>
        <w:pageBreakBefore w:val="0"/>
        <w:widowControl w:val="0"/>
        <w:kinsoku/>
        <w:wordWrap/>
        <w:overflowPunct/>
        <w:topLinePunct w:val="0"/>
        <w:autoSpaceDE/>
        <w:autoSpaceDN/>
        <w:bidi w:val="0"/>
        <w:snapToGrid w:val="0"/>
        <w:spacing w:line="400" w:lineRule="exact"/>
        <w:ind w:left="689" w:leftChars="228" w:hanging="210" w:hangingChars="100"/>
        <w:textAlignment w:val="auto"/>
        <w:rPr>
          <w:rFonts w:hint="eastAsia" w:hAnsi="宋体" w:cs="宋体"/>
          <w:color w:val="auto"/>
          <w:highlight w:val="none"/>
        </w:rPr>
      </w:pPr>
    </w:p>
    <w:p w14:paraId="3C85BF3B">
      <w:pPr>
        <w:pStyle w:val="2"/>
        <w:keepNext w:val="0"/>
        <w:keepLines w:val="0"/>
        <w:pageBreakBefore w:val="0"/>
        <w:widowControl w:val="0"/>
        <w:kinsoku/>
        <w:wordWrap/>
        <w:overflowPunct/>
        <w:topLinePunct w:val="0"/>
        <w:autoSpaceDE/>
        <w:autoSpaceDN/>
        <w:bidi w:val="0"/>
        <w:spacing w:line="400" w:lineRule="exact"/>
        <w:jc w:val="center"/>
        <w:textAlignment w:val="auto"/>
        <w:rPr>
          <w:rFonts w:hint="eastAsia" w:ascii="宋体" w:hAnsi="宋体" w:cs="宋体"/>
          <w:color w:val="auto"/>
          <w:highlight w:val="none"/>
        </w:rPr>
      </w:pPr>
      <w:bookmarkStart w:id="148" w:name="_Toc31107"/>
      <w:bookmarkStart w:id="149" w:name="_Toc17386"/>
      <w:r>
        <w:rPr>
          <w:rFonts w:hint="eastAsia" w:ascii="宋体" w:hAnsi="宋体" w:cs="宋体"/>
          <w:color w:val="auto"/>
          <w:highlight w:val="none"/>
        </w:rPr>
        <w:t>六、评  标</w:t>
      </w:r>
      <w:bookmarkEnd w:id="148"/>
      <w:bookmarkEnd w:id="149"/>
    </w:p>
    <w:p w14:paraId="2004E04B">
      <w:pPr>
        <w:keepNext w:val="0"/>
        <w:keepLines w:val="0"/>
        <w:pageBreakBefore w:val="0"/>
        <w:widowControl w:val="0"/>
        <w:kinsoku/>
        <w:wordWrap/>
        <w:overflowPunct/>
        <w:topLinePunct w:val="0"/>
        <w:autoSpaceDE/>
        <w:autoSpaceDN/>
        <w:bidi w:val="0"/>
        <w:spacing w:line="400" w:lineRule="exact"/>
        <w:ind w:firstLine="482" w:firstLineChars="200"/>
        <w:textAlignment w:val="auto"/>
        <w:rPr>
          <w:rFonts w:hint="eastAsia" w:ascii="宋体" w:hAnsi="宋体" w:cs="宋体"/>
          <w:b/>
          <w:color w:val="auto"/>
          <w:sz w:val="24"/>
          <w:highlight w:val="none"/>
        </w:rPr>
      </w:pPr>
      <w:bookmarkStart w:id="150" w:name="_26.组建评标委员会"/>
      <w:bookmarkEnd w:id="150"/>
      <w:r>
        <w:rPr>
          <w:rFonts w:hint="eastAsia" w:ascii="宋体" w:hAnsi="宋体" w:cs="宋体"/>
          <w:b/>
          <w:color w:val="auto"/>
          <w:sz w:val="24"/>
          <w:highlight w:val="none"/>
        </w:rPr>
        <w:t>26.组建评标委员会</w:t>
      </w:r>
    </w:p>
    <w:p w14:paraId="40B1CDF4">
      <w:pPr>
        <w:pStyle w:val="20"/>
        <w:keepNext w:val="0"/>
        <w:keepLines w:val="0"/>
        <w:pageBreakBefore w:val="0"/>
        <w:widowControl w:val="0"/>
        <w:kinsoku/>
        <w:wordWrap/>
        <w:overflowPunct/>
        <w:topLinePunct w:val="0"/>
        <w:autoSpaceDE/>
        <w:autoSpaceDN/>
        <w:bidi w:val="0"/>
        <w:snapToGrid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26.1评标委员会由采购人代表和评审专家组成，具体人数详见“投标人须知前附表”，其中评审专家不得少于成员总数的三分之二。</w:t>
      </w:r>
    </w:p>
    <w:p w14:paraId="2A7BBFCF">
      <w:pPr>
        <w:pStyle w:val="20"/>
        <w:keepNext w:val="0"/>
        <w:keepLines w:val="0"/>
        <w:pageBreakBefore w:val="0"/>
        <w:widowControl w:val="0"/>
        <w:kinsoku/>
        <w:wordWrap/>
        <w:overflowPunct/>
        <w:topLinePunct w:val="0"/>
        <w:autoSpaceDE/>
        <w:autoSpaceDN/>
        <w:bidi w:val="0"/>
        <w:snapToGrid w:val="0"/>
        <w:spacing w:line="400" w:lineRule="exact"/>
        <w:ind w:left="2" w:leftChars="1" w:firstLine="420" w:firstLineChars="200"/>
        <w:textAlignment w:val="auto"/>
        <w:rPr>
          <w:rFonts w:hint="eastAsia" w:hAnsi="宋体" w:cs="宋体"/>
          <w:color w:val="auto"/>
          <w:highlight w:val="none"/>
        </w:rPr>
      </w:pPr>
      <w:r>
        <w:rPr>
          <w:rFonts w:hint="eastAsia" w:hAnsi="宋体" w:cs="宋体"/>
          <w:color w:val="auto"/>
          <w:highlight w:val="none"/>
        </w:rPr>
        <w:t>26.2参加过采购项目前期咨询论证的专家，不得参加该采购项目的评审活动。</w:t>
      </w:r>
    </w:p>
    <w:p w14:paraId="129A5836">
      <w:pPr>
        <w:pStyle w:val="20"/>
        <w:keepNext w:val="0"/>
        <w:keepLines w:val="0"/>
        <w:pageBreakBefore w:val="0"/>
        <w:widowControl w:val="0"/>
        <w:kinsoku/>
        <w:wordWrap/>
        <w:overflowPunct/>
        <w:topLinePunct w:val="0"/>
        <w:autoSpaceDE/>
        <w:autoSpaceDN/>
        <w:bidi w:val="0"/>
        <w:snapToGrid w:val="0"/>
        <w:spacing w:line="400" w:lineRule="exact"/>
        <w:ind w:left="2" w:leftChars="1" w:firstLine="420" w:firstLineChars="200"/>
        <w:textAlignment w:val="auto"/>
        <w:rPr>
          <w:rFonts w:hint="eastAsia" w:hAnsi="宋体" w:cs="宋体"/>
          <w:color w:val="auto"/>
          <w:highlight w:val="none"/>
        </w:rPr>
      </w:pPr>
      <w:r>
        <w:rPr>
          <w:rFonts w:hint="eastAsia" w:hAnsi="宋体" w:cs="宋体"/>
          <w:color w:val="auto"/>
          <w:highlight w:val="none"/>
        </w:rPr>
        <w:t>26.3</w:t>
      </w:r>
      <w:r>
        <w:rPr>
          <w:rFonts w:hint="eastAsia" w:hAnsi="宋体" w:cs="宋体"/>
          <w:bCs/>
          <w:color w:val="auto"/>
          <w:highlight w:val="none"/>
        </w:rPr>
        <w:t>采购代理机构应当基于广西政府采购云平台抽（选）取评审专家。</w:t>
      </w:r>
    </w:p>
    <w:p w14:paraId="15A6CE6A">
      <w:pPr>
        <w:keepNext w:val="0"/>
        <w:keepLines w:val="0"/>
        <w:pageBreakBefore w:val="0"/>
        <w:widowControl w:val="0"/>
        <w:kinsoku/>
        <w:wordWrap/>
        <w:overflowPunct/>
        <w:topLinePunct w:val="0"/>
        <w:autoSpaceDE/>
        <w:autoSpaceDN/>
        <w:bidi w:val="0"/>
        <w:spacing w:line="400" w:lineRule="exact"/>
        <w:ind w:firstLine="482" w:firstLineChars="200"/>
        <w:textAlignment w:val="auto"/>
        <w:rPr>
          <w:rFonts w:hint="eastAsia" w:ascii="宋体" w:hAnsi="宋体" w:cs="宋体"/>
          <w:b/>
          <w:color w:val="auto"/>
          <w:sz w:val="24"/>
          <w:highlight w:val="none"/>
        </w:rPr>
      </w:pPr>
      <w:r>
        <w:rPr>
          <w:rFonts w:hint="eastAsia" w:ascii="宋体" w:hAnsi="宋体" w:cs="宋体"/>
          <w:b/>
          <w:color w:val="auto"/>
          <w:sz w:val="24"/>
          <w:highlight w:val="none"/>
        </w:rPr>
        <w:t>27.评标的依据</w:t>
      </w:r>
    </w:p>
    <w:p w14:paraId="2DCABCD1">
      <w:pPr>
        <w:pStyle w:val="20"/>
        <w:keepNext w:val="0"/>
        <w:keepLines w:val="0"/>
        <w:pageBreakBefore w:val="0"/>
        <w:widowControl w:val="0"/>
        <w:kinsoku/>
        <w:wordWrap/>
        <w:overflowPunct/>
        <w:topLinePunct w:val="0"/>
        <w:autoSpaceDE/>
        <w:autoSpaceDN/>
        <w:bidi w:val="0"/>
        <w:snapToGrid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评标委员会以“第四章 评标方法和评标标准”为依据对投标文件进行评审，没有规定的方法、评审因素和标准，不作为评标依据。</w:t>
      </w:r>
    </w:p>
    <w:p w14:paraId="09F4854D">
      <w:pPr>
        <w:keepNext w:val="0"/>
        <w:keepLines w:val="0"/>
        <w:pageBreakBefore w:val="0"/>
        <w:widowControl w:val="0"/>
        <w:kinsoku/>
        <w:wordWrap/>
        <w:overflowPunct/>
        <w:topLinePunct w:val="0"/>
        <w:autoSpaceDE/>
        <w:autoSpaceDN/>
        <w:bidi w:val="0"/>
        <w:spacing w:line="400" w:lineRule="exact"/>
        <w:ind w:firstLine="482" w:firstLineChars="200"/>
        <w:textAlignment w:val="auto"/>
        <w:rPr>
          <w:rFonts w:hint="eastAsia" w:ascii="宋体" w:hAnsi="宋体" w:cs="宋体"/>
          <w:b/>
          <w:color w:val="auto"/>
          <w:sz w:val="24"/>
          <w:highlight w:val="none"/>
        </w:rPr>
      </w:pPr>
      <w:r>
        <w:rPr>
          <w:rFonts w:hint="eastAsia" w:ascii="宋体" w:hAnsi="宋体" w:cs="宋体"/>
          <w:b/>
          <w:color w:val="auto"/>
          <w:sz w:val="24"/>
          <w:highlight w:val="none"/>
        </w:rPr>
        <w:t>28.评标原则</w:t>
      </w:r>
    </w:p>
    <w:p w14:paraId="0AF1F777">
      <w:pPr>
        <w:pStyle w:val="20"/>
        <w:keepNext w:val="0"/>
        <w:keepLines w:val="0"/>
        <w:pageBreakBefore w:val="0"/>
        <w:widowControl w:val="0"/>
        <w:kinsoku/>
        <w:wordWrap/>
        <w:overflowPunct/>
        <w:topLinePunct w:val="0"/>
        <w:autoSpaceDE/>
        <w:autoSpaceDN/>
        <w:bidi w:val="0"/>
        <w:snapToGrid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28.1评标原则。评标委员</w:t>
      </w:r>
      <w:r>
        <w:rPr>
          <w:rFonts w:hint="eastAsia" w:hAnsi="宋体" w:cs="宋体"/>
          <w:color w:val="auto"/>
          <w:highlight w:val="none"/>
          <w:lang w:eastAsia="zh-CN"/>
        </w:rPr>
        <w:t>会在</w:t>
      </w:r>
      <w:r>
        <w:rPr>
          <w:rFonts w:hint="eastAsia" w:hAnsi="宋体" w:cs="宋体"/>
          <w:color w:val="auto"/>
          <w:highlight w:val="none"/>
        </w:rPr>
        <w:t>评标时必须公平、公正、客观，不带任何倾向性和启发性；不得向外界透露任何与评标有关的内容；任何单位和个人不得干扰、影响评标的正常进行；评标委员会及有关工作人员不得私下与投标人接触，不得收受利害关系人的财物或者其他好处。</w:t>
      </w:r>
    </w:p>
    <w:p w14:paraId="0175EB98">
      <w:pPr>
        <w:pStyle w:val="20"/>
        <w:keepNext w:val="0"/>
        <w:keepLines w:val="0"/>
        <w:pageBreakBefore w:val="0"/>
        <w:widowControl w:val="0"/>
        <w:kinsoku/>
        <w:wordWrap/>
        <w:overflowPunct/>
        <w:topLinePunct w:val="0"/>
        <w:autoSpaceDE/>
        <w:autoSpaceDN/>
        <w:bidi w:val="0"/>
        <w:snapToGrid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28.2</w:t>
      </w:r>
      <w:bookmarkStart w:id="151" w:name="_28.3评标方法。本项目将按须知前附表规定的评标办法进行评标，具体评标"/>
      <w:bookmarkEnd w:id="151"/>
      <w:r>
        <w:rPr>
          <w:rFonts w:hint="eastAsia" w:hAnsi="宋体" w:cs="宋体"/>
          <w:color w:val="auto"/>
          <w:highlight w:val="none"/>
        </w:rPr>
        <w:t>评委表决。评标委员会成员对需要共同认定的事项存在争议的，应当按照少数服从多数的原则作出结论。</w:t>
      </w:r>
    </w:p>
    <w:p w14:paraId="498A3AA3">
      <w:pPr>
        <w:pStyle w:val="20"/>
        <w:keepNext w:val="0"/>
        <w:keepLines w:val="0"/>
        <w:pageBreakBefore w:val="0"/>
        <w:widowControl w:val="0"/>
        <w:kinsoku/>
        <w:wordWrap/>
        <w:overflowPunct/>
        <w:topLinePunct w:val="0"/>
        <w:autoSpaceDE/>
        <w:autoSpaceDN/>
        <w:bidi w:val="0"/>
        <w:snapToGrid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28.3评标的保密。采购人、采购代理机构应当采取必要措施，保证评标在严格保密（封闭式评标）的情况下进行。除采购人代表、评标现场组织人员外，采购人的其他工作人员以及与评标工作无关的人员不得进入评标现场。有关人员对评标情况以及在评标过程中获悉的国家秘密、商业秘密负有保密责任。</w:t>
      </w:r>
    </w:p>
    <w:p w14:paraId="14A275E4">
      <w:pPr>
        <w:pStyle w:val="20"/>
        <w:keepNext w:val="0"/>
        <w:keepLines w:val="0"/>
        <w:pageBreakBefore w:val="0"/>
        <w:widowControl w:val="0"/>
        <w:kinsoku/>
        <w:wordWrap/>
        <w:overflowPunct/>
        <w:topLinePunct w:val="0"/>
        <w:autoSpaceDE/>
        <w:autoSpaceDN/>
        <w:bidi w:val="0"/>
        <w:snapToGrid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28.4评标过程的监控。本项目电子评标过程实行网上留痕、全程录音、录像监控，</w:t>
      </w:r>
      <w:r>
        <w:rPr>
          <w:rFonts w:hint="eastAsia" w:hAnsi="宋体" w:cs="宋体"/>
          <w:b/>
          <w:color w:val="auto"/>
          <w:highlight w:val="none"/>
        </w:rPr>
        <w:t>投标人在评标过程中所进行的试图影响评标结果的不公正活动，可能导致其投标按无效处理。</w:t>
      </w:r>
    </w:p>
    <w:p w14:paraId="03CB5A92">
      <w:pPr>
        <w:keepNext w:val="0"/>
        <w:keepLines w:val="0"/>
        <w:pageBreakBefore w:val="0"/>
        <w:widowControl w:val="0"/>
        <w:kinsoku/>
        <w:wordWrap/>
        <w:overflowPunct/>
        <w:topLinePunct w:val="0"/>
        <w:autoSpaceDE/>
        <w:autoSpaceDN/>
        <w:bidi w:val="0"/>
        <w:spacing w:line="400" w:lineRule="exact"/>
        <w:ind w:firstLine="482" w:firstLineChars="200"/>
        <w:textAlignment w:val="auto"/>
        <w:rPr>
          <w:rFonts w:hint="eastAsia" w:ascii="宋体" w:hAnsi="宋体" w:cs="宋体"/>
          <w:b/>
          <w:color w:val="auto"/>
          <w:sz w:val="24"/>
          <w:highlight w:val="none"/>
        </w:rPr>
      </w:pPr>
      <w:r>
        <w:rPr>
          <w:rFonts w:hint="eastAsia" w:ascii="宋体" w:hAnsi="宋体" w:cs="宋体"/>
          <w:b/>
          <w:color w:val="auto"/>
          <w:sz w:val="24"/>
          <w:highlight w:val="none"/>
        </w:rPr>
        <w:t>29.评标方法及中标候选人推荐</w:t>
      </w:r>
    </w:p>
    <w:p w14:paraId="234BB577">
      <w:pPr>
        <w:pStyle w:val="20"/>
        <w:keepNext w:val="0"/>
        <w:keepLines w:val="0"/>
        <w:pageBreakBefore w:val="0"/>
        <w:widowControl w:val="0"/>
        <w:kinsoku/>
        <w:wordWrap/>
        <w:overflowPunct/>
        <w:topLinePunct w:val="0"/>
        <w:autoSpaceDE/>
        <w:autoSpaceDN/>
        <w:bidi w:val="0"/>
        <w:snapToGrid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29.1本项目的评标方法详见“投标人须知前附表”。</w:t>
      </w:r>
    </w:p>
    <w:p w14:paraId="0A909CCD">
      <w:pPr>
        <w:pStyle w:val="20"/>
        <w:keepNext w:val="0"/>
        <w:keepLines w:val="0"/>
        <w:pageBreakBefore w:val="0"/>
        <w:widowControl w:val="0"/>
        <w:kinsoku/>
        <w:wordWrap/>
        <w:overflowPunct/>
        <w:topLinePunct w:val="0"/>
        <w:autoSpaceDE/>
        <w:autoSpaceDN/>
        <w:bidi w:val="0"/>
        <w:snapToGrid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29.2 商务/技术要求允许负偏离的条款数详见“投标人须知前附表”。</w:t>
      </w:r>
    </w:p>
    <w:p w14:paraId="3786384A">
      <w:pPr>
        <w:pStyle w:val="20"/>
        <w:keepNext w:val="0"/>
        <w:keepLines w:val="0"/>
        <w:pageBreakBefore w:val="0"/>
        <w:widowControl w:val="0"/>
        <w:kinsoku/>
        <w:wordWrap/>
        <w:overflowPunct/>
        <w:topLinePunct w:val="0"/>
        <w:autoSpaceDE/>
        <w:autoSpaceDN/>
        <w:bidi w:val="0"/>
        <w:snapToGrid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29.3 中标候选人推荐数量详见“投标人须知前附表”。</w:t>
      </w:r>
    </w:p>
    <w:p w14:paraId="0FE68104">
      <w:pPr>
        <w:pStyle w:val="20"/>
        <w:keepNext w:val="0"/>
        <w:keepLines w:val="0"/>
        <w:pageBreakBefore w:val="0"/>
        <w:widowControl w:val="0"/>
        <w:kinsoku/>
        <w:wordWrap/>
        <w:overflowPunct/>
        <w:topLinePunct w:val="0"/>
        <w:autoSpaceDE/>
        <w:autoSpaceDN/>
        <w:bidi w:val="0"/>
        <w:snapToGrid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29.4 电子交易活动的中止。采购过程中出现以下情形，导致电子交易平台无法正常运行，或者无法保证电子交易的公平、公正和安全时，采购代理机构可以中止电子交易活动：</w:t>
      </w:r>
    </w:p>
    <w:p w14:paraId="2D0D6D1B">
      <w:pPr>
        <w:pStyle w:val="20"/>
        <w:keepNext w:val="0"/>
        <w:keepLines w:val="0"/>
        <w:pageBreakBefore w:val="0"/>
        <w:widowControl w:val="0"/>
        <w:kinsoku/>
        <w:wordWrap/>
        <w:overflowPunct/>
        <w:topLinePunct w:val="0"/>
        <w:autoSpaceDE/>
        <w:autoSpaceDN/>
        <w:bidi w:val="0"/>
        <w:snapToGrid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（1）电子交易平台发生故障而无法登录访问的；</w:t>
      </w:r>
    </w:p>
    <w:p w14:paraId="509F2665">
      <w:pPr>
        <w:pStyle w:val="20"/>
        <w:keepNext w:val="0"/>
        <w:keepLines w:val="0"/>
        <w:pageBreakBefore w:val="0"/>
        <w:widowControl w:val="0"/>
        <w:kinsoku/>
        <w:wordWrap/>
        <w:overflowPunct/>
        <w:topLinePunct w:val="0"/>
        <w:autoSpaceDE/>
        <w:autoSpaceDN/>
        <w:bidi w:val="0"/>
        <w:snapToGrid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（2）电子交易平台应用或数据库出现错误，不能进行正常操作的；</w:t>
      </w:r>
    </w:p>
    <w:p w14:paraId="6A21D498">
      <w:pPr>
        <w:pStyle w:val="20"/>
        <w:keepNext w:val="0"/>
        <w:keepLines w:val="0"/>
        <w:pageBreakBefore w:val="0"/>
        <w:widowControl w:val="0"/>
        <w:kinsoku/>
        <w:wordWrap/>
        <w:overflowPunct/>
        <w:topLinePunct w:val="0"/>
        <w:autoSpaceDE/>
        <w:autoSpaceDN/>
        <w:bidi w:val="0"/>
        <w:snapToGrid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（3）电子交易平台发现严重安全漏洞，有潜在泄密危险的；</w:t>
      </w:r>
    </w:p>
    <w:p w14:paraId="3E125915">
      <w:pPr>
        <w:pStyle w:val="20"/>
        <w:keepNext w:val="0"/>
        <w:keepLines w:val="0"/>
        <w:pageBreakBefore w:val="0"/>
        <w:widowControl w:val="0"/>
        <w:kinsoku/>
        <w:wordWrap/>
        <w:overflowPunct/>
        <w:topLinePunct w:val="0"/>
        <w:autoSpaceDE/>
        <w:autoSpaceDN/>
        <w:bidi w:val="0"/>
        <w:snapToGrid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（4）病毒发作导致不能进行正常操作的；</w:t>
      </w:r>
    </w:p>
    <w:p w14:paraId="246C35D9">
      <w:pPr>
        <w:pStyle w:val="20"/>
        <w:keepNext w:val="0"/>
        <w:keepLines w:val="0"/>
        <w:pageBreakBefore w:val="0"/>
        <w:widowControl w:val="0"/>
        <w:kinsoku/>
        <w:wordWrap/>
        <w:overflowPunct/>
        <w:topLinePunct w:val="0"/>
        <w:autoSpaceDE/>
        <w:autoSpaceDN/>
        <w:bidi w:val="0"/>
        <w:snapToGrid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（5）其他无法保证电子交易的公平、公正和安全的情况。</w:t>
      </w:r>
    </w:p>
    <w:p w14:paraId="7DE2459C">
      <w:pPr>
        <w:pStyle w:val="20"/>
        <w:keepNext w:val="0"/>
        <w:keepLines w:val="0"/>
        <w:pageBreakBefore w:val="0"/>
        <w:widowControl w:val="0"/>
        <w:kinsoku/>
        <w:wordWrap/>
        <w:overflowPunct/>
        <w:topLinePunct w:val="0"/>
        <w:autoSpaceDE/>
        <w:autoSpaceDN/>
        <w:bidi w:val="0"/>
        <w:snapToGrid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出现以上情形，不影响采购公平、公正性的，采购代理机构可以待上述情形消除后继续组织电子交易活动；影响或可能影响采购公平、公正性的，经采购代理机构确认、报采购人同意后，终止电子采购活动，应当重新采购。采购代理机构必须对原有的资料及信息作出妥善保密处理，并报财政部门备案。</w:t>
      </w:r>
    </w:p>
    <w:p w14:paraId="55B70720">
      <w:pPr>
        <w:pStyle w:val="20"/>
        <w:keepNext w:val="0"/>
        <w:keepLines w:val="0"/>
        <w:pageBreakBefore w:val="0"/>
        <w:widowControl w:val="0"/>
        <w:kinsoku/>
        <w:wordWrap/>
        <w:overflowPunct/>
        <w:topLinePunct w:val="0"/>
        <w:autoSpaceDE/>
        <w:autoSpaceDN/>
        <w:bidi w:val="0"/>
        <w:snapToGrid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29.5出现下列情形之一的，应予废标：</w:t>
      </w:r>
    </w:p>
    <w:p w14:paraId="246618AA">
      <w:pPr>
        <w:pStyle w:val="20"/>
        <w:keepNext w:val="0"/>
        <w:keepLines w:val="0"/>
        <w:pageBreakBefore w:val="0"/>
        <w:widowControl w:val="0"/>
        <w:kinsoku/>
        <w:wordWrap/>
        <w:overflowPunct/>
        <w:topLinePunct w:val="0"/>
        <w:autoSpaceDE/>
        <w:autoSpaceDN/>
        <w:bidi w:val="0"/>
        <w:snapToGrid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（1）符合专业条件的供应商或者对招标文件作实质响应的供应商不足三家的；</w:t>
      </w:r>
    </w:p>
    <w:p w14:paraId="037073DF">
      <w:pPr>
        <w:pStyle w:val="20"/>
        <w:keepNext w:val="0"/>
        <w:keepLines w:val="0"/>
        <w:pageBreakBefore w:val="0"/>
        <w:widowControl w:val="0"/>
        <w:kinsoku/>
        <w:wordWrap/>
        <w:overflowPunct/>
        <w:topLinePunct w:val="0"/>
        <w:autoSpaceDE/>
        <w:autoSpaceDN/>
        <w:bidi w:val="0"/>
        <w:snapToGrid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（2）出现影响采购公正的违法、违规行为的；</w:t>
      </w:r>
    </w:p>
    <w:p w14:paraId="64C78621">
      <w:pPr>
        <w:pStyle w:val="20"/>
        <w:keepNext w:val="0"/>
        <w:keepLines w:val="0"/>
        <w:pageBreakBefore w:val="0"/>
        <w:widowControl w:val="0"/>
        <w:kinsoku/>
        <w:wordWrap/>
        <w:overflowPunct/>
        <w:topLinePunct w:val="0"/>
        <w:autoSpaceDE/>
        <w:autoSpaceDN/>
        <w:bidi w:val="0"/>
        <w:snapToGrid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（3）投标人的报价均超过了采购预算，采购人不能支付的；</w:t>
      </w:r>
    </w:p>
    <w:p w14:paraId="0A1CE542">
      <w:pPr>
        <w:pStyle w:val="20"/>
        <w:keepNext w:val="0"/>
        <w:keepLines w:val="0"/>
        <w:pageBreakBefore w:val="0"/>
        <w:widowControl w:val="0"/>
        <w:kinsoku/>
        <w:wordWrap/>
        <w:overflowPunct/>
        <w:topLinePunct w:val="0"/>
        <w:autoSpaceDE/>
        <w:autoSpaceDN/>
        <w:bidi w:val="0"/>
        <w:snapToGrid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（4）因重大变故，采购任务取消的。</w:t>
      </w:r>
    </w:p>
    <w:p w14:paraId="113B143E">
      <w:pPr>
        <w:pStyle w:val="20"/>
        <w:keepNext w:val="0"/>
        <w:keepLines w:val="0"/>
        <w:pageBreakBefore w:val="0"/>
        <w:widowControl w:val="0"/>
        <w:kinsoku/>
        <w:wordWrap/>
        <w:overflowPunct/>
        <w:topLinePunct w:val="0"/>
        <w:autoSpaceDE/>
        <w:autoSpaceDN/>
        <w:bidi w:val="0"/>
        <w:snapToGrid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废标后，采购人应当将废标理由通知所有投标人。</w:t>
      </w:r>
    </w:p>
    <w:p w14:paraId="67F20CFC">
      <w:pPr>
        <w:pStyle w:val="20"/>
        <w:keepNext w:val="0"/>
        <w:keepLines w:val="0"/>
        <w:pageBreakBefore w:val="0"/>
        <w:widowControl w:val="0"/>
        <w:kinsoku/>
        <w:wordWrap/>
        <w:overflowPunct/>
        <w:topLinePunct w:val="0"/>
        <w:autoSpaceDE/>
        <w:autoSpaceDN/>
        <w:bidi w:val="0"/>
        <w:snapToGrid w:val="0"/>
        <w:spacing w:line="400" w:lineRule="exact"/>
        <w:textAlignment w:val="auto"/>
        <w:rPr>
          <w:rFonts w:hint="eastAsia" w:hAnsi="宋体" w:cs="宋体"/>
          <w:color w:val="auto"/>
          <w:highlight w:val="none"/>
        </w:rPr>
      </w:pPr>
    </w:p>
    <w:p w14:paraId="2E04A4A7">
      <w:pPr>
        <w:pStyle w:val="2"/>
        <w:keepNext w:val="0"/>
        <w:keepLines w:val="0"/>
        <w:pageBreakBefore w:val="0"/>
        <w:widowControl w:val="0"/>
        <w:kinsoku/>
        <w:wordWrap/>
        <w:overflowPunct/>
        <w:topLinePunct w:val="0"/>
        <w:autoSpaceDE/>
        <w:autoSpaceDN/>
        <w:bidi w:val="0"/>
        <w:spacing w:line="400" w:lineRule="exact"/>
        <w:jc w:val="center"/>
        <w:textAlignment w:val="auto"/>
        <w:rPr>
          <w:rFonts w:hint="eastAsia" w:ascii="宋体" w:hAnsi="宋体" w:cs="宋体"/>
          <w:color w:val="auto"/>
          <w:highlight w:val="none"/>
        </w:rPr>
      </w:pPr>
      <w:bookmarkStart w:id="152" w:name="_Toc254970546"/>
      <w:bookmarkStart w:id="153" w:name="_Toc254970687"/>
      <w:bookmarkStart w:id="154" w:name="_Toc3006"/>
      <w:bookmarkStart w:id="155" w:name="_Toc12517"/>
      <w:r>
        <w:rPr>
          <w:rFonts w:hint="eastAsia" w:ascii="宋体" w:hAnsi="宋体" w:cs="宋体"/>
          <w:color w:val="auto"/>
          <w:highlight w:val="none"/>
        </w:rPr>
        <w:t>七、</w:t>
      </w:r>
      <w:bookmarkEnd w:id="152"/>
      <w:bookmarkEnd w:id="153"/>
      <w:r>
        <w:rPr>
          <w:rFonts w:hint="eastAsia" w:ascii="宋体" w:hAnsi="宋体" w:cs="宋体"/>
          <w:color w:val="auto"/>
          <w:highlight w:val="none"/>
        </w:rPr>
        <w:t>中标和合同</w:t>
      </w:r>
      <w:bookmarkEnd w:id="154"/>
      <w:bookmarkEnd w:id="155"/>
    </w:p>
    <w:p w14:paraId="04CEED3E">
      <w:pPr>
        <w:keepNext w:val="0"/>
        <w:keepLines w:val="0"/>
        <w:pageBreakBefore w:val="0"/>
        <w:widowControl w:val="0"/>
        <w:kinsoku/>
        <w:wordWrap/>
        <w:overflowPunct/>
        <w:topLinePunct w:val="0"/>
        <w:autoSpaceDE/>
        <w:autoSpaceDN/>
        <w:bidi w:val="0"/>
        <w:spacing w:line="400" w:lineRule="exact"/>
        <w:ind w:firstLine="482" w:firstLineChars="200"/>
        <w:textAlignment w:val="auto"/>
        <w:rPr>
          <w:rFonts w:hint="eastAsia" w:ascii="宋体" w:hAnsi="宋体" w:cs="宋体"/>
          <w:b/>
          <w:color w:val="auto"/>
          <w:sz w:val="24"/>
          <w:highlight w:val="none"/>
        </w:rPr>
      </w:pPr>
      <w:r>
        <w:rPr>
          <w:rFonts w:hint="eastAsia" w:ascii="宋体" w:hAnsi="宋体" w:cs="宋体"/>
          <w:b/>
          <w:color w:val="auto"/>
          <w:sz w:val="24"/>
          <w:highlight w:val="none"/>
        </w:rPr>
        <w:t>30 确定中标人</w:t>
      </w:r>
    </w:p>
    <w:p w14:paraId="43BEE2E7">
      <w:pPr>
        <w:pStyle w:val="20"/>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30.1采购代理机构在评标结束之日起2个工作日内将评标报告送采购人，采购人在收到评标报告之日起5个工作日内，在评标报告确定的中标候选人名单中按顺序确定中标人。中标候选人并列的，按照“投标人须知前附表”规定的方式确定中标人。采购人也可以事先授权评标委员会直接确定中标人。</w:t>
      </w:r>
    </w:p>
    <w:p w14:paraId="20275E0F">
      <w:pPr>
        <w:pStyle w:val="20"/>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30.2采购人在收到评标报告5个工作日内未按评标报告推荐的中标候选人顺序确定中标人，又不能说明合法理由的，视同按评标报告推荐的顺序确定排名第一的中标候选人为中标人。</w:t>
      </w:r>
    </w:p>
    <w:p w14:paraId="60109D48">
      <w:pPr>
        <w:keepNext w:val="0"/>
        <w:keepLines w:val="0"/>
        <w:pageBreakBefore w:val="0"/>
        <w:widowControl w:val="0"/>
        <w:kinsoku/>
        <w:wordWrap/>
        <w:overflowPunct/>
        <w:topLinePunct w:val="0"/>
        <w:autoSpaceDE/>
        <w:autoSpaceDN/>
        <w:bidi w:val="0"/>
        <w:spacing w:line="400" w:lineRule="exact"/>
        <w:ind w:firstLine="482" w:firstLineChars="200"/>
        <w:textAlignment w:val="auto"/>
        <w:rPr>
          <w:rFonts w:hint="eastAsia" w:ascii="宋体" w:hAnsi="宋体" w:cs="宋体"/>
          <w:b/>
          <w:color w:val="auto"/>
          <w:sz w:val="24"/>
          <w:highlight w:val="none"/>
        </w:rPr>
      </w:pPr>
      <w:r>
        <w:rPr>
          <w:rFonts w:hint="eastAsia" w:ascii="宋体" w:hAnsi="宋体" w:cs="宋体"/>
          <w:b/>
          <w:color w:val="auto"/>
          <w:sz w:val="24"/>
          <w:highlight w:val="none"/>
        </w:rPr>
        <w:t>31.结果公告</w:t>
      </w:r>
    </w:p>
    <w:p w14:paraId="7F7778CD">
      <w:pPr>
        <w:pStyle w:val="20"/>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31.1采购人或者采购代理机构应当自中标人确定之日起2个工作日内，在省级以上财政部门指定的媒体上公告中标结果，招标文件应当随中标结果同时公告。采购人或者采购代理发出中标通知书前，应当对中标人信用进行查询，对列入失信被执行人、重大税收违法失信主体、政府采购严重违法失信行为记录名单及其他不符合《中华人民共和国政府采购法》第二十二条规定条件的投标人，取消其中标资格，并确定排名第二的中标候选人为中标人。排名第二的中标候选人因前款规定的同样原因被取消中标资格的，采购人可以确定排名第三的中标候选人为中标人，以此类推。</w:t>
      </w:r>
    </w:p>
    <w:p w14:paraId="5FD819CC">
      <w:pPr>
        <w:pStyle w:val="20"/>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以上信息查询记录及相关证据与招标文件一并保存。</w:t>
      </w:r>
    </w:p>
    <w:p w14:paraId="45FCDA71">
      <w:pPr>
        <w:pStyle w:val="20"/>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31.2中标供应商享受《政府采购促进中小企业发展管理办法》（财库〔2020〕46号）规定的中小企业扶持政策的，采购人、采购代理机构应当随中标结果公开中标供应商的《中小企业声明函》。</w:t>
      </w:r>
    </w:p>
    <w:p w14:paraId="7112F765">
      <w:pPr>
        <w:keepNext w:val="0"/>
        <w:keepLines w:val="0"/>
        <w:pageBreakBefore w:val="0"/>
        <w:widowControl w:val="0"/>
        <w:kinsoku/>
        <w:wordWrap/>
        <w:overflowPunct/>
        <w:topLinePunct w:val="0"/>
        <w:autoSpaceDE/>
        <w:autoSpaceDN/>
        <w:bidi w:val="0"/>
        <w:spacing w:line="400" w:lineRule="exact"/>
        <w:ind w:firstLine="482" w:firstLineChars="200"/>
        <w:textAlignment w:val="auto"/>
        <w:rPr>
          <w:rFonts w:hint="eastAsia" w:ascii="宋体" w:hAnsi="宋体" w:cs="宋体"/>
          <w:b/>
          <w:color w:val="auto"/>
          <w:sz w:val="24"/>
          <w:highlight w:val="none"/>
        </w:rPr>
      </w:pPr>
      <w:r>
        <w:rPr>
          <w:rFonts w:hint="eastAsia" w:ascii="宋体" w:hAnsi="宋体" w:cs="宋体"/>
          <w:b/>
          <w:color w:val="auto"/>
          <w:sz w:val="24"/>
          <w:highlight w:val="none"/>
        </w:rPr>
        <w:t>32.发出中标通知书</w:t>
      </w:r>
    </w:p>
    <w:p w14:paraId="606D08C4">
      <w:pPr>
        <w:pStyle w:val="20"/>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在发布中标公告的同时，采购代理机构向中标人通过广西政府采购云平台发出电子中标通知书。对未通过资格审查的投标人，应当告知其未通过的原因；采用综合评分办法评审的，还应当告知未中标人本人的评审得分与排序。</w:t>
      </w:r>
    </w:p>
    <w:p w14:paraId="10CE48AD">
      <w:pPr>
        <w:keepNext w:val="0"/>
        <w:keepLines w:val="0"/>
        <w:pageBreakBefore w:val="0"/>
        <w:widowControl w:val="0"/>
        <w:kinsoku/>
        <w:wordWrap/>
        <w:overflowPunct/>
        <w:topLinePunct w:val="0"/>
        <w:autoSpaceDE/>
        <w:autoSpaceDN/>
        <w:bidi w:val="0"/>
        <w:spacing w:line="400" w:lineRule="exact"/>
        <w:ind w:firstLine="482" w:firstLineChars="200"/>
        <w:textAlignment w:val="auto"/>
        <w:rPr>
          <w:rFonts w:hint="eastAsia" w:ascii="宋体" w:hAnsi="宋体" w:cs="宋体"/>
          <w:b/>
          <w:color w:val="auto"/>
          <w:sz w:val="24"/>
          <w:highlight w:val="none"/>
        </w:rPr>
      </w:pPr>
      <w:r>
        <w:rPr>
          <w:rFonts w:hint="eastAsia" w:ascii="宋体" w:hAnsi="宋体" w:cs="宋体"/>
          <w:b/>
          <w:color w:val="auto"/>
          <w:sz w:val="24"/>
          <w:highlight w:val="none"/>
        </w:rPr>
        <w:t>33.无义务解释未中标原因</w:t>
      </w:r>
    </w:p>
    <w:p w14:paraId="15DC4339">
      <w:pPr>
        <w:pStyle w:val="20"/>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采购代理机构无义务向未中标的投标人解释未中标原因。</w:t>
      </w:r>
    </w:p>
    <w:p w14:paraId="67F9E558">
      <w:pPr>
        <w:keepNext w:val="0"/>
        <w:keepLines w:val="0"/>
        <w:pageBreakBefore w:val="0"/>
        <w:widowControl w:val="0"/>
        <w:kinsoku/>
        <w:wordWrap/>
        <w:overflowPunct/>
        <w:topLinePunct w:val="0"/>
        <w:autoSpaceDE/>
        <w:autoSpaceDN/>
        <w:bidi w:val="0"/>
        <w:spacing w:line="400" w:lineRule="exact"/>
        <w:ind w:firstLine="482" w:firstLineChars="200"/>
        <w:textAlignment w:val="auto"/>
        <w:rPr>
          <w:rFonts w:hint="eastAsia" w:ascii="宋体" w:hAnsi="宋体" w:cs="宋体"/>
          <w:b/>
          <w:color w:val="auto"/>
          <w:sz w:val="24"/>
          <w:highlight w:val="none"/>
        </w:rPr>
      </w:pPr>
      <w:r>
        <w:rPr>
          <w:rFonts w:hint="eastAsia" w:ascii="宋体" w:hAnsi="宋体" w:cs="宋体"/>
          <w:b/>
          <w:color w:val="auto"/>
          <w:sz w:val="24"/>
          <w:highlight w:val="none"/>
        </w:rPr>
        <w:t>34.合同授予标准</w:t>
      </w:r>
    </w:p>
    <w:p w14:paraId="27C735D4">
      <w:pPr>
        <w:keepNext w:val="0"/>
        <w:keepLines w:val="0"/>
        <w:pageBreakBefore w:val="0"/>
        <w:widowControl w:val="0"/>
        <w:kinsoku/>
        <w:wordWrap/>
        <w:overflowPunct/>
        <w:topLinePunct w:val="0"/>
        <w:autoSpaceDE/>
        <w:autoSpaceDN/>
        <w:bidi w:val="0"/>
        <w:snapToGrid w:val="0"/>
        <w:spacing w:line="40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合同将授予被确定实质上响应招标文件要求，具备履行合同能力的中标人。</w:t>
      </w:r>
    </w:p>
    <w:p w14:paraId="17D3F211">
      <w:pPr>
        <w:keepNext w:val="0"/>
        <w:keepLines w:val="0"/>
        <w:pageBreakBefore w:val="0"/>
        <w:widowControl w:val="0"/>
        <w:kinsoku/>
        <w:wordWrap/>
        <w:overflowPunct/>
        <w:topLinePunct w:val="0"/>
        <w:autoSpaceDE/>
        <w:autoSpaceDN/>
        <w:bidi w:val="0"/>
        <w:spacing w:line="400" w:lineRule="exact"/>
        <w:ind w:firstLine="482" w:firstLineChars="200"/>
        <w:textAlignment w:val="auto"/>
        <w:rPr>
          <w:rFonts w:hint="eastAsia" w:ascii="宋体" w:hAnsi="宋体" w:cs="宋体"/>
          <w:b/>
          <w:color w:val="auto"/>
          <w:sz w:val="24"/>
          <w:highlight w:val="none"/>
        </w:rPr>
      </w:pPr>
      <w:r>
        <w:rPr>
          <w:rFonts w:hint="eastAsia" w:ascii="宋体" w:hAnsi="宋体" w:cs="宋体"/>
          <w:b/>
          <w:color w:val="auto"/>
          <w:sz w:val="24"/>
          <w:highlight w:val="none"/>
        </w:rPr>
        <w:t>35.履约保证金</w:t>
      </w:r>
    </w:p>
    <w:p w14:paraId="68BF4474">
      <w:pPr>
        <w:pStyle w:val="20"/>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hAnsi="宋体" w:cs="宋体"/>
          <w:color w:val="auto"/>
          <w:highlight w:val="none"/>
        </w:rPr>
      </w:pPr>
      <w:bookmarkStart w:id="156" w:name="_39.1中标人须于签订合同前按本须知前附表规定的金额转账或电汇到指定账"/>
      <w:bookmarkEnd w:id="156"/>
      <w:r>
        <w:rPr>
          <w:rFonts w:hint="eastAsia" w:hAnsi="宋体" w:cs="宋体"/>
          <w:color w:val="auto"/>
          <w:highlight w:val="none"/>
        </w:rPr>
        <w:t>35.1 履约保证金的金额、提交方式、缴纳期限、退付的时间和条件详见 “投标人须知前附表”中标人未按规定提交履约保证金的，视为拒绝与采购人签订合同。</w:t>
      </w:r>
    </w:p>
    <w:p w14:paraId="755A101E">
      <w:pPr>
        <w:pStyle w:val="20"/>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35.2在履约保证金退还日期前，若中标人的开户名称、开户银行、账号有变动的，请以书面形式通知履约保证金收取单位，否则由此产生的后果由中标人自行承担。</w:t>
      </w:r>
    </w:p>
    <w:p w14:paraId="41E0A2A0">
      <w:pPr>
        <w:keepNext w:val="0"/>
        <w:keepLines w:val="0"/>
        <w:pageBreakBefore w:val="0"/>
        <w:widowControl w:val="0"/>
        <w:kinsoku/>
        <w:wordWrap/>
        <w:overflowPunct/>
        <w:topLinePunct w:val="0"/>
        <w:autoSpaceDE/>
        <w:autoSpaceDN/>
        <w:bidi w:val="0"/>
        <w:spacing w:line="400" w:lineRule="exact"/>
        <w:ind w:firstLine="482" w:firstLineChars="200"/>
        <w:textAlignment w:val="auto"/>
        <w:rPr>
          <w:rFonts w:hint="eastAsia" w:ascii="宋体" w:hAnsi="宋体" w:cs="宋体"/>
          <w:b/>
          <w:color w:val="auto"/>
          <w:sz w:val="24"/>
          <w:highlight w:val="none"/>
        </w:rPr>
      </w:pPr>
      <w:r>
        <w:rPr>
          <w:rFonts w:hint="eastAsia" w:ascii="宋体" w:hAnsi="宋体" w:cs="宋体"/>
          <w:b/>
          <w:color w:val="auto"/>
          <w:sz w:val="24"/>
          <w:highlight w:val="none"/>
        </w:rPr>
        <w:t>36.签订合同</w:t>
      </w:r>
    </w:p>
    <w:p w14:paraId="1EC446AB">
      <w:pPr>
        <w:pStyle w:val="20"/>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hAnsi="宋体" w:cs="宋体"/>
          <w:color w:val="auto"/>
          <w:highlight w:val="none"/>
        </w:rPr>
      </w:pPr>
      <w:bookmarkStart w:id="157" w:name="_40.1投标人接到中标通知书后，按须知前附表规定向采购人出示相关资格证"/>
      <w:bookmarkEnd w:id="157"/>
      <w:r>
        <w:rPr>
          <w:rFonts w:hint="eastAsia" w:hAnsi="宋体" w:cs="宋体"/>
          <w:color w:val="auto"/>
          <w:highlight w:val="none"/>
        </w:rPr>
        <w:t>36.1签订电子采购合同：中标人领取电子中标通知书后，在规定的日期、时间、地点，由法定代表人或其授权代表与采购人代表签订电子采购合同。如中标人为联合体的，由联合体成员各方法定代表人或其授权代表与采购人代表签订合同。</w:t>
      </w:r>
    </w:p>
    <w:p w14:paraId="53DE9C34">
      <w:pPr>
        <w:pStyle w:val="20"/>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线下签订纸质合同：投标人领取中标通知书后，按“投标人须知前附表”规定向采购人出示相关证明材料，经采购人核验合格后方可签订合同。</w:t>
      </w:r>
    </w:p>
    <w:p w14:paraId="4CB0AFA8">
      <w:pPr>
        <w:pStyle w:val="20"/>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36.2签订合同时间：按中标通知书规定的时间与采购人签订合同。</w:t>
      </w:r>
    </w:p>
    <w:p w14:paraId="11907598">
      <w:pPr>
        <w:pStyle w:val="20"/>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36.3中标人拒绝签订政府采购合同（包括但不限于放弃中标、因不可抗力不能履行合同而放弃签订合同），采购人可以按照评审报告推荐的中标候选人名单排序，确定下一候选人为中标供应商，也可以重新开展政府采购活动。如采购人无正当理由拒签合同的，给中标供应商造成损失的，中标供应商可追究采购人承担相应的法律责任。</w:t>
      </w:r>
    </w:p>
    <w:p w14:paraId="28C97863">
      <w:pPr>
        <w:pStyle w:val="20"/>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36.4政府采购合同是政府采购项目验收的依据，中标供应商和采购人应当按照采购合同约定的各自的权利和义务全面履行合同。任何一方当事人在履行合同过程中均不得擅自变更、中止或终止合同。政府采购合同继续履行将损害国家利益和社会公共利益的，双方当事人应当变更、中止或终止合同。有过错的一方应当承担赔偿责任，双方都有过错的，各自承担相应的责任。</w:t>
      </w:r>
    </w:p>
    <w:p w14:paraId="57648504">
      <w:pPr>
        <w:pStyle w:val="20"/>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36.5采购人或中标供应商不得单方面向合同另一方提出任何招标文件没有约定的条件或不合理的要求，作为签订合同的条件；也不得协商另行订立背离招标文件和合同实质性内容的协议。</w:t>
      </w:r>
    </w:p>
    <w:p w14:paraId="7FD6C470">
      <w:pPr>
        <w:pStyle w:val="20"/>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36.6如签订合同并生效后，供应商无故拒绝或延期，除按照合同条款处理外，将承担相应的法律责任。</w:t>
      </w:r>
    </w:p>
    <w:p w14:paraId="74CA00A7">
      <w:pPr>
        <w:keepNext w:val="0"/>
        <w:keepLines w:val="0"/>
        <w:pageBreakBefore w:val="0"/>
        <w:widowControl w:val="0"/>
        <w:kinsoku/>
        <w:wordWrap/>
        <w:overflowPunct/>
        <w:topLinePunct w:val="0"/>
        <w:autoSpaceDE/>
        <w:autoSpaceDN/>
        <w:bidi w:val="0"/>
        <w:spacing w:line="400" w:lineRule="exact"/>
        <w:ind w:firstLine="482" w:firstLineChars="200"/>
        <w:textAlignment w:val="auto"/>
        <w:rPr>
          <w:rFonts w:hint="eastAsia" w:ascii="宋体" w:hAnsi="宋体" w:cs="宋体"/>
          <w:b/>
          <w:color w:val="auto"/>
          <w:sz w:val="24"/>
          <w:highlight w:val="none"/>
        </w:rPr>
      </w:pPr>
      <w:bookmarkStart w:id="158" w:name="_41.政府采购合同公告"/>
      <w:bookmarkEnd w:id="158"/>
      <w:r>
        <w:rPr>
          <w:rFonts w:hint="eastAsia" w:ascii="宋体" w:hAnsi="宋体" w:cs="宋体"/>
          <w:b/>
          <w:color w:val="auto"/>
          <w:sz w:val="24"/>
          <w:highlight w:val="none"/>
        </w:rPr>
        <w:t>37.政府采购合同公告</w:t>
      </w:r>
    </w:p>
    <w:p w14:paraId="10C84D1D">
      <w:pPr>
        <w:pStyle w:val="20"/>
        <w:keepNext w:val="0"/>
        <w:keepLines w:val="0"/>
        <w:pageBreakBefore w:val="0"/>
        <w:widowControl w:val="0"/>
        <w:kinsoku/>
        <w:wordWrap/>
        <w:overflowPunct/>
        <w:topLinePunct w:val="0"/>
        <w:autoSpaceDE/>
        <w:autoSpaceDN/>
        <w:bidi w:val="0"/>
        <w:snapToGrid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采购人或者受托采购代理机构应当自政府采购合同签订之日起2个工作日内，将政府采购合同在省级以上人民政府财政部门指定的媒体上公告，但政府采购合同中涉及国家秘密、商业秘密的内容除外。</w:t>
      </w:r>
    </w:p>
    <w:p w14:paraId="50AC8B42">
      <w:pPr>
        <w:keepNext w:val="0"/>
        <w:keepLines w:val="0"/>
        <w:pageBreakBefore w:val="0"/>
        <w:widowControl w:val="0"/>
        <w:kinsoku/>
        <w:wordWrap/>
        <w:overflowPunct/>
        <w:topLinePunct w:val="0"/>
        <w:autoSpaceDE/>
        <w:autoSpaceDN/>
        <w:bidi w:val="0"/>
        <w:spacing w:line="400" w:lineRule="exact"/>
        <w:ind w:firstLine="482" w:firstLineChars="200"/>
        <w:textAlignment w:val="auto"/>
        <w:rPr>
          <w:rFonts w:hint="eastAsia" w:ascii="宋体" w:hAnsi="宋体" w:cs="宋体"/>
          <w:b/>
          <w:color w:val="auto"/>
          <w:sz w:val="24"/>
          <w:highlight w:val="none"/>
        </w:rPr>
      </w:pPr>
      <w:r>
        <w:rPr>
          <w:rFonts w:hint="eastAsia" w:ascii="宋体" w:hAnsi="宋体" w:cs="宋体"/>
          <w:b/>
          <w:color w:val="auto"/>
          <w:sz w:val="24"/>
          <w:highlight w:val="none"/>
        </w:rPr>
        <w:t>38.询问、质疑和投诉</w:t>
      </w:r>
    </w:p>
    <w:p w14:paraId="359ED321">
      <w:pPr>
        <w:pStyle w:val="9"/>
        <w:keepNext w:val="0"/>
        <w:keepLines w:val="0"/>
        <w:pageBreakBefore w:val="0"/>
        <w:widowControl w:val="0"/>
        <w:kinsoku/>
        <w:wordWrap/>
        <w:overflowPunct/>
        <w:topLinePunct w:val="0"/>
        <w:autoSpaceDE/>
        <w:autoSpaceDN/>
        <w:bidi w:val="0"/>
        <w:spacing w:line="400" w:lineRule="exact"/>
        <w:textAlignment w:val="auto"/>
        <w:rPr>
          <w:rFonts w:hint="eastAsia" w:ascii="宋体" w:hAnsi="宋体" w:cs="宋体"/>
          <w:color w:val="auto"/>
          <w:szCs w:val="21"/>
          <w:highlight w:val="none"/>
        </w:rPr>
      </w:pPr>
      <w:r>
        <w:rPr>
          <w:rFonts w:hint="eastAsia" w:ascii="宋体" w:hAnsi="宋体" w:cs="宋体"/>
          <w:color w:val="auto"/>
          <w:szCs w:val="21"/>
          <w:highlight w:val="none"/>
        </w:rPr>
        <w:t>38.1供应商对政府采购活动事项有疑问的，可以向采购人提出询问，采购人或者采购代理机构应当在3个工作日内对供应商依法提出的询问作出答复，但答复的内容不得涉及商业秘密。</w:t>
      </w:r>
    </w:p>
    <w:p w14:paraId="209CCA51">
      <w:pPr>
        <w:pStyle w:val="20"/>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38.2供应商认为招标文件、采购过程或者中标结果使自己的合法权益受到损害的，必须在知道或者应知其权益受到损害之日起7个工作日内，以书面形式向采购人、采购代理机构提出质疑。采购人、采购代理机构接收质疑函的方式、联系部门、联系电话和通讯地址等信息详见“投标人须知前附表”。具体质疑起算时间如下：</w:t>
      </w:r>
    </w:p>
    <w:p w14:paraId="58E07680">
      <w:pPr>
        <w:pStyle w:val="20"/>
        <w:keepNext w:val="0"/>
        <w:keepLines w:val="0"/>
        <w:pageBreakBefore w:val="0"/>
        <w:widowControl w:val="0"/>
        <w:kinsoku/>
        <w:wordWrap/>
        <w:overflowPunct/>
        <w:topLinePunct w:val="0"/>
        <w:autoSpaceDE/>
        <w:autoSpaceDN/>
        <w:bidi w:val="0"/>
        <w:snapToGrid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（1）对可以质疑的招标文件提出质疑的，为收到招标文件之日或者招标文件公告期限届满之日；</w:t>
      </w:r>
    </w:p>
    <w:p w14:paraId="2D87E620">
      <w:pPr>
        <w:pStyle w:val="20"/>
        <w:keepNext w:val="0"/>
        <w:keepLines w:val="0"/>
        <w:pageBreakBefore w:val="0"/>
        <w:widowControl w:val="0"/>
        <w:kinsoku/>
        <w:wordWrap/>
        <w:overflowPunct/>
        <w:topLinePunct w:val="0"/>
        <w:autoSpaceDE/>
        <w:autoSpaceDN/>
        <w:bidi w:val="0"/>
        <w:snapToGrid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（2）对采购过程提出质疑的，为各采购程序环节结束之日；</w:t>
      </w:r>
    </w:p>
    <w:p w14:paraId="25C34DB6">
      <w:pPr>
        <w:pStyle w:val="20"/>
        <w:keepNext w:val="0"/>
        <w:keepLines w:val="0"/>
        <w:pageBreakBefore w:val="0"/>
        <w:widowControl w:val="0"/>
        <w:kinsoku/>
        <w:wordWrap/>
        <w:overflowPunct/>
        <w:topLinePunct w:val="0"/>
        <w:autoSpaceDE/>
        <w:autoSpaceDN/>
        <w:bidi w:val="0"/>
        <w:snapToGrid w:val="0"/>
        <w:spacing w:line="400" w:lineRule="exact"/>
        <w:ind w:firstLine="420" w:firstLineChars="200"/>
        <w:textAlignment w:val="auto"/>
        <w:rPr>
          <w:rFonts w:hint="eastAsia" w:hAnsi="宋体" w:cs="宋体"/>
          <w:bCs/>
          <w:color w:val="auto"/>
          <w:highlight w:val="none"/>
        </w:rPr>
      </w:pPr>
      <w:r>
        <w:rPr>
          <w:rFonts w:hint="eastAsia" w:hAnsi="宋体" w:cs="宋体"/>
          <w:color w:val="auto"/>
          <w:highlight w:val="none"/>
        </w:rPr>
        <w:t>（3）对中标结果提出质疑的，为中标结果公告期限届满之日。</w:t>
      </w:r>
    </w:p>
    <w:p w14:paraId="43E2C03B">
      <w:pPr>
        <w:pStyle w:val="20"/>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hAnsi="宋体" w:cs="宋体"/>
          <w:color w:val="auto"/>
          <w:highlight w:val="none"/>
        </w:rPr>
      </w:pPr>
      <w:bookmarkStart w:id="159" w:name="_9.2质疑、投诉应当采用书面形式，质疑函、投诉书均应明确阐述招标文件、"/>
      <w:bookmarkEnd w:id="159"/>
      <w:r>
        <w:rPr>
          <w:rFonts w:hint="eastAsia" w:hAnsi="宋体" w:cs="宋体"/>
          <w:color w:val="auto"/>
          <w:highlight w:val="none"/>
        </w:rPr>
        <w:t>38.3供应商提出质疑应当提交质疑函和必要的证明材料，针对同一采购程序环节的质疑必须在法定质疑期内一次性提出。质疑函应当包括下列内容（质疑函格式后附）：</w:t>
      </w:r>
    </w:p>
    <w:p w14:paraId="2854068D">
      <w:pPr>
        <w:pStyle w:val="20"/>
        <w:keepNext w:val="0"/>
        <w:keepLines w:val="0"/>
        <w:pageBreakBefore w:val="0"/>
        <w:widowControl w:val="0"/>
        <w:kinsoku/>
        <w:wordWrap/>
        <w:overflowPunct/>
        <w:topLinePunct w:val="0"/>
        <w:autoSpaceDE/>
        <w:autoSpaceDN/>
        <w:bidi w:val="0"/>
        <w:snapToGrid w:val="0"/>
        <w:spacing w:line="400" w:lineRule="exact"/>
        <w:ind w:firstLine="420" w:firstLineChars="200"/>
        <w:textAlignment w:val="auto"/>
        <w:rPr>
          <w:rFonts w:hint="eastAsia" w:hAnsi="宋体" w:cs="宋体"/>
          <w:bCs/>
          <w:color w:val="auto"/>
          <w:highlight w:val="none"/>
        </w:rPr>
      </w:pPr>
      <w:r>
        <w:rPr>
          <w:rFonts w:hint="eastAsia" w:hAnsi="宋体" w:cs="宋体"/>
          <w:bCs/>
          <w:color w:val="auto"/>
          <w:highlight w:val="none"/>
        </w:rPr>
        <w:t>（1）供应商的姓名或者名称、地址、邮编、联系人及联系电话；</w:t>
      </w:r>
    </w:p>
    <w:p w14:paraId="23B6FCDA">
      <w:pPr>
        <w:pStyle w:val="20"/>
        <w:keepNext w:val="0"/>
        <w:keepLines w:val="0"/>
        <w:pageBreakBefore w:val="0"/>
        <w:widowControl w:val="0"/>
        <w:kinsoku/>
        <w:wordWrap/>
        <w:overflowPunct/>
        <w:topLinePunct w:val="0"/>
        <w:autoSpaceDE/>
        <w:autoSpaceDN/>
        <w:bidi w:val="0"/>
        <w:snapToGrid w:val="0"/>
        <w:spacing w:line="400" w:lineRule="exact"/>
        <w:ind w:firstLine="420" w:firstLineChars="200"/>
        <w:textAlignment w:val="auto"/>
        <w:rPr>
          <w:rFonts w:hint="eastAsia" w:hAnsi="宋体" w:cs="宋体"/>
          <w:bCs/>
          <w:color w:val="auto"/>
          <w:highlight w:val="none"/>
        </w:rPr>
      </w:pPr>
      <w:r>
        <w:rPr>
          <w:rFonts w:hint="eastAsia" w:hAnsi="宋体" w:cs="宋体"/>
          <w:bCs/>
          <w:color w:val="auto"/>
          <w:highlight w:val="none"/>
        </w:rPr>
        <w:t>（2）质疑项目的名称、编号；</w:t>
      </w:r>
    </w:p>
    <w:p w14:paraId="167A3680">
      <w:pPr>
        <w:pStyle w:val="20"/>
        <w:keepNext w:val="0"/>
        <w:keepLines w:val="0"/>
        <w:pageBreakBefore w:val="0"/>
        <w:widowControl w:val="0"/>
        <w:kinsoku/>
        <w:wordWrap/>
        <w:overflowPunct/>
        <w:topLinePunct w:val="0"/>
        <w:autoSpaceDE/>
        <w:autoSpaceDN/>
        <w:bidi w:val="0"/>
        <w:snapToGrid w:val="0"/>
        <w:spacing w:line="400" w:lineRule="exact"/>
        <w:ind w:firstLine="420" w:firstLineChars="200"/>
        <w:textAlignment w:val="auto"/>
        <w:rPr>
          <w:rFonts w:hint="eastAsia" w:hAnsi="宋体" w:cs="宋体"/>
          <w:bCs/>
          <w:color w:val="auto"/>
          <w:highlight w:val="none"/>
        </w:rPr>
      </w:pPr>
      <w:r>
        <w:rPr>
          <w:rFonts w:hint="eastAsia" w:hAnsi="宋体" w:cs="宋体"/>
          <w:bCs/>
          <w:color w:val="auto"/>
          <w:highlight w:val="none"/>
        </w:rPr>
        <w:t>（3）具体、明确的质疑事项和与质疑事项相关的请求；</w:t>
      </w:r>
    </w:p>
    <w:p w14:paraId="3D6454EB">
      <w:pPr>
        <w:pStyle w:val="20"/>
        <w:keepNext w:val="0"/>
        <w:keepLines w:val="0"/>
        <w:pageBreakBefore w:val="0"/>
        <w:widowControl w:val="0"/>
        <w:kinsoku/>
        <w:wordWrap/>
        <w:overflowPunct/>
        <w:topLinePunct w:val="0"/>
        <w:autoSpaceDE/>
        <w:autoSpaceDN/>
        <w:bidi w:val="0"/>
        <w:snapToGrid w:val="0"/>
        <w:spacing w:line="400" w:lineRule="exact"/>
        <w:ind w:firstLine="420" w:firstLineChars="200"/>
        <w:textAlignment w:val="auto"/>
        <w:rPr>
          <w:rFonts w:hint="eastAsia" w:hAnsi="宋体" w:cs="宋体"/>
          <w:bCs/>
          <w:color w:val="auto"/>
          <w:highlight w:val="none"/>
        </w:rPr>
      </w:pPr>
      <w:r>
        <w:rPr>
          <w:rFonts w:hint="eastAsia" w:hAnsi="宋体" w:cs="宋体"/>
          <w:bCs/>
          <w:color w:val="auto"/>
          <w:highlight w:val="none"/>
        </w:rPr>
        <w:t>（4）事实依据；</w:t>
      </w:r>
    </w:p>
    <w:p w14:paraId="7BDD2442">
      <w:pPr>
        <w:pStyle w:val="20"/>
        <w:keepNext w:val="0"/>
        <w:keepLines w:val="0"/>
        <w:pageBreakBefore w:val="0"/>
        <w:widowControl w:val="0"/>
        <w:kinsoku/>
        <w:wordWrap/>
        <w:overflowPunct/>
        <w:topLinePunct w:val="0"/>
        <w:autoSpaceDE/>
        <w:autoSpaceDN/>
        <w:bidi w:val="0"/>
        <w:snapToGrid w:val="0"/>
        <w:spacing w:line="400" w:lineRule="exact"/>
        <w:ind w:firstLine="420" w:firstLineChars="200"/>
        <w:textAlignment w:val="auto"/>
        <w:rPr>
          <w:rFonts w:hint="eastAsia" w:hAnsi="宋体" w:cs="宋体"/>
          <w:bCs/>
          <w:color w:val="auto"/>
          <w:highlight w:val="none"/>
        </w:rPr>
      </w:pPr>
      <w:r>
        <w:rPr>
          <w:rFonts w:hint="eastAsia" w:hAnsi="宋体" w:cs="宋体"/>
          <w:bCs/>
          <w:color w:val="auto"/>
          <w:highlight w:val="none"/>
        </w:rPr>
        <w:t>（5）必要的法律依据；</w:t>
      </w:r>
    </w:p>
    <w:p w14:paraId="627880B6">
      <w:pPr>
        <w:pStyle w:val="20"/>
        <w:keepNext w:val="0"/>
        <w:keepLines w:val="0"/>
        <w:pageBreakBefore w:val="0"/>
        <w:widowControl w:val="0"/>
        <w:kinsoku/>
        <w:wordWrap/>
        <w:overflowPunct/>
        <w:topLinePunct w:val="0"/>
        <w:autoSpaceDE/>
        <w:autoSpaceDN/>
        <w:bidi w:val="0"/>
        <w:snapToGrid w:val="0"/>
        <w:spacing w:line="400" w:lineRule="exact"/>
        <w:ind w:firstLine="420" w:firstLineChars="200"/>
        <w:textAlignment w:val="auto"/>
        <w:rPr>
          <w:rFonts w:hint="eastAsia" w:hAnsi="宋体" w:cs="宋体"/>
          <w:bCs/>
          <w:color w:val="auto"/>
          <w:highlight w:val="none"/>
        </w:rPr>
      </w:pPr>
      <w:r>
        <w:rPr>
          <w:rFonts w:hint="eastAsia" w:hAnsi="宋体" w:cs="宋体"/>
          <w:bCs/>
          <w:color w:val="auto"/>
          <w:highlight w:val="none"/>
        </w:rPr>
        <w:t>（6）提出质疑的日期。</w:t>
      </w:r>
    </w:p>
    <w:p w14:paraId="61D6A31A">
      <w:pPr>
        <w:pStyle w:val="20"/>
        <w:keepNext w:val="0"/>
        <w:keepLines w:val="0"/>
        <w:pageBreakBefore w:val="0"/>
        <w:widowControl w:val="0"/>
        <w:kinsoku/>
        <w:wordWrap/>
        <w:overflowPunct/>
        <w:topLinePunct w:val="0"/>
        <w:autoSpaceDE/>
        <w:autoSpaceDN/>
        <w:bidi w:val="0"/>
        <w:snapToGrid w:val="0"/>
        <w:spacing w:line="400" w:lineRule="exact"/>
        <w:ind w:firstLine="420" w:firstLineChars="200"/>
        <w:textAlignment w:val="auto"/>
        <w:rPr>
          <w:rFonts w:hint="eastAsia" w:hAnsi="宋体" w:cs="宋体"/>
          <w:bCs/>
          <w:color w:val="auto"/>
          <w:highlight w:val="none"/>
        </w:rPr>
      </w:pPr>
      <w:r>
        <w:rPr>
          <w:rFonts w:hint="eastAsia" w:hAnsi="宋体" w:cs="宋体"/>
          <w:bCs/>
          <w:color w:val="auto"/>
          <w:highlight w:val="none"/>
        </w:rPr>
        <w:t>供应商为自然人的，应当由本人签字；供应商为法人或者其他组织的，应当由法定代表人、主要负责人，或者其委托代理人签字或者盖章，并加盖公章。</w:t>
      </w:r>
    </w:p>
    <w:p w14:paraId="26B0D15F">
      <w:pPr>
        <w:pStyle w:val="20"/>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38.4采购人、采购代理机构认为供应商质疑不成立，或者成立但未对中标结果构成影响的，继续开展采购活动；认为供应商质疑成立且影响或者可能影响中标结果的，按照下列情况处理：</w:t>
      </w:r>
    </w:p>
    <w:p w14:paraId="4DC4A465">
      <w:pPr>
        <w:pStyle w:val="20"/>
        <w:keepNext w:val="0"/>
        <w:keepLines w:val="0"/>
        <w:pageBreakBefore w:val="0"/>
        <w:widowControl w:val="0"/>
        <w:kinsoku/>
        <w:wordWrap/>
        <w:overflowPunct/>
        <w:topLinePunct w:val="0"/>
        <w:autoSpaceDE/>
        <w:autoSpaceDN/>
        <w:bidi w:val="0"/>
        <w:snapToGrid w:val="0"/>
        <w:spacing w:line="400" w:lineRule="exact"/>
        <w:ind w:firstLine="420" w:firstLineChars="200"/>
        <w:textAlignment w:val="auto"/>
        <w:rPr>
          <w:rFonts w:hint="eastAsia" w:hAnsi="宋体" w:cs="宋体"/>
          <w:bCs/>
          <w:color w:val="auto"/>
          <w:highlight w:val="none"/>
        </w:rPr>
      </w:pPr>
      <w:r>
        <w:rPr>
          <w:rFonts w:hint="eastAsia" w:hAnsi="宋体" w:cs="宋体"/>
          <w:bCs/>
          <w:color w:val="auto"/>
          <w:highlight w:val="none"/>
        </w:rPr>
        <w:t>（一）对招标文件提出的质疑，依法通过澄清或者修改可以继续开展采购活动的，澄清或者修改招标文件后继续开展采购活动；否则应当修改招标文件后重新开展采购活动。</w:t>
      </w:r>
    </w:p>
    <w:p w14:paraId="51CE852B">
      <w:pPr>
        <w:pStyle w:val="20"/>
        <w:keepNext w:val="0"/>
        <w:keepLines w:val="0"/>
        <w:pageBreakBefore w:val="0"/>
        <w:widowControl w:val="0"/>
        <w:kinsoku/>
        <w:wordWrap/>
        <w:overflowPunct/>
        <w:topLinePunct w:val="0"/>
        <w:autoSpaceDE/>
        <w:autoSpaceDN/>
        <w:bidi w:val="0"/>
        <w:snapToGrid w:val="0"/>
        <w:spacing w:line="400" w:lineRule="exact"/>
        <w:ind w:firstLine="420" w:firstLineChars="200"/>
        <w:textAlignment w:val="auto"/>
        <w:rPr>
          <w:rFonts w:hint="eastAsia" w:hAnsi="宋体" w:cs="宋体"/>
          <w:bCs/>
          <w:color w:val="auto"/>
          <w:highlight w:val="none"/>
        </w:rPr>
      </w:pPr>
      <w:r>
        <w:rPr>
          <w:rFonts w:hint="eastAsia" w:hAnsi="宋体" w:cs="宋体"/>
          <w:bCs/>
          <w:color w:val="auto"/>
          <w:highlight w:val="none"/>
        </w:rPr>
        <w:t>（二）对采购过程、中标结果提出的质疑，合格供应商符合法定数量时，可以从合格的中标候选人中另行确定中标供应商的，应当依法另行确定中标供应商；否则应当重新开展采购活动。</w:t>
      </w:r>
    </w:p>
    <w:p w14:paraId="43A79323">
      <w:pPr>
        <w:pStyle w:val="20"/>
        <w:keepNext w:val="0"/>
        <w:keepLines w:val="0"/>
        <w:pageBreakBefore w:val="0"/>
        <w:widowControl w:val="0"/>
        <w:kinsoku/>
        <w:wordWrap/>
        <w:overflowPunct/>
        <w:topLinePunct w:val="0"/>
        <w:autoSpaceDE/>
        <w:autoSpaceDN/>
        <w:bidi w:val="0"/>
        <w:snapToGrid w:val="0"/>
        <w:spacing w:line="400" w:lineRule="exact"/>
        <w:ind w:firstLine="420"/>
        <w:textAlignment w:val="auto"/>
        <w:rPr>
          <w:rFonts w:hint="eastAsia" w:hAnsi="宋体" w:cs="宋体"/>
          <w:bCs/>
          <w:color w:val="auto"/>
          <w:highlight w:val="none"/>
        </w:rPr>
      </w:pPr>
      <w:r>
        <w:rPr>
          <w:rFonts w:hint="eastAsia" w:hAnsi="宋体" w:cs="宋体"/>
          <w:bCs/>
          <w:color w:val="auto"/>
          <w:highlight w:val="none"/>
        </w:rPr>
        <w:t>质疑答复导致中标结果改变的，采购人或者采购代理机构应当将有关情况书面报告本级财政部门。</w:t>
      </w:r>
    </w:p>
    <w:p w14:paraId="09E20E24">
      <w:pPr>
        <w:pStyle w:val="20"/>
        <w:keepNext w:val="0"/>
        <w:keepLines w:val="0"/>
        <w:pageBreakBefore w:val="0"/>
        <w:widowControl w:val="0"/>
        <w:kinsoku/>
        <w:wordWrap/>
        <w:overflowPunct/>
        <w:topLinePunct w:val="0"/>
        <w:autoSpaceDE/>
        <w:autoSpaceDN/>
        <w:bidi w:val="0"/>
        <w:snapToGrid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38.5质疑供应商对采购人、采购代理机构的答复不满意，或者采购人、采购代理机构未在规定时间内作出答复的，可以在答复期满后15个工作日内向《政府采购质疑和投诉办法》（财政部令第94号）第六条规定的财政部门提起投诉（投诉书格式后附）。</w:t>
      </w:r>
    </w:p>
    <w:p w14:paraId="546CFFE0">
      <w:pPr>
        <w:pStyle w:val="2"/>
        <w:keepNext w:val="0"/>
        <w:keepLines w:val="0"/>
        <w:pageBreakBefore w:val="0"/>
        <w:widowControl w:val="0"/>
        <w:kinsoku/>
        <w:wordWrap/>
        <w:overflowPunct/>
        <w:topLinePunct w:val="0"/>
        <w:autoSpaceDE/>
        <w:autoSpaceDN/>
        <w:bidi w:val="0"/>
        <w:spacing w:before="240" w:after="240" w:line="400" w:lineRule="exact"/>
        <w:jc w:val="center"/>
        <w:textAlignment w:val="auto"/>
        <w:rPr>
          <w:rFonts w:hint="eastAsia" w:ascii="宋体" w:hAnsi="宋体" w:cs="宋体"/>
          <w:color w:val="auto"/>
          <w:highlight w:val="none"/>
        </w:rPr>
      </w:pPr>
      <w:bookmarkStart w:id="160" w:name="_八、其他事项"/>
      <w:bookmarkEnd w:id="160"/>
      <w:bookmarkStart w:id="161" w:name="_Toc24956"/>
      <w:bookmarkStart w:id="162" w:name="_Toc17072"/>
      <w:r>
        <w:rPr>
          <w:rFonts w:hint="eastAsia" w:ascii="宋体" w:hAnsi="宋体" w:cs="宋体"/>
          <w:color w:val="auto"/>
          <w:highlight w:val="none"/>
        </w:rPr>
        <w:t>八、其他事项</w:t>
      </w:r>
      <w:bookmarkEnd w:id="161"/>
      <w:bookmarkEnd w:id="162"/>
    </w:p>
    <w:p w14:paraId="66F19A69">
      <w:pPr>
        <w:keepNext w:val="0"/>
        <w:keepLines w:val="0"/>
        <w:pageBreakBefore w:val="0"/>
        <w:widowControl w:val="0"/>
        <w:kinsoku/>
        <w:wordWrap/>
        <w:overflowPunct/>
        <w:topLinePunct w:val="0"/>
        <w:autoSpaceDE/>
        <w:autoSpaceDN/>
        <w:bidi w:val="0"/>
        <w:spacing w:line="400" w:lineRule="exact"/>
        <w:ind w:firstLine="482" w:firstLineChars="200"/>
        <w:textAlignment w:val="auto"/>
        <w:rPr>
          <w:rFonts w:hint="eastAsia" w:ascii="宋体" w:hAnsi="宋体" w:cs="宋体"/>
          <w:b/>
          <w:color w:val="auto"/>
          <w:sz w:val="24"/>
          <w:highlight w:val="none"/>
        </w:rPr>
      </w:pPr>
      <w:bookmarkStart w:id="163" w:name="_42.代理服务费"/>
      <w:bookmarkEnd w:id="163"/>
      <w:r>
        <w:rPr>
          <w:rFonts w:hint="eastAsia" w:ascii="宋体" w:hAnsi="宋体" w:cs="宋体"/>
          <w:b/>
          <w:color w:val="auto"/>
          <w:sz w:val="24"/>
          <w:highlight w:val="none"/>
        </w:rPr>
        <w:t>39.代理服务费</w:t>
      </w:r>
    </w:p>
    <w:p w14:paraId="52ABA5F2">
      <w:pPr>
        <w:pStyle w:val="20"/>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39.1代理服务费收取标准参照国家发展计划委员会《招标代理服务费管理暂行办法》（计价格</w:t>
      </w:r>
      <w:r>
        <w:rPr>
          <w:rFonts w:hint="eastAsia" w:hAnsi="宋体" w:cs="宋体"/>
          <w:color w:val="auto"/>
          <w:highlight w:val="none"/>
          <w:lang w:eastAsia="zh-CN"/>
        </w:rPr>
        <w:t>〔2002〕1980号</w:t>
      </w:r>
      <w:r>
        <w:rPr>
          <w:rFonts w:hint="eastAsia" w:hAnsi="宋体" w:cs="宋体"/>
          <w:color w:val="auto"/>
          <w:highlight w:val="none"/>
        </w:rPr>
        <w:t>、《国家发展改革委关于降低部分建设项目收费标准规范收费行为等有关问题的通知》（发改价格</w:t>
      </w:r>
      <w:r>
        <w:rPr>
          <w:rFonts w:hint="eastAsia" w:hAnsi="宋体" w:cs="宋体"/>
          <w:color w:val="auto"/>
          <w:highlight w:val="none"/>
          <w:lang w:eastAsia="zh-CN"/>
        </w:rPr>
        <w:t>〔2011〕534号</w:t>
      </w:r>
      <w:r>
        <w:rPr>
          <w:rFonts w:hint="eastAsia" w:hAnsi="宋体" w:cs="宋体"/>
          <w:color w:val="auto"/>
          <w:highlight w:val="none"/>
        </w:rPr>
        <w:t>）收费标准（服务类）下浮20%向供应商收取，供应商为联合体的，可以由联合体中的一方或者多方共同交纳代理服务费。代理服务费缴费账户详见“投标人须知前附表”。</w:t>
      </w:r>
    </w:p>
    <w:p w14:paraId="2F3BC896">
      <w:pPr>
        <w:pStyle w:val="20"/>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代理服务费收取标准附表：</w:t>
      </w:r>
    </w:p>
    <w:tbl>
      <w:tblPr>
        <w:tblStyle w:val="3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597"/>
        <w:gridCol w:w="1719"/>
        <w:gridCol w:w="1747"/>
        <w:gridCol w:w="1453"/>
      </w:tblGrid>
      <w:tr w14:paraId="45C20A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12" w:type="pct"/>
            <w:tcBorders>
              <w:tl2br w:val="single" w:color="auto" w:sz="4" w:space="0"/>
            </w:tcBorders>
            <w:noWrap w:val="0"/>
            <w:vAlign w:val="center"/>
          </w:tcPr>
          <w:p w14:paraId="69AD7169">
            <w:pPr>
              <w:keepNext w:val="0"/>
              <w:keepLines w:val="0"/>
              <w:pageBreakBefore w:val="0"/>
              <w:widowControl w:val="0"/>
              <w:suppressLineNumbers w:val="0"/>
              <w:kinsoku/>
              <w:wordWrap/>
              <w:overflowPunct/>
              <w:topLinePunct w:val="0"/>
              <w:autoSpaceDE/>
              <w:autoSpaceDN/>
              <w:bidi w:val="0"/>
              <w:spacing w:before="0" w:beforeAutospacing="0" w:after="0" w:afterAutospacing="0" w:line="400" w:lineRule="exact"/>
              <w:ind w:left="0" w:right="0"/>
              <w:jc w:val="center"/>
              <w:textAlignment w:val="auto"/>
              <w:rPr>
                <w:rFonts w:hint="eastAsia" w:ascii="宋体" w:hAnsi="宋体" w:cs="宋体"/>
                <w:color w:val="auto"/>
                <w:szCs w:val="21"/>
                <w:highlight w:val="none"/>
              </w:rPr>
            </w:pPr>
            <w:r>
              <w:rPr>
                <w:rFonts w:hint="eastAsia" w:ascii="宋体" w:hAnsi="宋体" w:cs="宋体"/>
                <w:color w:val="auto"/>
                <w:szCs w:val="21"/>
                <w:highlight w:val="none"/>
              </w:rPr>
              <w:t>费率</w:t>
            </w:r>
          </w:p>
          <w:p w14:paraId="20A09A34">
            <w:pPr>
              <w:keepNext w:val="0"/>
              <w:keepLines w:val="0"/>
              <w:pageBreakBefore w:val="0"/>
              <w:widowControl w:val="0"/>
              <w:suppressLineNumbers w:val="0"/>
              <w:kinsoku/>
              <w:wordWrap/>
              <w:overflowPunct/>
              <w:topLinePunct w:val="0"/>
              <w:autoSpaceDE/>
              <w:autoSpaceDN/>
              <w:bidi w:val="0"/>
              <w:spacing w:before="0" w:beforeAutospacing="0" w:after="0" w:afterAutospacing="0" w:line="400" w:lineRule="exact"/>
              <w:ind w:left="0" w:right="0"/>
              <w:jc w:val="center"/>
              <w:textAlignment w:val="auto"/>
              <w:rPr>
                <w:rFonts w:hint="eastAsia" w:ascii="宋体" w:hAnsi="宋体" w:cs="宋体"/>
                <w:color w:val="auto"/>
                <w:szCs w:val="21"/>
                <w:highlight w:val="none"/>
              </w:rPr>
            </w:pPr>
            <w:r>
              <w:rPr>
                <w:rFonts w:hint="eastAsia" w:ascii="宋体" w:hAnsi="宋体" w:cs="宋体"/>
                <w:color w:val="auto"/>
                <w:szCs w:val="21"/>
                <w:highlight w:val="none"/>
              </w:rPr>
              <w:t>中标金额</w:t>
            </w:r>
          </w:p>
        </w:tc>
        <w:tc>
          <w:tcPr>
            <w:tcW w:w="1009" w:type="pct"/>
            <w:noWrap w:val="0"/>
            <w:vAlign w:val="center"/>
          </w:tcPr>
          <w:p w14:paraId="7B2FF5DA">
            <w:pPr>
              <w:keepNext w:val="0"/>
              <w:keepLines w:val="0"/>
              <w:pageBreakBefore w:val="0"/>
              <w:widowControl w:val="0"/>
              <w:suppressLineNumbers w:val="0"/>
              <w:kinsoku/>
              <w:wordWrap/>
              <w:overflowPunct/>
              <w:topLinePunct w:val="0"/>
              <w:autoSpaceDE/>
              <w:autoSpaceDN/>
              <w:bidi w:val="0"/>
              <w:spacing w:before="0" w:beforeAutospacing="0" w:after="0" w:afterAutospacing="0" w:line="400" w:lineRule="exact"/>
              <w:ind w:left="0" w:right="0" w:firstLine="105" w:firstLineChars="50"/>
              <w:jc w:val="center"/>
              <w:textAlignment w:val="auto"/>
              <w:rPr>
                <w:rFonts w:hint="eastAsia" w:ascii="宋体" w:hAnsi="宋体" w:cs="宋体"/>
                <w:color w:val="auto"/>
                <w:szCs w:val="21"/>
                <w:highlight w:val="none"/>
              </w:rPr>
            </w:pPr>
            <w:r>
              <w:rPr>
                <w:rFonts w:hint="eastAsia" w:ascii="宋体" w:hAnsi="宋体" w:cs="宋体"/>
                <w:color w:val="auto"/>
                <w:szCs w:val="21"/>
                <w:highlight w:val="none"/>
              </w:rPr>
              <w:t>货物招标</w:t>
            </w:r>
          </w:p>
        </w:tc>
        <w:tc>
          <w:tcPr>
            <w:tcW w:w="1026" w:type="pct"/>
            <w:noWrap w:val="0"/>
            <w:vAlign w:val="center"/>
          </w:tcPr>
          <w:p w14:paraId="67F17444">
            <w:pPr>
              <w:keepNext w:val="0"/>
              <w:keepLines w:val="0"/>
              <w:pageBreakBefore w:val="0"/>
              <w:widowControl w:val="0"/>
              <w:suppressLineNumbers w:val="0"/>
              <w:kinsoku/>
              <w:wordWrap/>
              <w:overflowPunct/>
              <w:topLinePunct w:val="0"/>
              <w:autoSpaceDE/>
              <w:autoSpaceDN/>
              <w:bidi w:val="0"/>
              <w:spacing w:before="0" w:beforeAutospacing="0" w:after="0" w:afterAutospacing="0" w:line="400" w:lineRule="exact"/>
              <w:ind w:left="0" w:right="0"/>
              <w:jc w:val="center"/>
              <w:textAlignment w:val="auto"/>
              <w:rPr>
                <w:rFonts w:hint="eastAsia" w:ascii="宋体" w:hAnsi="宋体" w:cs="宋体"/>
                <w:color w:val="auto"/>
                <w:szCs w:val="21"/>
                <w:highlight w:val="none"/>
              </w:rPr>
            </w:pPr>
            <w:r>
              <w:rPr>
                <w:rFonts w:hint="eastAsia" w:ascii="宋体" w:hAnsi="宋体" w:cs="宋体"/>
                <w:color w:val="auto"/>
                <w:szCs w:val="21"/>
                <w:highlight w:val="none"/>
              </w:rPr>
              <w:t>服务招标</w:t>
            </w:r>
          </w:p>
        </w:tc>
        <w:tc>
          <w:tcPr>
            <w:tcW w:w="853" w:type="pct"/>
            <w:noWrap w:val="0"/>
            <w:vAlign w:val="center"/>
          </w:tcPr>
          <w:p w14:paraId="4CD2122A">
            <w:pPr>
              <w:keepNext w:val="0"/>
              <w:keepLines w:val="0"/>
              <w:pageBreakBefore w:val="0"/>
              <w:widowControl w:val="0"/>
              <w:suppressLineNumbers w:val="0"/>
              <w:kinsoku/>
              <w:wordWrap/>
              <w:overflowPunct/>
              <w:topLinePunct w:val="0"/>
              <w:autoSpaceDE/>
              <w:autoSpaceDN/>
              <w:bidi w:val="0"/>
              <w:spacing w:before="0" w:beforeAutospacing="0" w:after="0" w:afterAutospacing="0" w:line="400" w:lineRule="exact"/>
              <w:ind w:left="0" w:right="0"/>
              <w:jc w:val="center"/>
              <w:textAlignment w:val="auto"/>
              <w:rPr>
                <w:rFonts w:hint="eastAsia" w:ascii="宋体" w:hAnsi="宋体" w:cs="宋体"/>
                <w:color w:val="auto"/>
                <w:szCs w:val="21"/>
                <w:highlight w:val="none"/>
              </w:rPr>
            </w:pPr>
            <w:r>
              <w:rPr>
                <w:rFonts w:hint="eastAsia" w:ascii="宋体" w:hAnsi="宋体" w:cs="宋体"/>
                <w:color w:val="auto"/>
                <w:szCs w:val="21"/>
                <w:highlight w:val="none"/>
              </w:rPr>
              <w:t>工程招标</w:t>
            </w:r>
          </w:p>
        </w:tc>
      </w:tr>
      <w:tr w14:paraId="347F8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12" w:type="pct"/>
            <w:noWrap w:val="0"/>
            <w:vAlign w:val="center"/>
          </w:tcPr>
          <w:p w14:paraId="09292F47">
            <w:pPr>
              <w:keepNext w:val="0"/>
              <w:keepLines w:val="0"/>
              <w:pageBreakBefore w:val="0"/>
              <w:widowControl w:val="0"/>
              <w:suppressLineNumbers w:val="0"/>
              <w:kinsoku/>
              <w:wordWrap/>
              <w:overflowPunct/>
              <w:topLinePunct w:val="0"/>
              <w:autoSpaceDE/>
              <w:autoSpaceDN/>
              <w:bidi w:val="0"/>
              <w:spacing w:before="0" w:beforeAutospacing="0" w:after="0" w:afterAutospacing="0" w:line="400" w:lineRule="exact"/>
              <w:ind w:left="0" w:right="0"/>
              <w:jc w:val="center"/>
              <w:textAlignment w:val="auto"/>
              <w:rPr>
                <w:rFonts w:hint="eastAsia" w:ascii="宋体" w:hAnsi="宋体" w:cs="宋体"/>
                <w:color w:val="auto"/>
                <w:szCs w:val="21"/>
                <w:highlight w:val="none"/>
              </w:rPr>
            </w:pPr>
            <w:r>
              <w:rPr>
                <w:rFonts w:hint="eastAsia" w:ascii="宋体" w:hAnsi="宋体" w:cs="宋体"/>
                <w:color w:val="auto"/>
                <w:szCs w:val="21"/>
                <w:highlight w:val="none"/>
              </w:rPr>
              <w:t>100万元以下</w:t>
            </w:r>
          </w:p>
        </w:tc>
        <w:tc>
          <w:tcPr>
            <w:tcW w:w="1009" w:type="pct"/>
            <w:noWrap w:val="0"/>
            <w:vAlign w:val="center"/>
          </w:tcPr>
          <w:p w14:paraId="13B3D93E">
            <w:pPr>
              <w:keepNext w:val="0"/>
              <w:keepLines w:val="0"/>
              <w:pageBreakBefore w:val="0"/>
              <w:widowControl w:val="0"/>
              <w:suppressLineNumbers w:val="0"/>
              <w:kinsoku/>
              <w:wordWrap/>
              <w:overflowPunct/>
              <w:topLinePunct w:val="0"/>
              <w:autoSpaceDE/>
              <w:autoSpaceDN/>
              <w:bidi w:val="0"/>
              <w:spacing w:before="0" w:beforeAutospacing="0" w:after="0" w:afterAutospacing="0" w:line="400" w:lineRule="exact"/>
              <w:ind w:left="0" w:right="0"/>
              <w:jc w:val="center"/>
              <w:textAlignment w:val="auto"/>
              <w:rPr>
                <w:rFonts w:hint="eastAsia" w:ascii="宋体" w:hAnsi="宋体" w:cs="宋体"/>
                <w:color w:val="auto"/>
                <w:szCs w:val="21"/>
                <w:highlight w:val="none"/>
              </w:rPr>
            </w:pPr>
            <w:r>
              <w:rPr>
                <w:rFonts w:hint="eastAsia" w:ascii="宋体" w:hAnsi="宋体" w:cs="宋体"/>
                <w:color w:val="auto"/>
                <w:kern w:val="0"/>
                <w:szCs w:val="21"/>
                <w:highlight w:val="none"/>
              </w:rPr>
              <w:t>1.5%</w:t>
            </w:r>
          </w:p>
        </w:tc>
        <w:tc>
          <w:tcPr>
            <w:tcW w:w="1026" w:type="pct"/>
            <w:noWrap w:val="0"/>
            <w:vAlign w:val="center"/>
          </w:tcPr>
          <w:p w14:paraId="00A58416">
            <w:pPr>
              <w:keepNext w:val="0"/>
              <w:keepLines w:val="0"/>
              <w:pageBreakBefore w:val="0"/>
              <w:widowControl w:val="0"/>
              <w:suppressLineNumbers w:val="0"/>
              <w:kinsoku/>
              <w:wordWrap/>
              <w:overflowPunct/>
              <w:topLinePunct w:val="0"/>
              <w:autoSpaceDE/>
              <w:autoSpaceDN/>
              <w:bidi w:val="0"/>
              <w:spacing w:before="0" w:beforeAutospacing="0" w:after="0" w:afterAutospacing="0" w:line="400" w:lineRule="exact"/>
              <w:ind w:left="0" w:right="0" w:firstLine="210" w:firstLineChars="100"/>
              <w:jc w:val="center"/>
              <w:textAlignment w:val="auto"/>
              <w:rPr>
                <w:rFonts w:hint="eastAsia" w:ascii="宋体" w:hAnsi="宋体" w:cs="宋体"/>
                <w:color w:val="auto"/>
                <w:szCs w:val="21"/>
                <w:highlight w:val="none"/>
              </w:rPr>
            </w:pPr>
            <w:r>
              <w:rPr>
                <w:rFonts w:hint="eastAsia" w:ascii="宋体" w:hAnsi="宋体" w:cs="宋体"/>
                <w:color w:val="auto"/>
                <w:kern w:val="0"/>
                <w:szCs w:val="21"/>
                <w:highlight w:val="none"/>
              </w:rPr>
              <w:t>1.5%</w:t>
            </w:r>
          </w:p>
        </w:tc>
        <w:tc>
          <w:tcPr>
            <w:tcW w:w="853" w:type="pct"/>
            <w:noWrap w:val="0"/>
            <w:vAlign w:val="center"/>
          </w:tcPr>
          <w:p w14:paraId="06DD493E">
            <w:pPr>
              <w:keepNext w:val="0"/>
              <w:keepLines w:val="0"/>
              <w:pageBreakBefore w:val="0"/>
              <w:widowControl w:val="0"/>
              <w:suppressLineNumbers w:val="0"/>
              <w:kinsoku/>
              <w:wordWrap/>
              <w:overflowPunct/>
              <w:topLinePunct w:val="0"/>
              <w:autoSpaceDE/>
              <w:autoSpaceDN/>
              <w:bidi w:val="0"/>
              <w:spacing w:before="0" w:beforeAutospacing="0" w:after="0" w:afterAutospacing="0" w:line="400" w:lineRule="exact"/>
              <w:ind w:left="0" w:right="0" w:firstLine="210" w:firstLineChars="100"/>
              <w:jc w:val="center"/>
              <w:textAlignment w:val="auto"/>
              <w:rPr>
                <w:rFonts w:hint="eastAsia" w:ascii="宋体" w:hAnsi="宋体" w:cs="宋体"/>
                <w:color w:val="auto"/>
                <w:szCs w:val="21"/>
                <w:highlight w:val="none"/>
              </w:rPr>
            </w:pPr>
            <w:r>
              <w:rPr>
                <w:rFonts w:hint="eastAsia" w:ascii="宋体" w:hAnsi="宋体" w:cs="宋体"/>
                <w:color w:val="auto"/>
                <w:kern w:val="0"/>
                <w:szCs w:val="21"/>
                <w:highlight w:val="none"/>
              </w:rPr>
              <w:t>1.0%</w:t>
            </w:r>
          </w:p>
        </w:tc>
      </w:tr>
      <w:tr w14:paraId="2EC7E2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12" w:type="pct"/>
            <w:noWrap w:val="0"/>
            <w:vAlign w:val="center"/>
          </w:tcPr>
          <w:p w14:paraId="423A7D6B">
            <w:pPr>
              <w:keepNext w:val="0"/>
              <w:keepLines w:val="0"/>
              <w:pageBreakBefore w:val="0"/>
              <w:widowControl w:val="0"/>
              <w:suppressLineNumbers w:val="0"/>
              <w:kinsoku/>
              <w:wordWrap/>
              <w:overflowPunct/>
              <w:topLinePunct w:val="0"/>
              <w:autoSpaceDE/>
              <w:autoSpaceDN/>
              <w:bidi w:val="0"/>
              <w:spacing w:before="0" w:beforeAutospacing="0" w:after="0" w:afterAutospacing="0" w:line="400" w:lineRule="exact"/>
              <w:ind w:left="0" w:right="0"/>
              <w:jc w:val="center"/>
              <w:textAlignment w:val="auto"/>
              <w:rPr>
                <w:rFonts w:hint="eastAsia" w:ascii="宋体" w:hAnsi="宋体" w:cs="宋体"/>
                <w:color w:val="auto"/>
                <w:szCs w:val="21"/>
                <w:highlight w:val="none"/>
              </w:rPr>
            </w:pPr>
            <w:r>
              <w:rPr>
                <w:rFonts w:hint="eastAsia" w:ascii="宋体" w:hAnsi="宋体" w:cs="宋体"/>
                <w:color w:val="auto"/>
                <w:szCs w:val="21"/>
                <w:highlight w:val="none"/>
              </w:rPr>
              <w:t>100万元～500万元</w:t>
            </w:r>
          </w:p>
        </w:tc>
        <w:tc>
          <w:tcPr>
            <w:tcW w:w="1009" w:type="pct"/>
            <w:noWrap w:val="0"/>
            <w:vAlign w:val="center"/>
          </w:tcPr>
          <w:p w14:paraId="039536B8">
            <w:pPr>
              <w:keepNext w:val="0"/>
              <w:keepLines w:val="0"/>
              <w:pageBreakBefore w:val="0"/>
              <w:widowControl w:val="0"/>
              <w:suppressLineNumbers w:val="0"/>
              <w:kinsoku/>
              <w:wordWrap/>
              <w:overflowPunct/>
              <w:topLinePunct w:val="0"/>
              <w:autoSpaceDE/>
              <w:autoSpaceDN/>
              <w:bidi w:val="0"/>
              <w:spacing w:before="0" w:beforeAutospacing="0" w:after="0" w:afterAutospacing="0" w:line="400" w:lineRule="exact"/>
              <w:ind w:left="0" w:right="0" w:firstLine="210" w:firstLineChars="100"/>
              <w:jc w:val="center"/>
              <w:textAlignment w:val="auto"/>
              <w:rPr>
                <w:rFonts w:hint="eastAsia" w:ascii="宋体" w:hAnsi="宋体" w:cs="宋体"/>
                <w:color w:val="auto"/>
                <w:szCs w:val="21"/>
                <w:highlight w:val="none"/>
              </w:rPr>
            </w:pPr>
            <w:r>
              <w:rPr>
                <w:rFonts w:hint="eastAsia" w:ascii="宋体" w:hAnsi="宋体" w:cs="宋体"/>
                <w:color w:val="auto"/>
                <w:kern w:val="0"/>
                <w:szCs w:val="21"/>
                <w:highlight w:val="none"/>
              </w:rPr>
              <w:t>1.1%</w:t>
            </w:r>
          </w:p>
        </w:tc>
        <w:tc>
          <w:tcPr>
            <w:tcW w:w="1026" w:type="pct"/>
            <w:noWrap w:val="0"/>
            <w:vAlign w:val="center"/>
          </w:tcPr>
          <w:p w14:paraId="06D9A988">
            <w:pPr>
              <w:keepNext w:val="0"/>
              <w:keepLines w:val="0"/>
              <w:pageBreakBefore w:val="0"/>
              <w:widowControl w:val="0"/>
              <w:suppressLineNumbers w:val="0"/>
              <w:kinsoku/>
              <w:wordWrap/>
              <w:overflowPunct/>
              <w:topLinePunct w:val="0"/>
              <w:autoSpaceDE/>
              <w:autoSpaceDN/>
              <w:bidi w:val="0"/>
              <w:spacing w:before="0" w:beforeAutospacing="0" w:after="0" w:afterAutospacing="0" w:line="400" w:lineRule="exact"/>
              <w:ind w:left="0" w:right="0" w:firstLine="210" w:firstLineChars="100"/>
              <w:jc w:val="center"/>
              <w:textAlignment w:val="auto"/>
              <w:rPr>
                <w:rFonts w:hint="eastAsia" w:ascii="宋体" w:hAnsi="宋体" w:cs="宋体"/>
                <w:color w:val="auto"/>
                <w:szCs w:val="21"/>
                <w:highlight w:val="none"/>
              </w:rPr>
            </w:pPr>
            <w:r>
              <w:rPr>
                <w:rFonts w:hint="eastAsia" w:ascii="宋体" w:hAnsi="宋体" w:cs="宋体"/>
                <w:color w:val="auto"/>
                <w:kern w:val="0"/>
                <w:szCs w:val="21"/>
                <w:highlight w:val="none"/>
              </w:rPr>
              <w:t>0.8%</w:t>
            </w:r>
          </w:p>
        </w:tc>
        <w:tc>
          <w:tcPr>
            <w:tcW w:w="853" w:type="pct"/>
            <w:noWrap w:val="0"/>
            <w:vAlign w:val="center"/>
          </w:tcPr>
          <w:p w14:paraId="764E9B50">
            <w:pPr>
              <w:keepNext w:val="0"/>
              <w:keepLines w:val="0"/>
              <w:pageBreakBefore w:val="0"/>
              <w:widowControl w:val="0"/>
              <w:suppressLineNumbers w:val="0"/>
              <w:kinsoku/>
              <w:wordWrap/>
              <w:overflowPunct/>
              <w:topLinePunct w:val="0"/>
              <w:autoSpaceDE/>
              <w:autoSpaceDN/>
              <w:bidi w:val="0"/>
              <w:spacing w:before="0" w:beforeAutospacing="0" w:after="0" w:afterAutospacing="0" w:line="400" w:lineRule="exact"/>
              <w:ind w:left="0" w:right="0" w:firstLine="210" w:firstLineChars="100"/>
              <w:jc w:val="center"/>
              <w:textAlignment w:val="auto"/>
              <w:rPr>
                <w:rFonts w:hint="eastAsia" w:ascii="宋体" w:hAnsi="宋体" w:cs="宋体"/>
                <w:color w:val="auto"/>
                <w:szCs w:val="21"/>
                <w:highlight w:val="none"/>
              </w:rPr>
            </w:pPr>
            <w:r>
              <w:rPr>
                <w:rFonts w:hint="eastAsia" w:ascii="宋体" w:hAnsi="宋体" w:cs="宋体"/>
                <w:color w:val="auto"/>
                <w:kern w:val="0"/>
                <w:szCs w:val="21"/>
                <w:highlight w:val="none"/>
              </w:rPr>
              <w:t>0.7%</w:t>
            </w:r>
          </w:p>
        </w:tc>
      </w:tr>
      <w:tr w14:paraId="26AF23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12" w:type="pct"/>
            <w:noWrap w:val="0"/>
            <w:vAlign w:val="center"/>
          </w:tcPr>
          <w:p w14:paraId="76131E9D">
            <w:pPr>
              <w:keepNext w:val="0"/>
              <w:keepLines w:val="0"/>
              <w:pageBreakBefore w:val="0"/>
              <w:widowControl w:val="0"/>
              <w:suppressLineNumbers w:val="0"/>
              <w:kinsoku/>
              <w:wordWrap/>
              <w:overflowPunct/>
              <w:topLinePunct w:val="0"/>
              <w:autoSpaceDE/>
              <w:autoSpaceDN/>
              <w:bidi w:val="0"/>
              <w:spacing w:before="0" w:beforeAutospacing="0" w:after="0" w:afterAutospacing="0" w:line="400" w:lineRule="exact"/>
              <w:ind w:left="0" w:right="0"/>
              <w:jc w:val="center"/>
              <w:textAlignment w:val="auto"/>
              <w:rPr>
                <w:rFonts w:hint="eastAsia" w:ascii="宋体" w:hAnsi="宋体" w:cs="宋体"/>
                <w:color w:val="auto"/>
                <w:szCs w:val="21"/>
                <w:highlight w:val="none"/>
              </w:rPr>
            </w:pPr>
            <w:r>
              <w:rPr>
                <w:rFonts w:hint="eastAsia" w:ascii="宋体" w:hAnsi="宋体" w:cs="宋体"/>
                <w:color w:val="auto"/>
                <w:szCs w:val="21"/>
                <w:highlight w:val="none"/>
              </w:rPr>
              <w:t>500万元～1000万元</w:t>
            </w:r>
          </w:p>
        </w:tc>
        <w:tc>
          <w:tcPr>
            <w:tcW w:w="1009" w:type="pct"/>
            <w:noWrap w:val="0"/>
            <w:vAlign w:val="center"/>
          </w:tcPr>
          <w:p w14:paraId="29540A9D">
            <w:pPr>
              <w:keepNext w:val="0"/>
              <w:keepLines w:val="0"/>
              <w:pageBreakBefore w:val="0"/>
              <w:widowControl w:val="0"/>
              <w:suppressLineNumbers w:val="0"/>
              <w:kinsoku/>
              <w:wordWrap/>
              <w:overflowPunct/>
              <w:topLinePunct w:val="0"/>
              <w:autoSpaceDE/>
              <w:autoSpaceDN/>
              <w:bidi w:val="0"/>
              <w:spacing w:before="0" w:beforeAutospacing="0" w:after="0" w:afterAutospacing="0" w:line="400" w:lineRule="exact"/>
              <w:ind w:left="0" w:right="0"/>
              <w:jc w:val="center"/>
              <w:textAlignment w:val="auto"/>
              <w:rPr>
                <w:rFonts w:hint="eastAsia" w:ascii="宋体" w:hAnsi="宋体" w:cs="宋体"/>
                <w:color w:val="auto"/>
                <w:szCs w:val="21"/>
                <w:highlight w:val="none"/>
              </w:rPr>
            </w:pPr>
            <w:r>
              <w:rPr>
                <w:rFonts w:hint="eastAsia" w:ascii="宋体" w:hAnsi="宋体" w:cs="宋体"/>
                <w:color w:val="auto"/>
                <w:kern w:val="0"/>
                <w:szCs w:val="21"/>
                <w:highlight w:val="none"/>
              </w:rPr>
              <w:t>0.8%</w:t>
            </w:r>
          </w:p>
        </w:tc>
        <w:tc>
          <w:tcPr>
            <w:tcW w:w="1026" w:type="pct"/>
            <w:noWrap w:val="0"/>
            <w:vAlign w:val="center"/>
          </w:tcPr>
          <w:p w14:paraId="1B97FC4B">
            <w:pPr>
              <w:keepNext w:val="0"/>
              <w:keepLines w:val="0"/>
              <w:pageBreakBefore w:val="0"/>
              <w:widowControl w:val="0"/>
              <w:suppressLineNumbers w:val="0"/>
              <w:kinsoku/>
              <w:wordWrap/>
              <w:overflowPunct/>
              <w:topLinePunct w:val="0"/>
              <w:autoSpaceDE/>
              <w:autoSpaceDN/>
              <w:bidi w:val="0"/>
              <w:spacing w:before="0" w:beforeAutospacing="0" w:after="0" w:afterAutospacing="0" w:line="400" w:lineRule="exact"/>
              <w:ind w:left="0" w:right="0" w:firstLine="210" w:firstLineChars="100"/>
              <w:jc w:val="center"/>
              <w:textAlignment w:val="auto"/>
              <w:rPr>
                <w:rFonts w:hint="eastAsia" w:ascii="宋体" w:hAnsi="宋体" w:cs="宋体"/>
                <w:color w:val="auto"/>
                <w:szCs w:val="21"/>
                <w:highlight w:val="none"/>
              </w:rPr>
            </w:pPr>
            <w:r>
              <w:rPr>
                <w:rFonts w:hint="eastAsia" w:ascii="宋体" w:hAnsi="宋体" w:cs="宋体"/>
                <w:color w:val="auto"/>
                <w:kern w:val="0"/>
                <w:szCs w:val="21"/>
                <w:highlight w:val="none"/>
              </w:rPr>
              <w:t>0.45%</w:t>
            </w:r>
          </w:p>
        </w:tc>
        <w:tc>
          <w:tcPr>
            <w:tcW w:w="853" w:type="pct"/>
            <w:noWrap w:val="0"/>
            <w:vAlign w:val="center"/>
          </w:tcPr>
          <w:p w14:paraId="18043FE2">
            <w:pPr>
              <w:keepNext w:val="0"/>
              <w:keepLines w:val="0"/>
              <w:pageBreakBefore w:val="0"/>
              <w:widowControl w:val="0"/>
              <w:suppressLineNumbers w:val="0"/>
              <w:kinsoku/>
              <w:wordWrap/>
              <w:overflowPunct/>
              <w:topLinePunct w:val="0"/>
              <w:autoSpaceDE/>
              <w:autoSpaceDN/>
              <w:bidi w:val="0"/>
              <w:spacing w:before="0" w:beforeAutospacing="0" w:after="0" w:afterAutospacing="0" w:line="400" w:lineRule="exact"/>
              <w:ind w:left="0" w:right="0" w:firstLine="210" w:firstLineChars="100"/>
              <w:jc w:val="center"/>
              <w:textAlignment w:val="auto"/>
              <w:rPr>
                <w:rFonts w:hint="eastAsia" w:ascii="宋体" w:hAnsi="宋体" w:cs="宋体"/>
                <w:color w:val="auto"/>
                <w:szCs w:val="21"/>
                <w:highlight w:val="none"/>
              </w:rPr>
            </w:pPr>
            <w:r>
              <w:rPr>
                <w:rFonts w:hint="eastAsia" w:ascii="宋体" w:hAnsi="宋体" w:cs="宋体"/>
                <w:color w:val="auto"/>
                <w:kern w:val="0"/>
                <w:szCs w:val="21"/>
                <w:highlight w:val="none"/>
              </w:rPr>
              <w:t>0.55%</w:t>
            </w:r>
          </w:p>
        </w:tc>
      </w:tr>
      <w:tr w14:paraId="6F8291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12" w:type="pct"/>
            <w:noWrap w:val="0"/>
            <w:vAlign w:val="center"/>
          </w:tcPr>
          <w:p w14:paraId="643C43EF">
            <w:pPr>
              <w:keepNext w:val="0"/>
              <w:keepLines w:val="0"/>
              <w:pageBreakBefore w:val="0"/>
              <w:widowControl w:val="0"/>
              <w:suppressLineNumbers w:val="0"/>
              <w:kinsoku/>
              <w:wordWrap/>
              <w:overflowPunct/>
              <w:topLinePunct w:val="0"/>
              <w:autoSpaceDE/>
              <w:autoSpaceDN/>
              <w:bidi w:val="0"/>
              <w:spacing w:before="0" w:beforeAutospacing="0" w:after="0" w:afterAutospacing="0" w:line="400" w:lineRule="exact"/>
              <w:ind w:left="0" w:right="0"/>
              <w:jc w:val="center"/>
              <w:textAlignment w:val="auto"/>
              <w:rPr>
                <w:rFonts w:hint="eastAsia" w:ascii="宋体" w:hAnsi="宋体" w:cs="宋体"/>
                <w:color w:val="auto"/>
                <w:szCs w:val="21"/>
                <w:highlight w:val="none"/>
              </w:rPr>
            </w:pPr>
            <w:r>
              <w:rPr>
                <w:rFonts w:hint="eastAsia" w:ascii="宋体" w:hAnsi="宋体" w:cs="宋体"/>
                <w:color w:val="auto"/>
                <w:szCs w:val="21"/>
                <w:highlight w:val="none"/>
              </w:rPr>
              <w:t>1000万元～5000万元</w:t>
            </w:r>
          </w:p>
        </w:tc>
        <w:tc>
          <w:tcPr>
            <w:tcW w:w="1009" w:type="pct"/>
            <w:noWrap w:val="0"/>
            <w:vAlign w:val="center"/>
          </w:tcPr>
          <w:p w14:paraId="1CF9209D">
            <w:pPr>
              <w:keepNext w:val="0"/>
              <w:keepLines w:val="0"/>
              <w:pageBreakBefore w:val="0"/>
              <w:widowControl w:val="0"/>
              <w:suppressLineNumbers w:val="0"/>
              <w:kinsoku/>
              <w:wordWrap/>
              <w:overflowPunct/>
              <w:topLinePunct w:val="0"/>
              <w:autoSpaceDE/>
              <w:autoSpaceDN/>
              <w:bidi w:val="0"/>
              <w:spacing w:before="0" w:beforeAutospacing="0" w:after="0" w:afterAutospacing="0" w:line="400" w:lineRule="exact"/>
              <w:ind w:left="0" w:right="0" w:firstLine="210" w:firstLineChars="100"/>
              <w:jc w:val="center"/>
              <w:textAlignment w:val="auto"/>
              <w:rPr>
                <w:rFonts w:hint="eastAsia" w:ascii="宋体" w:hAnsi="宋体" w:cs="宋体"/>
                <w:color w:val="auto"/>
                <w:szCs w:val="21"/>
                <w:highlight w:val="none"/>
              </w:rPr>
            </w:pPr>
            <w:r>
              <w:rPr>
                <w:rFonts w:hint="eastAsia" w:ascii="宋体" w:hAnsi="宋体" w:cs="宋体"/>
                <w:color w:val="auto"/>
                <w:kern w:val="0"/>
                <w:szCs w:val="21"/>
                <w:highlight w:val="none"/>
              </w:rPr>
              <w:t>0.5%</w:t>
            </w:r>
          </w:p>
        </w:tc>
        <w:tc>
          <w:tcPr>
            <w:tcW w:w="1026" w:type="pct"/>
            <w:noWrap w:val="0"/>
            <w:vAlign w:val="center"/>
          </w:tcPr>
          <w:p w14:paraId="10AFC67D">
            <w:pPr>
              <w:keepNext w:val="0"/>
              <w:keepLines w:val="0"/>
              <w:pageBreakBefore w:val="0"/>
              <w:widowControl w:val="0"/>
              <w:suppressLineNumbers w:val="0"/>
              <w:kinsoku/>
              <w:wordWrap/>
              <w:overflowPunct/>
              <w:topLinePunct w:val="0"/>
              <w:autoSpaceDE/>
              <w:autoSpaceDN/>
              <w:bidi w:val="0"/>
              <w:spacing w:before="0" w:beforeAutospacing="0" w:after="0" w:afterAutospacing="0" w:line="400" w:lineRule="exact"/>
              <w:ind w:left="0" w:right="0" w:firstLine="210" w:firstLineChars="100"/>
              <w:jc w:val="center"/>
              <w:textAlignment w:val="auto"/>
              <w:rPr>
                <w:rFonts w:hint="eastAsia" w:ascii="宋体" w:hAnsi="宋体" w:cs="宋体"/>
                <w:color w:val="auto"/>
                <w:szCs w:val="21"/>
                <w:highlight w:val="none"/>
              </w:rPr>
            </w:pPr>
            <w:r>
              <w:rPr>
                <w:rFonts w:hint="eastAsia" w:ascii="宋体" w:hAnsi="宋体" w:cs="宋体"/>
                <w:color w:val="auto"/>
                <w:kern w:val="0"/>
                <w:szCs w:val="21"/>
                <w:highlight w:val="none"/>
              </w:rPr>
              <w:t>0.25%</w:t>
            </w:r>
          </w:p>
        </w:tc>
        <w:tc>
          <w:tcPr>
            <w:tcW w:w="853" w:type="pct"/>
            <w:noWrap w:val="0"/>
            <w:vAlign w:val="center"/>
          </w:tcPr>
          <w:p w14:paraId="368FA3ED">
            <w:pPr>
              <w:keepNext w:val="0"/>
              <w:keepLines w:val="0"/>
              <w:pageBreakBefore w:val="0"/>
              <w:widowControl w:val="0"/>
              <w:suppressLineNumbers w:val="0"/>
              <w:kinsoku/>
              <w:wordWrap/>
              <w:overflowPunct/>
              <w:topLinePunct w:val="0"/>
              <w:autoSpaceDE/>
              <w:autoSpaceDN/>
              <w:bidi w:val="0"/>
              <w:spacing w:before="0" w:beforeAutospacing="0" w:after="0" w:afterAutospacing="0" w:line="400" w:lineRule="exact"/>
              <w:ind w:left="0" w:right="0" w:firstLine="210" w:firstLineChars="100"/>
              <w:jc w:val="center"/>
              <w:textAlignment w:val="auto"/>
              <w:rPr>
                <w:rFonts w:hint="eastAsia" w:ascii="宋体" w:hAnsi="宋体" w:cs="宋体"/>
                <w:color w:val="auto"/>
                <w:szCs w:val="21"/>
                <w:highlight w:val="none"/>
              </w:rPr>
            </w:pPr>
            <w:r>
              <w:rPr>
                <w:rFonts w:hint="eastAsia" w:ascii="宋体" w:hAnsi="宋体" w:cs="宋体"/>
                <w:color w:val="auto"/>
                <w:kern w:val="0"/>
                <w:szCs w:val="21"/>
                <w:highlight w:val="none"/>
              </w:rPr>
              <w:t>0.35%</w:t>
            </w:r>
          </w:p>
        </w:tc>
      </w:tr>
      <w:tr w14:paraId="3A6B4C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12" w:type="pct"/>
            <w:noWrap w:val="0"/>
            <w:vAlign w:val="center"/>
          </w:tcPr>
          <w:p w14:paraId="43A26349">
            <w:pPr>
              <w:keepNext w:val="0"/>
              <w:keepLines w:val="0"/>
              <w:pageBreakBefore w:val="0"/>
              <w:widowControl w:val="0"/>
              <w:suppressLineNumbers w:val="0"/>
              <w:kinsoku/>
              <w:wordWrap/>
              <w:overflowPunct/>
              <w:topLinePunct w:val="0"/>
              <w:autoSpaceDE/>
              <w:autoSpaceDN/>
              <w:bidi w:val="0"/>
              <w:spacing w:before="0" w:beforeAutospacing="0" w:after="0" w:afterAutospacing="0" w:line="400" w:lineRule="exact"/>
              <w:ind w:left="0" w:right="0"/>
              <w:jc w:val="center"/>
              <w:textAlignment w:val="auto"/>
              <w:rPr>
                <w:rFonts w:hint="eastAsia" w:ascii="宋体" w:hAnsi="宋体" w:cs="宋体"/>
                <w:color w:val="auto"/>
                <w:szCs w:val="21"/>
                <w:highlight w:val="none"/>
              </w:rPr>
            </w:pPr>
            <w:r>
              <w:rPr>
                <w:rFonts w:hint="eastAsia" w:ascii="宋体" w:hAnsi="宋体" w:cs="宋体"/>
                <w:color w:val="auto"/>
                <w:szCs w:val="21"/>
                <w:highlight w:val="none"/>
              </w:rPr>
              <w:t>5000万元～1亿元</w:t>
            </w:r>
          </w:p>
        </w:tc>
        <w:tc>
          <w:tcPr>
            <w:tcW w:w="1009" w:type="pct"/>
            <w:noWrap w:val="0"/>
            <w:vAlign w:val="center"/>
          </w:tcPr>
          <w:p w14:paraId="75B55704">
            <w:pPr>
              <w:keepNext w:val="0"/>
              <w:keepLines w:val="0"/>
              <w:pageBreakBefore w:val="0"/>
              <w:widowControl w:val="0"/>
              <w:suppressLineNumbers w:val="0"/>
              <w:kinsoku/>
              <w:wordWrap/>
              <w:overflowPunct/>
              <w:topLinePunct w:val="0"/>
              <w:autoSpaceDE/>
              <w:autoSpaceDN/>
              <w:bidi w:val="0"/>
              <w:spacing w:before="0" w:beforeAutospacing="0" w:after="0" w:afterAutospacing="0" w:line="400" w:lineRule="exact"/>
              <w:ind w:left="0" w:right="0" w:firstLine="210" w:firstLineChars="100"/>
              <w:jc w:val="center"/>
              <w:textAlignment w:val="auto"/>
              <w:rPr>
                <w:rFonts w:hint="eastAsia" w:ascii="宋体" w:hAnsi="宋体" w:cs="宋体"/>
                <w:color w:val="auto"/>
                <w:szCs w:val="21"/>
                <w:highlight w:val="none"/>
              </w:rPr>
            </w:pPr>
            <w:r>
              <w:rPr>
                <w:rFonts w:hint="eastAsia" w:ascii="宋体" w:hAnsi="宋体" w:cs="宋体"/>
                <w:color w:val="auto"/>
                <w:kern w:val="0"/>
                <w:szCs w:val="21"/>
                <w:highlight w:val="none"/>
              </w:rPr>
              <w:t>0.25%</w:t>
            </w:r>
          </w:p>
        </w:tc>
        <w:tc>
          <w:tcPr>
            <w:tcW w:w="1026" w:type="pct"/>
            <w:noWrap w:val="0"/>
            <w:vAlign w:val="center"/>
          </w:tcPr>
          <w:p w14:paraId="32938B44">
            <w:pPr>
              <w:keepNext w:val="0"/>
              <w:keepLines w:val="0"/>
              <w:pageBreakBefore w:val="0"/>
              <w:widowControl w:val="0"/>
              <w:suppressLineNumbers w:val="0"/>
              <w:kinsoku/>
              <w:wordWrap/>
              <w:overflowPunct/>
              <w:topLinePunct w:val="0"/>
              <w:autoSpaceDE/>
              <w:autoSpaceDN/>
              <w:bidi w:val="0"/>
              <w:spacing w:before="0" w:beforeAutospacing="0" w:after="0" w:afterAutospacing="0" w:line="400" w:lineRule="exact"/>
              <w:ind w:left="0" w:right="0" w:firstLine="210" w:firstLineChars="100"/>
              <w:jc w:val="center"/>
              <w:textAlignment w:val="auto"/>
              <w:rPr>
                <w:rFonts w:hint="eastAsia" w:ascii="宋体" w:hAnsi="宋体" w:cs="宋体"/>
                <w:color w:val="auto"/>
                <w:szCs w:val="21"/>
                <w:highlight w:val="none"/>
              </w:rPr>
            </w:pPr>
            <w:r>
              <w:rPr>
                <w:rFonts w:hint="eastAsia" w:ascii="宋体" w:hAnsi="宋体" w:cs="宋体"/>
                <w:color w:val="auto"/>
                <w:kern w:val="0"/>
                <w:szCs w:val="21"/>
                <w:highlight w:val="none"/>
              </w:rPr>
              <w:t>0.1%</w:t>
            </w:r>
          </w:p>
        </w:tc>
        <w:tc>
          <w:tcPr>
            <w:tcW w:w="853" w:type="pct"/>
            <w:noWrap w:val="0"/>
            <w:vAlign w:val="center"/>
          </w:tcPr>
          <w:p w14:paraId="793A783D">
            <w:pPr>
              <w:keepNext w:val="0"/>
              <w:keepLines w:val="0"/>
              <w:pageBreakBefore w:val="0"/>
              <w:widowControl w:val="0"/>
              <w:suppressLineNumbers w:val="0"/>
              <w:kinsoku/>
              <w:wordWrap/>
              <w:overflowPunct/>
              <w:topLinePunct w:val="0"/>
              <w:autoSpaceDE/>
              <w:autoSpaceDN/>
              <w:bidi w:val="0"/>
              <w:spacing w:before="0" w:beforeAutospacing="0" w:after="0" w:afterAutospacing="0" w:line="400" w:lineRule="exact"/>
              <w:ind w:left="0" w:right="0" w:firstLine="210" w:firstLineChars="100"/>
              <w:jc w:val="center"/>
              <w:textAlignment w:val="auto"/>
              <w:rPr>
                <w:rFonts w:hint="eastAsia" w:ascii="宋体" w:hAnsi="宋体" w:cs="宋体"/>
                <w:color w:val="auto"/>
                <w:szCs w:val="21"/>
                <w:highlight w:val="none"/>
              </w:rPr>
            </w:pPr>
            <w:r>
              <w:rPr>
                <w:rFonts w:hint="eastAsia" w:ascii="宋体" w:hAnsi="宋体" w:cs="宋体"/>
                <w:color w:val="auto"/>
                <w:kern w:val="0"/>
                <w:szCs w:val="21"/>
                <w:highlight w:val="none"/>
              </w:rPr>
              <w:t>0.2%</w:t>
            </w:r>
          </w:p>
        </w:tc>
      </w:tr>
      <w:tr w14:paraId="713B75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12" w:type="pct"/>
            <w:noWrap w:val="0"/>
            <w:vAlign w:val="center"/>
          </w:tcPr>
          <w:p w14:paraId="6C2DB874">
            <w:pPr>
              <w:keepNext w:val="0"/>
              <w:keepLines w:val="0"/>
              <w:pageBreakBefore w:val="0"/>
              <w:widowControl w:val="0"/>
              <w:suppressLineNumbers w:val="0"/>
              <w:kinsoku/>
              <w:wordWrap/>
              <w:overflowPunct/>
              <w:topLinePunct w:val="0"/>
              <w:autoSpaceDE/>
              <w:autoSpaceDN/>
              <w:bidi w:val="0"/>
              <w:spacing w:before="0" w:beforeAutospacing="0" w:after="0" w:afterAutospacing="0" w:line="400" w:lineRule="exact"/>
              <w:ind w:left="0" w:right="0"/>
              <w:jc w:val="center"/>
              <w:textAlignment w:val="auto"/>
              <w:rPr>
                <w:rFonts w:hint="eastAsia" w:ascii="宋体" w:hAnsi="宋体" w:cs="宋体"/>
                <w:color w:val="auto"/>
                <w:szCs w:val="21"/>
                <w:highlight w:val="none"/>
              </w:rPr>
            </w:pPr>
            <w:r>
              <w:rPr>
                <w:rFonts w:hint="eastAsia" w:ascii="宋体" w:hAnsi="宋体" w:cs="宋体"/>
                <w:color w:val="auto"/>
                <w:szCs w:val="21"/>
                <w:highlight w:val="none"/>
              </w:rPr>
              <w:t>1亿元～5亿元</w:t>
            </w:r>
          </w:p>
        </w:tc>
        <w:tc>
          <w:tcPr>
            <w:tcW w:w="1009" w:type="pct"/>
            <w:noWrap w:val="0"/>
            <w:vAlign w:val="center"/>
          </w:tcPr>
          <w:p w14:paraId="7E2D20CB">
            <w:pPr>
              <w:keepNext w:val="0"/>
              <w:keepLines w:val="0"/>
              <w:pageBreakBefore w:val="0"/>
              <w:widowControl w:val="0"/>
              <w:suppressLineNumbers w:val="0"/>
              <w:kinsoku/>
              <w:wordWrap/>
              <w:overflowPunct/>
              <w:topLinePunct w:val="0"/>
              <w:autoSpaceDE/>
              <w:autoSpaceDN/>
              <w:bidi w:val="0"/>
              <w:spacing w:before="0" w:beforeAutospacing="0" w:after="0" w:afterAutospacing="0" w:line="400" w:lineRule="exact"/>
              <w:ind w:left="0" w:right="0" w:firstLine="210" w:firstLineChars="100"/>
              <w:jc w:val="center"/>
              <w:textAlignment w:val="auto"/>
              <w:rPr>
                <w:rFonts w:hint="eastAsia" w:ascii="宋体" w:hAnsi="宋体" w:cs="宋体"/>
                <w:color w:val="auto"/>
                <w:szCs w:val="21"/>
                <w:highlight w:val="none"/>
              </w:rPr>
            </w:pPr>
            <w:r>
              <w:rPr>
                <w:rFonts w:hint="eastAsia" w:ascii="宋体" w:hAnsi="宋体" w:cs="宋体"/>
                <w:color w:val="auto"/>
                <w:szCs w:val="21"/>
                <w:highlight w:val="none"/>
              </w:rPr>
              <w:t>0.05%</w:t>
            </w:r>
          </w:p>
        </w:tc>
        <w:tc>
          <w:tcPr>
            <w:tcW w:w="1026" w:type="pct"/>
            <w:noWrap w:val="0"/>
            <w:vAlign w:val="center"/>
          </w:tcPr>
          <w:p w14:paraId="2E1F7D70">
            <w:pPr>
              <w:keepNext w:val="0"/>
              <w:keepLines w:val="0"/>
              <w:pageBreakBefore w:val="0"/>
              <w:widowControl w:val="0"/>
              <w:suppressLineNumbers w:val="0"/>
              <w:kinsoku/>
              <w:wordWrap/>
              <w:overflowPunct/>
              <w:topLinePunct w:val="0"/>
              <w:autoSpaceDE/>
              <w:autoSpaceDN/>
              <w:bidi w:val="0"/>
              <w:spacing w:before="0" w:beforeAutospacing="0" w:after="0" w:afterAutospacing="0" w:line="400" w:lineRule="exact"/>
              <w:ind w:left="0" w:right="0"/>
              <w:jc w:val="center"/>
              <w:textAlignment w:val="auto"/>
              <w:rPr>
                <w:rFonts w:hint="eastAsia" w:ascii="宋体" w:hAnsi="宋体" w:cs="宋体"/>
                <w:color w:val="auto"/>
                <w:szCs w:val="21"/>
                <w:highlight w:val="none"/>
              </w:rPr>
            </w:pPr>
            <w:r>
              <w:rPr>
                <w:rFonts w:hint="eastAsia" w:ascii="宋体" w:hAnsi="宋体" w:cs="宋体"/>
                <w:color w:val="auto"/>
                <w:szCs w:val="21"/>
                <w:highlight w:val="none"/>
              </w:rPr>
              <w:t>0.05%</w:t>
            </w:r>
          </w:p>
        </w:tc>
        <w:tc>
          <w:tcPr>
            <w:tcW w:w="853" w:type="pct"/>
            <w:noWrap w:val="0"/>
            <w:vAlign w:val="center"/>
          </w:tcPr>
          <w:p w14:paraId="693AA2D8">
            <w:pPr>
              <w:keepNext w:val="0"/>
              <w:keepLines w:val="0"/>
              <w:pageBreakBefore w:val="0"/>
              <w:widowControl w:val="0"/>
              <w:suppressLineNumbers w:val="0"/>
              <w:kinsoku/>
              <w:wordWrap/>
              <w:overflowPunct/>
              <w:topLinePunct w:val="0"/>
              <w:autoSpaceDE/>
              <w:autoSpaceDN/>
              <w:bidi w:val="0"/>
              <w:spacing w:before="0" w:beforeAutospacing="0" w:after="0" w:afterAutospacing="0" w:line="400" w:lineRule="exact"/>
              <w:ind w:left="0" w:right="0"/>
              <w:jc w:val="center"/>
              <w:textAlignment w:val="auto"/>
              <w:rPr>
                <w:rFonts w:hint="eastAsia" w:ascii="宋体" w:hAnsi="宋体" w:cs="宋体"/>
                <w:color w:val="auto"/>
                <w:szCs w:val="21"/>
                <w:highlight w:val="none"/>
              </w:rPr>
            </w:pPr>
            <w:r>
              <w:rPr>
                <w:rFonts w:hint="eastAsia" w:ascii="宋体" w:hAnsi="宋体" w:cs="宋体"/>
                <w:color w:val="auto"/>
                <w:szCs w:val="21"/>
                <w:highlight w:val="none"/>
              </w:rPr>
              <w:t>0.05%</w:t>
            </w:r>
          </w:p>
        </w:tc>
      </w:tr>
      <w:tr w14:paraId="506901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12" w:type="pct"/>
            <w:noWrap w:val="0"/>
            <w:vAlign w:val="center"/>
          </w:tcPr>
          <w:p w14:paraId="520B3E6F">
            <w:pPr>
              <w:keepNext w:val="0"/>
              <w:keepLines w:val="0"/>
              <w:pageBreakBefore w:val="0"/>
              <w:widowControl w:val="0"/>
              <w:suppressLineNumbers w:val="0"/>
              <w:kinsoku/>
              <w:wordWrap/>
              <w:overflowPunct/>
              <w:topLinePunct w:val="0"/>
              <w:autoSpaceDE/>
              <w:autoSpaceDN/>
              <w:bidi w:val="0"/>
              <w:spacing w:before="0" w:beforeAutospacing="0" w:after="0" w:afterAutospacing="0" w:line="400" w:lineRule="exact"/>
              <w:ind w:left="0" w:right="0"/>
              <w:jc w:val="center"/>
              <w:textAlignment w:val="auto"/>
              <w:rPr>
                <w:rFonts w:hint="eastAsia" w:ascii="宋体" w:hAnsi="宋体" w:cs="宋体"/>
                <w:color w:val="auto"/>
                <w:szCs w:val="21"/>
                <w:highlight w:val="none"/>
              </w:rPr>
            </w:pPr>
            <w:r>
              <w:rPr>
                <w:rFonts w:hint="eastAsia" w:ascii="宋体" w:hAnsi="宋体" w:cs="宋体"/>
                <w:color w:val="auto"/>
                <w:szCs w:val="21"/>
                <w:highlight w:val="none"/>
              </w:rPr>
              <w:t>5亿元～10亿元</w:t>
            </w:r>
          </w:p>
        </w:tc>
        <w:tc>
          <w:tcPr>
            <w:tcW w:w="1009" w:type="pct"/>
            <w:noWrap w:val="0"/>
            <w:vAlign w:val="center"/>
          </w:tcPr>
          <w:p w14:paraId="60D387B3">
            <w:pPr>
              <w:keepNext w:val="0"/>
              <w:keepLines w:val="0"/>
              <w:pageBreakBefore w:val="0"/>
              <w:widowControl w:val="0"/>
              <w:suppressLineNumbers w:val="0"/>
              <w:kinsoku/>
              <w:wordWrap/>
              <w:overflowPunct/>
              <w:topLinePunct w:val="0"/>
              <w:autoSpaceDE/>
              <w:autoSpaceDN/>
              <w:bidi w:val="0"/>
              <w:spacing w:before="0" w:beforeAutospacing="0" w:after="0" w:afterAutospacing="0" w:line="400" w:lineRule="exact"/>
              <w:ind w:left="0" w:right="0" w:firstLine="105" w:firstLineChars="50"/>
              <w:jc w:val="center"/>
              <w:textAlignment w:val="auto"/>
              <w:rPr>
                <w:rFonts w:hint="eastAsia" w:ascii="宋体" w:hAnsi="宋体" w:cs="宋体"/>
                <w:color w:val="auto"/>
                <w:szCs w:val="21"/>
                <w:highlight w:val="none"/>
              </w:rPr>
            </w:pPr>
            <w:r>
              <w:rPr>
                <w:rFonts w:hint="eastAsia" w:ascii="宋体" w:hAnsi="宋体" w:cs="宋体"/>
                <w:color w:val="auto"/>
                <w:szCs w:val="21"/>
                <w:highlight w:val="none"/>
              </w:rPr>
              <w:t>0.035%</w:t>
            </w:r>
          </w:p>
        </w:tc>
        <w:tc>
          <w:tcPr>
            <w:tcW w:w="1026" w:type="pct"/>
            <w:noWrap w:val="0"/>
            <w:vAlign w:val="center"/>
          </w:tcPr>
          <w:p w14:paraId="610B9B08">
            <w:pPr>
              <w:keepNext w:val="0"/>
              <w:keepLines w:val="0"/>
              <w:pageBreakBefore w:val="0"/>
              <w:widowControl w:val="0"/>
              <w:suppressLineNumbers w:val="0"/>
              <w:kinsoku/>
              <w:wordWrap/>
              <w:overflowPunct/>
              <w:topLinePunct w:val="0"/>
              <w:autoSpaceDE/>
              <w:autoSpaceDN/>
              <w:bidi w:val="0"/>
              <w:spacing w:before="0" w:beforeAutospacing="0" w:after="0" w:afterAutospacing="0" w:line="400" w:lineRule="exact"/>
              <w:ind w:left="0" w:right="0"/>
              <w:jc w:val="center"/>
              <w:textAlignment w:val="auto"/>
              <w:rPr>
                <w:rFonts w:hint="eastAsia" w:ascii="宋体" w:hAnsi="宋体" w:cs="宋体"/>
                <w:color w:val="auto"/>
                <w:szCs w:val="21"/>
                <w:highlight w:val="none"/>
              </w:rPr>
            </w:pPr>
            <w:r>
              <w:rPr>
                <w:rFonts w:hint="eastAsia" w:ascii="宋体" w:hAnsi="宋体" w:cs="宋体"/>
                <w:color w:val="auto"/>
                <w:szCs w:val="21"/>
                <w:highlight w:val="none"/>
              </w:rPr>
              <w:t>0.035%</w:t>
            </w:r>
          </w:p>
        </w:tc>
        <w:tc>
          <w:tcPr>
            <w:tcW w:w="853" w:type="pct"/>
            <w:noWrap w:val="0"/>
            <w:vAlign w:val="center"/>
          </w:tcPr>
          <w:p w14:paraId="71A45B93">
            <w:pPr>
              <w:keepNext w:val="0"/>
              <w:keepLines w:val="0"/>
              <w:pageBreakBefore w:val="0"/>
              <w:widowControl w:val="0"/>
              <w:suppressLineNumbers w:val="0"/>
              <w:kinsoku/>
              <w:wordWrap/>
              <w:overflowPunct/>
              <w:topLinePunct w:val="0"/>
              <w:autoSpaceDE/>
              <w:autoSpaceDN/>
              <w:bidi w:val="0"/>
              <w:spacing w:before="0" w:beforeAutospacing="0" w:after="0" w:afterAutospacing="0" w:line="400" w:lineRule="exact"/>
              <w:ind w:left="0" w:right="0" w:firstLine="105" w:firstLineChars="50"/>
              <w:jc w:val="center"/>
              <w:textAlignment w:val="auto"/>
              <w:rPr>
                <w:rFonts w:hint="eastAsia" w:ascii="宋体" w:hAnsi="宋体" w:cs="宋体"/>
                <w:color w:val="auto"/>
                <w:szCs w:val="21"/>
                <w:highlight w:val="none"/>
              </w:rPr>
            </w:pPr>
            <w:r>
              <w:rPr>
                <w:rFonts w:hint="eastAsia" w:ascii="宋体" w:hAnsi="宋体" w:cs="宋体"/>
                <w:color w:val="auto"/>
                <w:szCs w:val="21"/>
                <w:highlight w:val="none"/>
              </w:rPr>
              <w:t>0.035%</w:t>
            </w:r>
          </w:p>
        </w:tc>
      </w:tr>
      <w:tr w14:paraId="5199FE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12" w:type="pct"/>
            <w:noWrap w:val="0"/>
            <w:vAlign w:val="center"/>
          </w:tcPr>
          <w:p w14:paraId="65CA59F3">
            <w:pPr>
              <w:keepNext w:val="0"/>
              <w:keepLines w:val="0"/>
              <w:pageBreakBefore w:val="0"/>
              <w:widowControl w:val="0"/>
              <w:suppressLineNumbers w:val="0"/>
              <w:kinsoku/>
              <w:wordWrap/>
              <w:overflowPunct/>
              <w:topLinePunct w:val="0"/>
              <w:autoSpaceDE/>
              <w:autoSpaceDN/>
              <w:bidi w:val="0"/>
              <w:spacing w:before="0" w:beforeAutospacing="0" w:after="0" w:afterAutospacing="0" w:line="400" w:lineRule="exact"/>
              <w:ind w:left="0" w:right="0"/>
              <w:jc w:val="center"/>
              <w:textAlignment w:val="auto"/>
              <w:rPr>
                <w:rFonts w:hint="eastAsia" w:ascii="宋体" w:hAnsi="宋体" w:cs="宋体"/>
                <w:color w:val="auto"/>
                <w:szCs w:val="21"/>
                <w:highlight w:val="none"/>
              </w:rPr>
            </w:pPr>
            <w:r>
              <w:rPr>
                <w:rFonts w:hint="eastAsia" w:ascii="宋体" w:hAnsi="宋体" w:cs="宋体"/>
                <w:color w:val="auto"/>
                <w:szCs w:val="21"/>
                <w:highlight w:val="none"/>
              </w:rPr>
              <w:t>10亿元～50亿元</w:t>
            </w:r>
          </w:p>
        </w:tc>
        <w:tc>
          <w:tcPr>
            <w:tcW w:w="1009" w:type="pct"/>
            <w:noWrap w:val="0"/>
            <w:vAlign w:val="center"/>
          </w:tcPr>
          <w:p w14:paraId="10559169">
            <w:pPr>
              <w:keepNext w:val="0"/>
              <w:keepLines w:val="0"/>
              <w:pageBreakBefore w:val="0"/>
              <w:widowControl w:val="0"/>
              <w:suppressLineNumbers w:val="0"/>
              <w:kinsoku/>
              <w:wordWrap/>
              <w:overflowPunct/>
              <w:topLinePunct w:val="0"/>
              <w:autoSpaceDE/>
              <w:autoSpaceDN/>
              <w:bidi w:val="0"/>
              <w:spacing w:before="0" w:beforeAutospacing="0" w:after="0" w:afterAutospacing="0" w:line="400" w:lineRule="exact"/>
              <w:ind w:left="0" w:right="0" w:firstLine="105" w:firstLineChars="50"/>
              <w:jc w:val="center"/>
              <w:textAlignment w:val="auto"/>
              <w:rPr>
                <w:rFonts w:hint="eastAsia" w:ascii="宋体" w:hAnsi="宋体" w:cs="宋体"/>
                <w:color w:val="auto"/>
                <w:szCs w:val="21"/>
                <w:highlight w:val="none"/>
              </w:rPr>
            </w:pPr>
            <w:r>
              <w:rPr>
                <w:rFonts w:hint="eastAsia" w:ascii="宋体" w:hAnsi="宋体" w:cs="宋体"/>
                <w:color w:val="auto"/>
                <w:szCs w:val="21"/>
                <w:highlight w:val="none"/>
              </w:rPr>
              <w:t>0.008%</w:t>
            </w:r>
          </w:p>
        </w:tc>
        <w:tc>
          <w:tcPr>
            <w:tcW w:w="1026" w:type="pct"/>
            <w:noWrap w:val="0"/>
            <w:vAlign w:val="center"/>
          </w:tcPr>
          <w:p w14:paraId="32554334">
            <w:pPr>
              <w:keepNext w:val="0"/>
              <w:keepLines w:val="0"/>
              <w:pageBreakBefore w:val="0"/>
              <w:widowControl w:val="0"/>
              <w:suppressLineNumbers w:val="0"/>
              <w:kinsoku/>
              <w:wordWrap/>
              <w:overflowPunct/>
              <w:topLinePunct w:val="0"/>
              <w:autoSpaceDE/>
              <w:autoSpaceDN/>
              <w:bidi w:val="0"/>
              <w:spacing w:before="0" w:beforeAutospacing="0" w:after="0" w:afterAutospacing="0" w:line="400" w:lineRule="exact"/>
              <w:ind w:left="0" w:right="0" w:firstLine="210" w:firstLineChars="100"/>
              <w:jc w:val="center"/>
              <w:textAlignment w:val="auto"/>
              <w:rPr>
                <w:rFonts w:hint="eastAsia" w:ascii="宋体" w:hAnsi="宋体" w:cs="宋体"/>
                <w:color w:val="auto"/>
                <w:szCs w:val="21"/>
                <w:highlight w:val="none"/>
              </w:rPr>
            </w:pPr>
            <w:r>
              <w:rPr>
                <w:rFonts w:hint="eastAsia" w:ascii="宋体" w:hAnsi="宋体" w:cs="宋体"/>
                <w:color w:val="auto"/>
                <w:szCs w:val="21"/>
                <w:highlight w:val="none"/>
              </w:rPr>
              <w:t>0.008%</w:t>
            </w:r>
          </w:p>
        </w:tc>
        <w:tc>
          <w:tcPr>
            <w:tcW w:w="853" w:type="pct"/>
            <w:noWrap w:val="0"/>
            <w:vAlign w:val="center"/>
          </w:tcPr>
          <w:p w14:paraId="1E02D6D0">
            <w:pPr>
              <w:keepNext w:val="0"/>
              <w:keepLines w:val="0"/>
              <w:pageBreakBefore w:val="0"/>
              <w:widowControl w:val="0"/>
              <w:suppressLineNumbers w:val="0"/>
              <w:kinsoku/>
              <w:wordWrap/>
              <w:overflowPunct/>
              <w:topLinePunct w:val="0"/>
              <w:autoSpaceDE/>
              <w:autoSpaceDN/>
              <w:bidi w:val="0"/>
              <w:spacing w:before="0" w:beforeAutospacing="0" w:after="0" w:afterAutospacing="0" w:line="400" w:lineRule="exact"/>
              <w:ind w:left="0" w:right="0" w:firstLine="105" w:firstLineChars="50"/>
              <w:jc w:val="center"/>
              <w:textAlignment w:val="auto"/>
              <w:rPr>
                <w:rFonts w:hint="eastAsia" w:ascii="宋体" w:hAnsi="宋体" w:cs="宋体"/>
                <w:color w:val="auto"/>
                <w:szCs w:val="21"/>
                <w:highlight w:val="none"/>
              </w:rPr>
            </w:pPr>
            <w:r>
              <w:rPr>
                <w:rFonts w:hint="eastAsia" w:ascii="宋体" w:hAnsi="宋体" w:cs="宋体"/>
                <w:color w:val="auto"/>
                <w:szCs w:val="21"/>
                <w:highlight w:val="none"/>
              </w:rPr>
              <w:t>0.008%</w:t>
            </w:r>
          </w:p>
        </w:tc>
      </w:tr>
      <w:tr w14:paraId="5C8427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12" w:type="pct"/>
            <w:noWrap w:val="0"/>
            <w:vAlign w:val="center"/>
          </w:tcPr>
          <w:p w14:paraId="6E8067B2">
            <w:pPr>
              <w:keepNext w:val="0"/>
              <w:keepLines w:val="0"/>
              <w:pageBreakBefore w:val="0"/>
              <w:widowControl w:val="0"/>
              <w:suppressLineNumbers w:val="0"/>
              <w:kinsoku/>
              <w:wordWrap/>
              <w:overflowPunct/>
              <w:topLinePunct w:val="0"/>
              <w:autoSpaceDE/>
              <w:autoSpaceDN/>
              <w:bidi w:val="0"/>
              <w:spacing w:before="0" w:beforeAutospacing="0" w:after="0" w:afterAutospacing="0" w:line="400" w:lineRule="exact"/>
              <w:ind w:left="0" w:right="0"/>
              <w:jc w:val="center"/>
              <w:textAlignment w:val="auto"/>
              <w:rPr>
                <w:rFonts w:hint="eastAsia" w:ascii="宋体" w:hAnsi="宋体" w:cs="宋体"/>
                <w:color w:val="auto"/>
                <w:szCs w:val="21"/>
                <w:highlight w:val="none"/>
              </w:rPr>
            </w:pPr>
            <w:r>
              <w:rPr>
                <w:rFonts w:hint="eastAsia" w:ascii="宋体" w:hAnsi="宋体" w:cs="宋体"/>
                <w:color w:val="auto"/>
                <w:szCs w:val="21"/>
                <w:highlight w:val="none"/>
              </w:rPr>
              <w:t>50亿元～100亿元</w:t>
            </w:r>
          </w:p>
        </w:tc>
        <w:tc>
          <w:tcPr>
            <w:tcW w:w="1009" w:type="pct"/>
            <w:noWrap w:val="0"/>
            <w:vAlign w:val="center"/>
          </w:tcPr>
          <w:p w14:paraId="4A0A7C93">
            <w:pPr>
              <w:keepNext w:val="0"/>
              <w:keepLines w:val="0"/>
              <w:pageBreakBefore w:val="0"/>
              <w:widowControl w:val="0"/>
              <w:suppressLineNumbers w:val="0"/>
              <w:kinsoku/>
              <w:wordWrap/>
              <w:overflowPunct/>
              <w:topLinePunct w:val="0"/>
              <w:autoSpaceDE/>
              <w:autoSpaceDN/>
              <w:bidi w:val="0"/>
              <w:spacing w:before="0" w:beforeAutospacing="0" w:after="0" w:afterAutospacing="0" w:line="400" w:lineRule="exact"/>
              <w:ind w:left="0" w:right="0"/>
              <w:jc w:val="center"/>
              <w:textAlignment w:val="auto"/>
              <w:rPr>
                <w:rFonts w:hint="eastAsia" w:ascii="宋体" w:hAnsi="宋体" w:cs="宋体"/>
                <w:color w:val="auto"/>
                <w:szCs w:val="21"/>
                <w:highlight w:val="none"/>
              </w:rPr>
            </w:pPr>
            <w:r>
              <w:rPr>
                <w:rFonts w:hint="eastAsia" w:ascii="宋体" w:hAnsi="宋体" w:cs="宋体"/>
                <w:color w:val="auto"/>
                <w:szCs w:val="21"/>
                <w:highlight w:val="none"/>
              </w:rPr>
              <w:t>0.006%</w:t>
            </w:r>
          </w:p>
        </w:tc>
        <w:tc>
          <w:tcPr>
            <w:tcW w:w="1026" w:type="pct"/>
            <w:noWrap w:val="0"/>
            <w:vAlign w:val="center"/>
          </w:tcPr>
          <w:p w14:paraId="45BEB24A">
            <w:pPr>
              <w:keepNext w:val="0"/>
              <w:keepLines w:val="0"/>
              <w:pageBreakBefore w:val="0"/>
              <w:widowControl w:val="0"/>
              <w:suppressLineNumbers w:val="0"/>
              <w:kinsoku/>
              <w:wordWrap/>
              <w:overflowPunct/>
              <w:topLinePunct w:val="0"/>
              <w:autoSpaceDE/>
              <w:autoSpaceDN/>
              <w:bidi w:val="0"/>
              <w:spacing w:before="0" w:beforeAutospacing="0" w:after="0" w:afterAutospacing="0" w:line="400" w:lineRule="exact"/>
              <w:ind w:left="0" w:right="0" w:firstLine="210" w:firstLineChars="100"/>
              <w:jc w:val="center"/>
              <w:textAlignment w:val="auto"/>
              <w:rPr>
                <w:rFonts w:hint="eastAsia" w:ascii="宋体" w:hAnsi="宋体" w:cs="宋体"/>
                <w:color w:val="auto"/>
                <w:szCs w:val="21"/>
                <w:highlight w:val="none"/>
              </w:rPr>
            </w:pPr>
            <w:r>
              <w:rPr>
                <w:rFonts w:hint="eastAsia" w:ascii="宋体" w:hAnsi="宋体" w:cs="宋体"/>
                <w:color w:val="auto"/>
                <w:szCs w:val="21"/>
                <w:highlight w:val="none"/>
              </w:rPr>
              <w:t>0.006%</w:t>
            </w:r>
          </w:p>
        </w:tc>
        <w:tc>
          <w:tcPr>
            <w:tcW w:w="853" w:type="pct"/>
            <w:noWrap w:val="0"/>
            <w:vAlign w:val="center"/>
          </w:tcPr>
          <w:p w14:paraId="1F13DF3F">
            <w:pPr>
              <w:keepNext w:val="0"/>
              <w:keepLines w:val="0"/>
              <w:pageBreakBefore w:val="0"/>
              <w:widowControl w:val="0"/>
              <w:suppressLineNumbers w:val="0"/>
              <w:kinsoku/>
              <w:wordWrap/>
              <w:overflowPunct/>
              <w:topLinePunct w:val="0"/>
              <w:autoSpaceDE/>
              <w:autoSpaceDN/>
              <w:bidi w:val="0"/>
              <w:spacing w:before="0" w:beforeAutospacing="0" w:after="0" w:afterAutospacing="0" w:line="400" w:lineRule="exact"/>
              <w:ind w:left="0" w:right="0" w:firstLine="105" w:firstLineChars="50"/>
              <w:jc w:val="center"/>
              <w:textAlignment w:val="auto"/>
              <w:rPr>
                <w:rFonts w:hint="eastAsia" w:ascii="宋体" w:hAnsi="宋体" w:cs="宋体"/>
                <w:color w:val="auto"/>
                <w:szCs w:val="21"/>
                <w:highlight w:val="none"/>
              </w:rPr>
            </w:pPr>
            <w:r>
              <w:rPr>
                <w:rFonts w:hint="eastAsia" w:ascii="宋体" w:hAnsi="宋体" w:cs="宋体"/>
                <w:color w:val="auto"/>
                <w:szCs w:val="21"/>
                <w:highlight w:val="none"/>
              </w:rPr>
              <w:t>0.006%</w:t>
            </w:r>
          </w:p>
        </w:tc>
      </w:tr>
      <w:tr w14:paraId="42FD5B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12" w:type="pct"/>
            <w:noWrap w:val="0"/>
            <w:vAlign w:val="center"/>
          </w:tcPr>
          <w:p w14:paraId="02DA72AD">
            <w:pPr>
              <w:keepNext w:val="0"/>
              <w:keepLines w:val="0"/>
              <w:pageBreakBefore w:val="0"/>
              <w:widowControl w:val="0"/>
              <w:suppressLineNumbers w:val="0"/>
              <w:kinsoku/>
              <w:wordWrap/>
              <w:overflowPunct/>
              <w:topLinePunct w:val="0"/>
              <w:autoSpaceDE/>
              <w:autoSpaceDN/>
              <w:bidi w:val="0"/>
              <w:spacing w:before="0" w:beforeAutospacing="0" w:after="0" w:afterAutospacing="0" w:line="400" w:lineRule="exact"/>
              <w:ind w:left="0" w:right="0"/>
              <w:jc w:val="center"/>
              <w:textAlignment w:val="auto"/>
              <w:rPr>
                <w:rFonts w:hint="eastAsia" w:ascii="宋体" w:hAnsi="宋体" w:cs="宋体"/>
                <w:color w:val="auto"/>
                <w:szCs w:val="21"/>
                <w:highlight w:val="none"/>
              </w:rPr>
            </w:pPr>
            <w:r>
              <w:rPr>
                <w:rFonts w:hint="eastAsia" w:ascii="宋体" w:hAnsi="宋体" w:cs="宋体"/>
                <w:color w:val="auto"/>
                <w:szCs w:val="21"/>
                <w:highlight w:val="none"/>
              </w:rPr>
              <w:t>100</w:t>
            </w:r>
            <w:r>
              <w:rPr>
                <w:rFonts w:hint="eastAsia" w:ascii="宋体" w:hAnsi="宋体" w:cs="宋体"/>
                <w:color w:val="auto"/>
                <w:szCs w:val="21"/>
                <w:highlight w:val="none"/>
                <w:lang w:eastAsia="zh-CN"/>
              </w:rPr>
              <w:t>亿元</w:t>
            </w:r>
            <w:r>
              <w:rPr>
                <w:rFonts w:hint="eastAsia" w:ascii="宋体" w:hAnsi="宋体" w:cs="宋体"/>
                <w:color w:val="auto"/>
                <w:szCs w:val="21"/>
                <w:highlight w:val="none"/>
              </w:rPr>
              <w:t>以上</w:t>
            </w:r>
          </w:p>
        </w:tc>
        <w:tc>
          <w:tcPr>
            <w:tcW w:w="1009" w:type="pct"/>
            <w:noWrap w:val="0"/>
            <w:vAlign w:val="center"/>
          </w:tcPr>
          <w:p w14:paraId="1AD7A9A1">
            <w:pPr>
              <w:keepNext w:val="0"/>
              <w:keepLines w:val="0"/>
              <w:pageBreakBefore w:val="0"/>
              <w:widowControl w:val="0"/>
              <w:suppressLineNumbers w:val="0"/>
              <w:kinsoku/>
              <w:wordWrap/>
              <w:overflowPunct/>
              <w:topLinePunct w:val="0"/>
              <w:autoSpaceDE/>
              <w:autoSpaceDN/>
              <w:bidi w:val="0"/>
              <w:spacing w:before="0" w:beforeAutospacing="0" w:after="0" w:afterAutospacing="0" w:line="400" w:lineRule="exact"/>
              <w:ind w:left="0" w:right="0"/>
              <w:jc w:val="center"/>
              <w:textAlignment w:val="auto"/>
              <w:rPr>
                <w:rFonts w:hint="eastAsia" w:ascii="宋体" w:hAnsi="宋体" w:cs="宋体"/>
                <w:color w:val="auto"/>
                <w:szCs w:val="21"/>
                <w:highlight w:val="none"/>
              </w:rPr>
            </w:pPr>
            <w:r>
              <w:rPr>
                <w:rFonts w:hint="eastAsia" w:ascii="宋体" w:hAnsi="宋体" w:cs="宋体"/>
                <w:color w:val="auto"/>
                <w:szCs w:val="21"/>
                <w:highlight w:val="none"/>
              </w:rPr>
              <w:t>0.004%</w:t>
            </w:r>
          </w:p>
        </w:tc>
        <w:tc>
          <w:tcPr>
            <w:tcW w:w="1026" w:type="pct"/>
            <w:noWrap w:val="0"/>
            <w:vAlign w:val="center"/>
          </w:tcPr>
          <w:p w14:paraId="6A74B7DF">
            <w:pPr>
              <w:keepNext w:val="0"/>
              <w:keepLines w:val="0"/>
              <w:pageBreakBefore w:val="0"/>
              <w:widowControl w:val="0"/>
              <w:suppressLineNumbers w:val="0"/>
              <w:kinsoku/>
              <w:wordWrap/>
              <w:overflowPunct/>
              <w:topLinePunct w:val="0"/>
              <w:autoSpaceDE/>
              <w:autoSpaceDN/>
              <w:bidi w:val="0"/>
              <w:spacing w:before="0" w:beforeAutospacing="0" w:after="0" w:afterAutospacing="0" w:line="400" w:lineRule="exact"/>
              <w:ind w:left="0" w:right="0" w:firstLine="210" w:firstLineChars="100"/>
              <w:jc w:val="center"/>
              <w:textAlignment w:val="auto"/>
              <w:rPr>
                <w:rFonts w:hint="eastAsia" w:ascii="宋体" w:hAnsi="宋体" w:cs="宋体"/>
                <w:color w:val="auto"/>
                <w:szCs w:val="21"/>
                <w:highlight w:val="none"/>
              </w:rPr>
            </w:pPr>
            <w:r>
              <w:rPr>
                <w:rFonts w:hint="eastAsia" w:ascii="宋体" w:hAnsi="宋体" w:cs="宋体"/>
                <w:color w:val="auto"/>
                <w:szCs w:val="21"/>
                <w:highlight w:val="none"/>
              </w:rPr>
              <w:t>0.004%</w:t>
            </w:r>
          </w:p>
        </w:tc>
        <w:tc>
          <w:tcPr>
            <w:tcW w:w="853" w:type="pct"/>
            <w:noWrap w:val="0"/>
            <w:vAlign w:val="center"/>
          </w:tcPr>
          <w:p w14:paraId="233330A1">
            <w:pPr>
              <w:keepNext w:val="0"/>
              <w:keepLines w:val="0"/>
              <w:pageBreakBefore w:val="0"/>
              <w:widowControl w:val="0"/>
              <w:suppressLineNumbers w:val="0"/>
              <w:kinsoku/>
              <w:wordWrap/>
              <w:overflowPunct/>
              <w:topLinePunct w:val="0"/>
              <w:autoSpaceDE/>
              <w:autoSpaceDN/>
              <w:bidi w:val="0"/>
              <w:spacing w:before="0" w:beforeAutospacing="0" w:after="0" w:afterAutospacing="0" w:line="400" w:lineRule="exact"/>
              <w:ind w:left="0" w:right="0" w:firstLine="105" w:firstLineChars="50"/>
              <w:jc w:val="center"/>
              <w:textAlignment w:val="auto"/>
              <w:rPr>
                <w:rFonts w:hint="eastAsia" w:ascii="宋体" w:hAnsi="宋体" w:cs="宋体"/>
                <w:color w:val="auto"/>
                <w:szCs w:val="21"/>
                <w:highlight w:val="none"/>
              </w:rPr>
            </w:pPr>
            <w:r>
              <w:rPr>
                <w:rFonts w:hint="eastAsia" w:ascii="宋体" w:hAnsi="宋体" w:cs="宋体"/>
                <w:color w:val="auto"/>
                <w:szCs w:val="21"/>
                <w:highlight w:val="none"/>
              </w:rPr>
              <w:t>0.004%</w:t>
            </w:r>
          </w:p>
        </w:tc>
      </w:tr>
    </w:tbl>
    <w:p w14:paraId="6CBEB872">
      <w:pPr>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注：</w:t>
      </w:r>
    </w:p>
    <w:p w14:paraId="2BA14A1A">
      <w:pPr>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（1）</w:t>
      </w:r>
      <w:r>
        <w:rPr>
          <w:rFonts w:hint="eastAsia" w:ascii="宋体" w:hAnsi="宋体" w:cs="宋体"/>
          <w:color w:val="auto"/>
          <w:szCs w:val="21"/>
          <w:highlight w:val="none"/>
          <w:lang w:eastAsia="zh-CN"/>
        </w:rPr>
        <w:t>本项目</w:t>
      </w:r>
      <w:r>
        <w:rPr>
          <w:rFonts w:hint="eastAsia" w:ascii="宋体" w:hAnsi="宋体" w:cs="宋体"/>
          <w:color w:val="auto"/>
          <w:szCs w:val="21"/>
          <w:highlight w:val="none"/>
        </w:rPr>
        <w:t>按本表</w:t>
      </w:r>
      <w:r>
        <w:rPr>
          <w:rFonts w:hint="eastAsia" w:ascii="宋体" w:hAnsi="宋体" w:cs="宋体"/>
          <w:color w:val="auto"/>
          <w:szCs w:val="21"/>
          <w:highlight w:val="none"/>
          <w:lang w:eastAsia="zh-CN"/>
        </w:rPr>
        <w:t>服务</w:t>
      </w:r>
      <w:r>
        <w:rPr>
          <w:rFonts w:hint="eastAsia" w:ascii="宋体" w:hAnsi="宋体" w:cs="宋体"/>
          <w:color w:val="auto"/>
          <w:szCs w:val="21"/>
          <w:highlight w:val="none"/>
          <w:lang w:val="en-US" w:eastAsia="zh-CN"/>
        </w:rPr>
        <w:t>类招标</w:t>
      </w:r>
      <w:r>
        <w:rPr>
          <w:rFonts w:hint="eastAsia" w:ascii="宋体" w:hAnsi="宋体" w:cs="宋体"/>
          <w:color w:val="auto"/>
          <w:szCs w:val="21"/>
          <w:highlight w:val="none"/>
        </w:rPr>
        <w:t>费率计算的收费为采购代理的收费基准价格；</w:t>
      </w:r>
    </w:p>
    <w:p w14:paraId="70CC96EB">
      <w:pPr>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（2）采购代理收费按差额定率累进法计算。</w:t>
      </w:r>
    </w:p>
    <w:p w14:paraId="0B6725BA">
      <w:pPr>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例如：某服务采购代理业务中标金额或者暂定价为200万元，计算采购代理收费额如下：</w:t>
      </w:r>
    </w:p>
    <w:p w14:paraId="63035CCA">
      <w:pPr>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100 万元×l.5 %＝ 1.5 万元</w:t>
      </w:r>
    </w:p>
    <w:p w14:paraId="18BF01EE">
      <w:pPr>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（200－100）万元 ×0.8%＝0.8万元</w:t>
      </w:r>
    </w:p>
    <w:p w14:paraId="45A369D2">
      <w:pPr>
        <w:pStyle w:val="20"/>
        <w:keepNext w:val="0"/>
        <w:keepLines w:val="0"/>
        <w:pageBreakBefore w:val="0"/>
        <w:widowControl w:val="0"/>
        <w:kinsoku/>
        <w:wordWrap/>
        <w:overflowPunct/>
        <w:topLinePunct w:val="0"/>
        <w:autoSpaceDE/>
        <w:autoSpaceDN/>
        <w:bidi w:val="0"/>
        <w:snapToGrid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合计收费＝ 1.5+0.8＝ 2.3（万元）</w:t>
      </w:r>
    </w:p>
    <w:p w14:paraId="5B033742">
      <w:pPr>
        <w:keepNext w:val="0"/>
        <w:keepLines w:val="0"/>
        <w:pageBreakBefore w:val="0"/>
        <w:widowControl w:val="0"/>
        <w:kinsoku/>
        <w:wordWrap/>
        <w:overflowPunct/>
        <w:topLinePunct w:val="0"/>
        <w:autoSpaceDE/>
        <w:autoSpaceDN/>
        <w:bidi w:val="0"/>
        <w:spacing w:line="400" w:lineRule="exact"/>
        <w:ind w:firstLine="482" w:firstLineChars="200"/>
        <w:textAlignment w:val="auto"/>
        <w:rPr>
          <w:rFonts w:hint="eastAsia" w:ascii="宋体" w:hAnsi="宋体" w:cs="宋体"/>
          <w:b/>
          <w:color w:val="auto"/>
          <w:sz w:val="24"/>
          <w:highlight w:val="none"/>
        </w:rPr>
      </w:pPr>
      <w:r>
        <w:rPr>
          <w:rFonts w:hint="eastAsia" w:ascii="宋体" w:hAnsi="宋体" w:cs="宋体"/>
          <w:b/>
          <w:color w:val="auto"/>
          <w:sz w:val="24"/>
          <w:highlight w:val="none"/>
        </w:rPr>
        <w:t>40. 需要补充的其他内容</w:t>
      </w:r>
    </w:p>
    <w:p w14:paraId="34679B24">
      <w:pPr>
        <w:pStyle w:val="20"/>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40.1本招标文件解释规则详见“投标人须知前附表”。</w:t>
      </w:r>
    </w:p>
    <w:p w14:paraId="1AA2D815">
      <w:pPr>
        <w:pStyle w:val="20"/>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40.2 其他事项详见“投标人须知前附表”。</w:t>
      </w:r>
    </w:p>
    <w:p w14:paraId="55D56E92">
      <w:pPr>
        <w:pStyle w:val="20"/>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40.3本招标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货物、工程或者服务符合下列情形的，享受本招标文件规定的中小企业扶持政策：</w:t>
      </w:r>
    </w:p>
    <w:p w14:paraId="200D0474">
      <w:pPr>
        <w:pStyle w:val="20"/>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（1）在货物采购项目中，货物由中小企业制造，即货物由中小企业生产且使用该中小企业商号或者注册商标，不对其中涉及的工程承建商和服务的承接商作出要求；</w:t>
      </w:r>
    </w:p>
    <w:p w14:paraId="3C1BB723">
      <w:pPr>
        <w:pStyle w:val="20"/>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（2）在工程采购项目中，工程由中小企业承建，即工程施工单位为中小企业，不对其中涉及的货物的制造商和服务的承接商作出要求；</w:t>
      </w:r>
    </w:p>
    <w:p w14:paraId="7732EBC2">
      <w:pPr>
        <w:pStyle w:val="20"/>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（3）在服务采购项目中，服务由中小企业承接，即提供服务的人员为中小企业依照《中华人民共和国劳动合同法》订立劳动合同的从业人员，不对其中涉及的货物的制造商和工程承建商作出要求。</w:t>
      </w:r>
    </w:p>
    <w:p w14:paraId="5F6603B2">
      <w:pPr>
        <w:pStyle w:val="20"/>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在货物采购项目中，供应商提供的货物既有中小企业制造货物，也有大型企业制造货物的，不享受本招标文件规定的中小企业扶持政策。以联合体形式参加政府采购活动，联合体各方均为中小企业的，联合体视同中小企业。其中，联合体各方均为小微企业的，联合体视同小微企业。</w:t>
      </w:r>
    </w:p>
    <w:p w14:paraId="260D6B02">
      <w:pPr>
        <w:pStyle w:val="20"/>
        <w:keepNext w:val="0"/>
        <w:keepLines w:val="0"/>
        <w:pageBreakBefore w:val="0"/>
        <w:widowControl w:val="0"/>
        <w:kinsoku/>
        <w:wordWrap/>
        <w:overflowPunct/>
        <w:topLinePunct w:val="0"/>
        <w:autoSpaceDE/>
        <w:autoSpaceDN/>
        <w:bidi w:val="0"/>
        <w:spacing w:line="400" w:lineRule="exact"/>
        <w:ind w:firstLine="420" w:firstLineChars="200"/>
        <w:textAlignment w:val="auto"/>
        <w:rPr>
          <w:rFonts w:hAnsi="宋体" w:cs="宋体"/>
          <w:color w:val="auto"/>
          <w:highlight w:val="none"/>
        </w:rPr>
      </w:pPr>
      <w:r>
        <w:rPr>
          <w:rFonts w:hint="eastAsia" w:hAnsi="宋体" w:cs="宋体"/>
          <w:color w:val="auto"/>
          <w:highlight w:val="none"/>
        </w:rPr>
        <w:t>依据本招标文件规定享受扶持政策获得政府采购合同的，小微企业不得将合同分包给大中型企业，中型企业不得将合同分包给大型企业。</w:t>
      </w:r>
    </w:p>
    <w:p w14:paraId="65EAEFBA">
      <w:pPr>
        <w:pStyle w:val="15"/>
        <w:spacing w:line="360" w:lineRule="auto"/>
        <w:rPr>
          <w:rFonts w:hint="eastAsia" w:ascii="宋体" w:hAnsi="宋体" w:cs="宋体"/>
          <w:color w:val="auto"/>
          <w:highlight w:val="none"/>
        </w:rPr>
      </w:pPr>
      <w:r>
        <w:rPr>
          <w:color w:val="auto"/>
          <w:highlight w:val="none"/>
        </w:rPr>
        <w:br w:type="page"/>
      </w:r>
      <w:r>
        <w:rPr>
          <w:rFonts w:hint="eastAsia" w:ascii="宋体" w:hAnsi="宋体" w:cs="宋体"/>
          <w:b/>
          <w:bCs/>
          <w:color w:val="auto"/>
          <w:sz w:val="36"/>
          <w:szCs w:val="36"/>
          <w:highlight w:val="none"/>
        </w:rPr>
        <w:t>附件1：</w:t>
      </w:r>
    </w:p>
    <w:p w14:paraId="2022455B">
      <w:pPr>
        <w:widowControl/>
        <w:shd w:val="clear" w:color="auto" w:fill="FFFFFF"/>
        <w:spacing w:line="360" w:lineRule="auto"/>
        <w:jc w:val="center"/>
        <w:rPr>
          <w:rFonts w:hint="eastAsia" w:ascii="宋体" w:hAnsi="宋体" w:cs="宋体"/>
          <w:color w:val="auto"/>
          <w:kern w:val="0"/>
          <w:sz w:val="44"/>
          <w:szCs w:val="44"/>
          <w:highlight w:val="none"/>
        </w:rPr>
      </w:pPr>
      <w:r>
        <w:rPr>
          <w:rFonts w:hint="eastAsia" w:ascii="宋体" w:hAnsi="宋体" w:cs="宋体"/>
          <w:color w:val="auto"/>
          <w:kern w:val="0"/>
          <w:sz w:val="44"/>
          <w:szCs w:val="44"/>
          <w:highlight w:val="none"/>
        </w:rPr>
        <w:t>广西壮族自治区政府采购项目合同验收书</w:t>
      </w:r>
    </w:p>
    <w:p w14:paraId="64E56BDF">
      <w:pPr>
        <w:keepNext w:val="0"/>
        <w:keepLines w:val="0"/>
        <w:pageBreakBefore w:val="0"/>
        <w:widowControl/>
        <w:shd w:val="clear" w:color="auto" w:fill="FFFFFF"/>
        <w:kinsoku/>
        <w:wordWrap/>
        <w:overflowPunct/>
        <w:topLinePunct w:val="0"/>
        <w:autoSpaceDE/>
        <w:autoSpaceDN/>
        <w:bidi w:val="0"/>
        <w:adjustRightInd/>
        <w:spacing w:line="400" w:lineRule="exact"/>
        <w:jc w:val="center"/>
        <w:textAlignment w:val="auto"/>
        <w:rPr>
          <w:rFonts w:hint="eastAsia" w:ascii="宋体" w:hAnsi="宋体" w:cs="宋体"/>
          <w:color w:val="auto"/>
          <w:kern w:val="0"/>
          <w:sz w:val="32"/>
          <w:szCs w:val="32"/>
          <w:highlight w:val="none"/>
        </w:rPr>
      </w:pPr>
      <w:r>
        <w:rPr>
          <w:rFonts w:hint="eastAsia" w:ascii="宋体" w:hAnsi="宋体" w:cs="宋体"/>
          <w:color w:val="auto"/>
          <w:kern w:val="0"/>
          <w:sz w:val="32"/>
          <w:szCs w:val="32"/>
          <w:highlight w:val="none"/>
        </w:rPr>
        <w:t>（格式）</w:t>
      </w:r>
    </w:p>
    <w:p w14:paraId="12DD74EA">
      <w:pPr>
        <w:keepNext w:val="0"/>
        <w:keepLines w:val="0"/>
        <w:pageBreakBefore w:val="0"/>
        <w:widowControl/>
        <w:shd w:val="clear" w:color="auto" w:fill="FFFFFF"/>
        <w:kinsoku/>
        <w:wordWrap/>
        <w:overflowPunct/>
        <w:topLinePunct w:val="0"/>
        <w:autoSpaceDE/>
        <w:autoSpaceDN/>
        <w:bidi w:val="0"/>
        <w:adjustRightInd/>
        <w:snapToGrid w:val="0"/>
        <w:spacing w:line="400" w:lineRule="exact"/>
        <w:ind w:firstLine="480"/>
        <w:jc w:val="left"/>
        <w:textAlignment w:val="auto"/>
        <w:rPr>
          <w:rFonts w:hint="eastAsia" w:ascii="宋体" w:hAnsi="宋体" w:cs="宋体"/>
          <w:color w:val="auto"/>
          <w:kern w:val="0"/>
          <w:szCs w:val="21"/>
          <w:highlight w:val="none"/>
        </w:rPr>
      </w:pPr>
      <w:r>
        <w:rPr>
          <w:rFonts w:hint="eastAsia" w:ascii="宋体" w:hAnsi="宋体" w:cs="宋体"/>
          <w:color w:val="auto"/>
          <w:kern w:val="0"/>
          <w:highlight w:val="none"/>
        </w:rPr>
        <w:t>根据政府采购项目（</w:t>
      </w:r>
      <w:r>
        <w:rPr>
          <w:rFonts w:hint="eastAsia" w:ascii="宋体" w:hAnsi="宋体" w:cs="宋体"/>
          <w:color w:val="auto"/>
          <w:kern w:val="0"/>
          <w:highlight w:val="none"/>
          <w:u w:val="single"/>
        </w:rPr>
        <w:t>采购合同编号：</w:t>
      </w:r>
      <w:r>
        <w:rPr>
          <w:rFonts w:hint="eastAsia" w:ascii="宋体" w:hAnsi="宋体" w:cs="宋体"/>
          <w:color w:val="auto"/>
          <w:kern w:val="0"/>
          <w:highlight w:val="none"/>
          <w:u w:val="single"/>
        </w:rPr>
        <w:softHyphen/>
      </w:r>
      <w:r>
        <w:rPr>
          <w:rFonts w:hint="eastAsia" w:ascii="宋体" w:hAnsi="宋体" w:cs="宋体"/>
          <w:color w:val="auto"/>
          <w:kern w:val="0"/>
          <w:highlight w:val="none"/>
          <w:u w:val="single"/>
        </w:rPr>
        <w:t xml:space="preserve"> </w:t>
      </w:r>
      <w:r>
        <w:rPr>
          <w:rFonts w:hint="eastAsia" w:ascii="宋体" w:hAnsi="宋体" w:cs="宋体"/>
          <w:color w:val="auto"/>
          <w:kern w:val="0"/>
          <w:highlight w:val="none"/>
        </w:rPr>
        <w:t>）的约定，我单位对（</w:t>
      </w:r>
      <w:r>
        <w:rPr>
          <w:rFonts w:hint="eastAsia" w:ascii="宋体" w:hAnsi="宋体" w:cs="宋体"/>
          <w:color w:val="auto"/>
          <w:kern w:val="0"/>
          <w:highlight w:val="none"/>
          <w:u w:val="single"/>
        </w:rPr>
        <w:t xml:space="preserve"> 项目名称 </w:t>
      </w:r>
      <w:r>
        <w:rPr>
          <w:rFonts w:hint="eastAsia" w:ascii="宋体" w:hAnsi="宋体" w:cs="宋体"/>
          <w:color w:val="auto"/>
          <w:kern w:val="0"/>
          <w:highlight w:val="none"/>
        </w:rPr>
        <w:t>） 政府采购项目中标（或成交）供应商（</w:t>
      </w:r>
      <w:r>
        <w:rPr>
          <w:rFonts w:hint="eastAsia" w:ascii="宋体" w:hAnsi="宋体" w:cs="宋体"/>
          <w:color w:val="auto"/>
          <w:kern w:val="0"/>
          <w:highlight w:val="none"/>
          <w:u w:val="single"/>
        </w:rPr>
        <w:t xml:space="preserve"> 公司名称 </w:t>
      </w:r>
      <w:r>
        <w:rPr>
          <w:rFonts w:hint="eastAsia" w:ascii="宋体" w:hAnsi="宋体" w:cs="宋体"/>
          <w:color w:val="auto"/>
          <w:kern w:val="0"/>
          <w:highlight w:val="none"/>
        </w:rPr>
        <w:t>） 提供的货物（或工程、服务）进行了验收，验收情况如下：</w:t>
      </w:r>
    </w:p>
    <w:tbl>
      <w:tblPr>
        <w:tblStyle w:val="39"/>
        <w:tblW w:w="9371" w:type="dxa"/>
        <w:jc w:val="center"/>
        <w:tblLayout w:type="fixed"/>
        <w:tblCellMar>
          <w:top w:w="0" w:type="dxa"/>
          <w:left w:w="0" w:type="dxa"/>
          <w:bottom w:w="0" w:type="dxa"/>
          <w:right w:w="0" w:type="dxa"/>
        </w:tblCellMar>
      </w:tblPr>
      <w:tblGrid>
        <w:gridCol w:w="1486"/>
        <w:gridCol w:w="1766"/>
        <w:gridCol w:w="798"/>
        <w:gridCol w:w="102"/>
        <w:gridCol w:w="2002"/>
        <w:gridCol w:w="178"/>
        <w:gridCol w:w="685"/>
        <w:gridCol w:w="2354"/>
      </w:tblGrid>
      <w:tr w14:paraId="4B7987D7">
        <w:tblPrEx>
          <w:tblCellMar>
            <w:top w:w="0" w:type="dxa"/>
            <w:left w:w="0" w:type="dxa"/>
            <w:bottom w:w="0" w:type="dxa"/>
            <w:right w:w="0" w:type="dxa"/>
          </w:tblCellMar>
        </w:tblPrEx>
        <w:trPr>
          <w:trHeight w:val="382" w:hRule="atLeast"/>
          <w:jc w:val="center"/>
        </w:trPr>
        <w:tc>
          <w:tcPr>
            <w:tcW w:w="3252" w:type="dxa"/>
            <w:gridSpan w:val="2"/>
            <w:tcBorders>
              <w:top w:val="single" w:color="auto" w:sz="8" w:space="0"/>
              <w:left w:val="single" w:color="auto" w:sz="8" w:space="0"/>
              <w:bottom w:val="single" w:color="auto" w:sz="8" w:space="0"/>
              <w:right w:val="single" w:color="auto" w:sz="8" w:space="0"/>
            </w:tcBorders>
            <w:noWrap w:val="0"/>
            <w:vAlign w:val="center"/>
          </w:tcPr>
          <w:p w14:paraId="709F0FB8">
            <w:pPr>
              <w:keepNext w:val="0"/>
              <w:keepLines w:val="0"/>
              <w:pageBreakBefore w:val="0"/>
              <w:widowControl/>
              <w:suppressLineNumbers w:val="0"/>
              <w:kinsoku/>
              <w:wordWrap/>
              <w:overflowPunct/>
              <w:topLinePunct w:val="0"/>
              <w:autoSpaceDE/>
              <w:autoSpaceDN/>
              <w:bidi w:val="0"/>
              <w:adjustRightInd/>
              <w:snapToGrid w:val="0"/>
              <w:spacing w:before="100" w:beforeAutospacing="1" w:after="100" w:afterAutospacing="1" w:line="400" w:lineRule="exact"/>
              <w:ind w:left="0" w:right="0" w:firstLine="5"/>
              <w:jc w:val="center"/>
              <w:textAlignment w:val="auto"/>
              <w:rPr>
                <w:rFonts w:hint="eastAsia" w:ascii="宋体" w:hAnsi="宋体" w:cs="宋体"/>
                <w:color w:val="auto"/>
                <w:kern w:val="0"/>
                <w:highlight w:val="none"/>
              </w:rPr>
            </w:pPr>
            <w:r>
              <w:rPr>
                <w:rFonts w:hint="eastAsia" w:ascii="宋体" w:hAnsi="宋体" w:cs="宋体"/>
                <w:color w:val="auto"/>
                <w:kern w:val="0"/>
                <w:highlight w:val="none"/>
              </w:rPr>
              <w:t>验收方式：</w:t>
            </w:r>
          </w:p>
        </w:tc>
        <w:tc>
          <w:tcPr>
            <w:tcW w:w="6119" w:type="dxa"/>
            <w:gridSpan w:val="6"/>
            <w:tcBorders>
              <w:top w:val="single" w:color="auto" w:sz="8" w:space="0"/>
              <w:left w:val="nil"/>
              <w:bottom w:val="single" w:color="auto" w:sz="8" w:space="0"/>
              <w:right w:val="single" w:color="auto" w:sz="8" w:space="0"/>
            </w:tcBorders>
            <w:noWrap w:val="0"/>
            <w:vAlign w:val="center"/>
          </w:tcPr>
          <w:p w14:paraId="43A04076">
            <w:pPr>
              <w:keepNext w:val="0"/>
              <w:keepLines w:val="0"/>
              <w:pageBreakBefore w:val="0"/>
              <w:widowControl/>
              <w:suppressLineNumbers w:val="0"/>
              <w:kinsoku/>
              <w:wordWrap/>
              <w:overflowPunct/>
              <w:topLinePunct w:val="0"/>
              <w:autoSpaceDE/>
              <w:autoSpaceDN/>
              <w:bidi w:val="0"/>
              <w:adjustRightInd/>
              <w:snapToGrid w:val="0"/>
              <w:spacing w:before="100" w:beforeAutospacing="1" w:after="100" w:afterAutospacing="1" w:line="400" w:lineRule="exact"/>
              <w:ind w:left="0" w:right="0" w:firstLine="480"/>
              <w:jc w:val="center"/>
              <w:textAlignment w:val="auto"/>
              <w:rPr>
                <w:rFonts w:hint="eastAsia" w:ascii="宋体" w:hAnsi="宋体" w:cs="宋体"/>
                <w:color w:val="auto"/>
                <w:kern w:val="0"/>
                <w:highlight w:val="none"/>
              </w:rPr>
            </w:pPr>
            <w:r>
              <w:rPr>
                <w:rFonts w:hint="eastAsia" w:ascii="宋体" w:hAnsi="宋体" w:cs="宋体"/>
                <w:color w:val="auto"/>
                <w:kern w:val="0"/>
                <w:highlight w:val="none"/>
              </w:rPr>
              <w:t>□自行验收 □委托验收</w:t>
            </w:r>
          </w:p>
        </w:tc>
      </w:tr>
      <w:tr w14:paraId="49187C5B">
        <w:tblPrEx>
          <w:tblCellMar>
            <w:top w:w="0" w:type="dxa"/>
            <w:left w:w="0" w:type="dxa"/>
            <w:bottom w:w="0" w:type="dxa"/>
            <w:right w:w="0" w:type="dxa"/>
          </w:tblCellMar>
        </w:tblPrEx>
        <w:trPr>
          <w:trHeight w:val="622" w:hRule="atLeast"/>
          <w:jc w:val="center"/>
        </w:trPr>
        <w:tc>
          <w:tcPr>
            <w:tcW w:w="1486" w:type="dxa"/>
            <w:tcBorders>
              <w:top w:val="nil"/>
              <w:left w:val="single" w:color="auto" w:sz="8" w:space="0"/>
              <w:bottom w:val="single" w:color="auto" w:sz="8" w:space="0"/>
              <w:right w:val="single" w:color="auto" w:sz="8" w:space="0"/>
            </w:tcBorders>
            <w:noWrap w:val="0"/>
            <w:vAlign w:val="center"/>
          </w:tcPr>
          <w:p w14:paraId="1DA002D4">
            <w:pPr>
              <w:keepNext w:val="0"/>
              <w:keepLines w:val="0"/>
              <w:pageBreakBefore w:val="0"/>
              <w:widowControl/>
              <w:suppressLineNumbers w:val="0"/>
              <w:kinsoku/>
              <w:wordWrap/>
              <w:overflowPunct/>
              <w:topLinePunct w:val="0"/>
              <w:autoSpaceDE/>
              <w:autoSpaceDN/>
              <w:bidi w:val="0"/>
              <w:adjustRightInd/>
              <w:snapToGrid w:val="0"/>
              <w:spacing w:before="100" w:beforeAutospacing="1" w:after="100" w:afterAutospacing="1" w:line="400" w:lineRule="exact"/>
              <w:ind w:left="0" w:right="0" w:firstLine="2"/>
              <w:jc w:val="center"/>
              <w:textAlignment w:val="auto"/>
              <w:rPr>
                <w:rFonts w:hint="eastAsia" w:ascii="宋体" w:hAnsi="宋体" w:cs="宋体"/>
                <w:color w:val="auto"/>
                <w:kern w:val="0"/>
                <w:highlight w:val="none"/>
              </w:rPr>
            </w:pPr>
            <w:r>
              <w:rPr>
                <w:rFonts w:hint="eastAsia" w:ascii="宋体" w:hAnsi="宋体" w:cs="宋体"/>
                <w:color w:val="auto"/>
                <w:kern w:val="0"/>
                <w:highlight w:val="none"/>
              </w:rPr>
              <w:t>序号</w:t>
            </w:r>
          </w:p>
        </w:tc>
        <w:tc>
          <w:tcPr>
            <w:tcW w:w="1766" w:type="dxa"/>
            <w:tcBorders>
              <w:top w:val="nil"/>
              <w:left w:val="nil"/>
              <w:bottom w:val="single" w:color="auto" w:sz="8" w:space="0"/>
              <w:right w:val="single" w:color="auto" w:sz="8" w:space="0"/>
            </w:tcBorders>
            <w:noWrap w:val="0"/>
            <w:vAlign w:val="center"/>
          </w:tcPr>
          <w:p w14:paraId="230D40D7">
            <w:pPr>
              <w:keepNext w:val="0"/>
              <w:keepLines w:val="0"/>
              <w:pageBreakBefore w:val="0"/>
              <w:widowControl/>
              <w:suppressLineNumbers w:val="0"/>
              <w:kinsoku/>
              <w:wordWrap/>
              <w:overflowPunct/>
              <w:topLinePunct w:val="0"/>
              <w:autoSpaceDE/>
              <w:autoSpaceDN/>
              <w:bidi w:val="0"/>
              <w:adjustRightInd/>
              <w:snapToGrid w:val="0"/>
              <w:spacing w:before="100" w:beforeAutospacing="1" w:after="100" w:afterAutospacing="1" w:line="400" w:lineRule="exact"/>
              <w:ind w:left="0" w:right="0" w:firstLine="2"/>
              <w:jc w:val="center"/>
              <w:textAlignment w:val="auto"/>
              <w:rPr>
                <w:rFonts w:hint="eastAsia" w:ascii="宋体" w:hAnsi="宋体" w:cs="宋体"/>
                <w:color w:val="auto"/>
                <w:kern w:val="0"/>
                <w:highlight w:val="none"/>
              </w:rPr>
            </w:pPr>
            <w:r>
              <w:rPr>
                <w:rFonts w:hint="eastAsia" w:ascii="宋体" w:hAnsi="宋体" w:cs="宋体"/>
                <w:color w:val="auto"/>
                <w:kern w:val="0"/>
                <w:highlight w:val="none"/>
              </w:rPr>
              <w:t>名 称</w:t>
            </w:r>
          </w:p>
        </w:tc>
        <w:tc>
          <w:tcPr>
            <w:tcW w:w="2902" w:type="dxa"/>
            <w:gridSpan w:val="3"/>
            <w:tcBorders>
              <w:top w:val="nil"/>
              <w:left w:val="nil"/>
              <w:bottom w:val="single" w:color="auto" w:sz="8" w:space="0"/>
              <w:right w:val="single" w:color="auto" w:sz="8" w:space="0"/>
            </w:tcBorders>
            <w:noWrap w:val="0"/>
            <w:vAlign w:val="center"/>
          </w:tcPr>
          <w:p w14:paraId="0AEC0474">
            <w:pPr>
              <w:keepNext w:val="0"/>
              <w:keepLines w:val="0"/>
              <w:pageBreakBefore w:val="0"/>
              <w:widowControl/>
              <w:suppressLineNumbers w:val="0"/>
              <w:kinsoku/>
              <w:wordWrap/>
              <w:overflowPunct/>
              <w:topLinePunct w:val="0"/>
              <w:autoSpaceDE/>
              <w:autoSpaceDN/>
              <w:bidi w:val="0"/>
              <w:adjustRightInd/>
              <w:snapToGrid w:val="0"/>
              <w:spacing w:before="100" w:beforeAutospacing="1" w:after="100" w:afterAutospacing="1" w:line="400" w:lineRule="exact"/>
              <w:ind w:left="0" w:right="0" w:firstLine="2"/>
              <w:jc w:val="center"/>
              <w:textAlignment w:val="auto"/>
              <w:rPr>
                <w:rFonts w:hint="eastAsia" w:ascii="宋体" w:hAnsi="宋体" w:cs="宋体"/>
                <w:color w:val="auto"/>
                <w:kern w:val="0"/>
                <w:highlight w:val="none"/>
              </w:rPr>
            </w:pPr>
            <w:r>
              <w:rPr>
                <w:rFonts w:hint="eastAsia" w:ascii="宋体" w:hAnsi="宋体" w:cs="宋体"/>
                <w:color w:val="auto"/>
                <w:kern w:val="0"/>
                <w:highlight w:val="none"/>
              </w:rPr>
              <w:t>货物型号规格、标准及配置等（或服务内容、标准）</w:t>
            </w:r>
          </w:p>
        </w:tc>
        <w:tc>
          <w:tcPr>
            <w:tcW w:w="863" w:type="dxa"/>
            <w:gridSpan w:val="2"/>
            <w:tcBorders>
              <w:top w:val="nil"/>
              <w:left w:val="nil"/>
              <w:bottom w:val="single" w:color="auto" w:sz="8" w:space="0"/>
              <w:right w:val="single" w:color="auto" w:sz="8" w:space="0"/>
            </w:tcBorders>
            <w:noWrap w:val="0"/>
            <w:vAlign w:val="center"/>
          </w:tcPr>
          <w:p w14:paraId="3AD5329B">
            <w:pPr>
              <w:keepNext w:val="0"/>
              <w:keepLines w:val="0"/>
              <w:pageBreakBefore w:val="0"/>
              <w:widowControl/>
              <w:suppressLineNumbers w:val="0"/>
              <w:kinsoku/>
              <w:wordWrap/>
              <w:overflowPunct/>
              <w:topLinePunct w:val="0"/>
              <w:autoSpaceDE/>
              <w:autoSpaceDN/>
              <w:bidi w:val="0"/>
              <w:adjustRightInd/>
              <w:snapToGrid w:val="0"/>
              <w:spacing w:before="100" w:beforeAutospacing="1" w:after="100" w:afterAutospacing="1" w:line="400" w:lineRule="exact"/>
              <w:ind w:left="0" w:right="0"/>
              <w:jc w:val="center"/>
              <w:textAlignment w:val="auto"/>
              <w:rPr>
                <w:rFonts w:hint="eastAsia" w:ascii="宋体" w:hAnsi="宋体" w:cs="宋体"/>
                <w:color w:val="auto"/>
                <w:kern w:val="0"/>
                <w:highlight w:val="none"/>
              </w:rPr>
            </w:pPr>
            <w:r>
              <w:rPr>
                <w:rFonts w:hint="eastAsia" w:ascii="宋体" w:hAnsi="宋体" w:cs="宋体"/>
                <w:color w:val="auto"/>
                <w:kern w:val="0"/>
                <w:highlight w:val="none"/>
              </w:rPr>
              <w:t>数量</w:t>
            </w:r>
          </w:p>
        </w:tc>
        <w:tc>
          <w:tcPr>
            <w:tcW w:w="2354" w:type="dxa"/>
            <w:tcBorders>
              <w:top w:val="nil"/>
              <w:left w:val="nil"/>
              <w:bottom w:val="single" w:color="auto" w:sz="8" w:space="0"/>
              <w:right w:val="single" w:color="auto" w:sz="8" w:space="0"/>
            </w:tcBorders>
            <w:noWrap w:val="0"/>
            <w:vAlign w:val="center"/>
          </w:tcPr>
          <w:p w14:paraId="219EEF67">
            <w:pPr>
              <w:keepNext w:val="0"/>
              <w:keepLines w:val="0"/>
              <w:pageBreakBefore w:val="0"/>
              <w:widowControl/>
              <w:suppressLineNumbers w:val="0"/>
              <w:kinsoku/>
              <w:wordWrap/>
              <w:overflowPunct/>
              <w:topLinePunct w:val="0"/>
              <w:autoSpaceDE/>
              <w:autoSpaceDN/>
              <w:bidi w:val="0"/>
              <w:adjustRightInd/>
              <w:snapToGrid w:val="0"/>
              <w:spacing w:before="100" w:beforeAutospacing="1" w:after="100" w:afterAutospacing="1" w:line="400" w:lineRule="exact"/>
              <w:ind w:left="0" w:right="0" w:firstLine="2"/>
              <w:jc w:val="center"/>
              <w:textAlignment w:val="auto"/>
              <w:rPr>
                <w:rFonts w:hint="eastAsia" w:ascii="宋体" w:hAnsi="宋体" w:cs="宋体"/>
                <w:color w:val="auto"/>
                <w:kern w:val="0"/>
                <w:highlight w:val="none"/>
              </w:rPr>
            </w:pPr>
            <w:r>
              <w:rPr>
                <w:rFonts w:hint="eastAsia" w:ascii="宋体" w:hAnsi="宋体" w:cs="宋体"/>
                <w:color w:val="auto"/>
                <w:kern w:val="0"/>
                <w:highlight w:val="none"/>
              </w:rPr>
              <w:t>金 额</w:t>
            </w:r>
          </w:p>
        </w:tc>
      </w:tr>
      <w:tr w14:paraId="265F6ADE">
        <w:tblPrEx>
          <w:tblCellMar>
            <w:top w:w="0" w:type="dxa"/>
            <w:left w:w="0" w:type="dxa"/>
            <w:bottom w:w="0" w:type="dxa"/>
            <w:right w:w="0" w:type="dxa"/>
          </w:tblCellMar>
        </w:tblPrEx>
        <w:trPr>
          <w:trHeight w:val="487" w:hRule="atLeast"/>
          <w:jc w:val="center"/>
        </w:trPr>
        <w:tc>
          <w:tcPr>
            <w:tcW w:w="1486" w:type="dxa"/>
            <w:tcBorders>
              <w:top w:val="nil"/>
              <w:left w:val="single" w:color="auto" w:sz="8" w:space="0"/>
              <w:bottom w:val="single" w:color="auto" w:sz="8" w:space="0"/>
              <w:right w:val="single" w:color="auto" w:sz="8" w:space="0"/>
            </w:tcBorders>
            <w:noWrap w:val="0"/>
            <w:vAlign w:val="center"/>
          </w:tcPr>
          <w:p w14:paraId="62C88AEE">
            <w:pPr>
              <w:keepNext w:val="0"/>
              <w:keepLines w:val="0"/>
              <w:pageBreakBefore w:val="0"/>
              <w:widowControl/>
              <w:suppressLineNumbers w:val="0"/>
              <w:kinsoku/>
              <w:wordWrap/>
              <w:overflowPunct/>
              <w:topLinePunct w:val="0"/>
              <w:autoSpaceDE/>
              <w:autoSpaceDN/>
              <w:bidi w:val="0"/>
              <w:adjustRightInd/>
              <w:spacing w:before="100" w:beforeAutospacing="1" w:after="100" w:afterAutospacing="1" w:line="400" w:lineRule="exact"/>
              <w:ind w:left="0" w:right="0"/>
              <w:jc w:val="center"/>
              <w:textAlignment w:val="auto"/>
              <w:rPr>
                <w:rFonts w:hint="eastAsia" w:ascii="宋体" w:hAnsi="宋体" w:cs="宋体"/>
                <w:color w:val="auto"/>
                <w:kern w:val="0"/>
                <w:highlight w:val="none"/>
              </w:rPr>
            </w:pPr>
          </w:p>
        </w:tc>
        <w:tc>
          <w:tcPr>
            <w:tcW w:w="1766" w:type="dxa"/>
            <w:tcBorders>
              <w:top w:val="nil"/>
              <w:left w:val="nil"/>
              <w:bottom w:val="single" w:color="auto" w:sz="8" w:space="0"/>
              <w:right w:val="single" w:color="auto" w:sz="8" w:space="0"/>
            </w:tcBorders>
            <w:noWrap w:val="0"/>
            <w:vAlign w:val="center"/>
          </w:tcPr>
          <w:p w14:paraId="2DAEB0FF">
            <w:pPr>
              <w:keepNext w:val="0"/>
              <w:keepLines w:val="0"/>
              <w:pageBreakBefore w:val="0"/>
              <w:widowControl/>
              <w:suppressLineNumbers w:val="0"/>
              <w:kinsoku/>
              <w:wordWrap/>
              <w:overflowPunct/>
              <w:topLinePunct w:val="0"/>
              <w:autoSpaceDE/>
              <w:autoSpaceDN/>
              <w:bidi w:val="0"/>
              <w:adjustRightInd/>
              <w:spacing w:before="100" w:beforeAutospacing="1" w:after="100" w:afterAutospacing="1" w:line="400" w:lineRule="exact"/>
              <w:ind w:left="0" w:right="0"/>
              <w:jc w:val="center"/>
              <w:textAlignment w:val="auto"/>
              <w:rPr>
                <w:rFonts w:hint="eastAsia" w:ascii="宋体" w:hAnsi="宋体" w:cs="宋体"/>
                <w:color w:val="auto"/>
                <w:kern w:val="0"/>
                <w:highlight w:val="none"/>
              </w:rPr>
            </w:pPr>
          </w:p>
        </w:tc>
        <w:tc>
          <w:tcPr>
            <w:tcW w:w="2902" w:type="dxa"/>
            <w:gridSpan w:val="3"/>
            <w:tcBorders>
              <w:top w:val="nil"/>
              <w:left w:val="nil"/>
              <w:bottom w:val="single" w:color="auto" w:sz="8" w:space="0"/>
              <w:right w:val="single" w:color="auto" w:sz="8" w:space="0"/>
            </w:tcBorders>
            <w:noWrap w:val="0"/>
            <w:vAlign w:val="center"/>
          </w:tcPr>
          <w:p w14:paraId="47BC38CB">
            <w:pPr>
              <w:keepNext w:val="0"/>
              <w:keepLines w:val="0"/>
              <w:pageBreakBefore w:val="0"/>
              <w:widowControl/>
              <w:suppressLineNumbers w:val="0"/>
              <w:kinsoku/>
              <w:wordWrap/>
              <w:overflowPunct/>
              <w:topLinePunct w:val="0"/>
              <w:autoSpaceDE/>
              <w:autoSpaceDN/>
              <w:bidi w:val="0"/>
              <w:adjustRightInd/>
              <w:spacing w:before="100" w:beforeAutospacing="1" w:after="100" w:afterAutospacing="1" w:line="400" w:lineRule="exact"/>
              <w:ind w:left="0" w:right="0"/>
              <w:jc w:val="center"/>
              <w:textAlignment w:val="auto"/>
              <w:rPr>
                <w:rFonts w:hint="eastAsia" w:ascii="宋体" w:hAnsi="宋体" w:cs="宋体"/>
                <w:color w:val="auto"/>
                <w:kern w:val="0"/>
                <w:highlight w:val="none"/>
              </w:rPr>
            </w:pPr>
          </w:p>
        </w:tc>
        <w:tc>
          <w:tcPr>
            <w:tcW w:w="863" w:type="dxa"/>
            <w:gridSpan w:val="2"/>
            <w:tcBorders>
              <w:top w:val="nil"/>
              <w:left w:val="nil"/>
              <w:bottom w:val="single" w:color="auto" w:sz="8" w:space="0"/>
              <w:right w:val="single" w:color="auto" w:sz="8" w:space="0"/>
            </w:tcBorders>
            <w:noWrap w:val="0"/>
            <w:vAlign w:val="center"/>
          </w:tcPr>
          <w:p w14:paraId="2709AE57">
            <w:pPr>
              <w:keepNext w:val="0"/>
              <w:keepLines w:val="0"/>
              <w:pageBreakBefore w:val="0"/>
              <w:widowControl/>
              <w:suppressLineNumbers w:val="0"/>
              <w:kinsoku/>
              <w:wordWrap/>
              <w:overflowPunct/>
              <w:topLinePunct w:val="0"/>
              <w:autoSpaceDE/>
              <w:autoSpaceDN/>
              <w:bidi w:val="0"/>
              <w:adjustRightInd/>
              <w:spacing w:before="100" w:beforeAutospacing="1" w:after="100" w:afterAutospacing="1" w:line="400" w:lineRule="exact"/>
              <w:ind w:left="0" w:right="0"/>
              <w:jc w:val="center"/>
              <w:textAlignment w:val="auto"/>
              <w:rPr>
                <w:rFonts w:hint="eastAsia" w:ascii="宋体" w:hAnsi="宋体" w:cs="宋体"/>
                <w:color w:val="auto"/>
                <w:kern w:val="0"/>
                <w:highlight w:val="none"/>
              </w:rPr>
            </w:pPr>
          </w:p>
        </w:tc>
        <w:tc>
          <w:tcPr>
            <w:tcW w:w="2354" w:type="dxa"/>
            <w:tcBorders>
              <w:top w:val="nil"/>
              <w:left w:val="nil"/>
              <w:bottom w:val="single" w:color="auto" w:sz="8" w:space="0"/>
              <w:right w:val="single" w:color="auto" w:sz="8" w:space="0"/>
            </w:tcBorders>
            <w:noWrap w:val="0"/>
            <w:vAlign w:val="center"/>
          </w:tcPr>
          <w:p w14:paraId="0EA0F04A">
            <w:pPr>
              <w:keepNext w:val="0"/>
              <w:keepLines w:val="0"/>
              <w:pageBreakBefore w:val="0"/>
              <w:widowControl/>
              <w:suppressLineNumbers w:val="0"/>
              <w:kinsoku/>
              <w:wordWrap/>
              <w:overflowPunct/>
              <w:topLinePunct w:val="0"/>
              <w:autoSpaceDE/>
              <w:autoSpaceDN/>
              <w:bidi w:val="0"/>
              <w:adjustRightInd/>
              <w:spacing w:before="100" w:beforeAutospacing="1" w:after="100" w:afterAutospacing="1" w:line="400" w:lineRule="exact"/>
              <w:ind w:left="0" w:right="0"/>
              <w:jc w:val="center"/>
              <w:textAlignment w:val="auto"/>
              <w:rPr>
                <w:rFonts w:hint="eastAsia" w:ascii="宋体" w:hAnsi="宋体" w:cs="宋体"/>
                <w:color w:val="auto"/>
                <w:kern w:val="0"/>
                <w:highlight w:val="none"/>
              </w:rPr>
            </w:pPr>
          </w:p>
        </w:tc>
      </w:tr>
      <w:tr w14:paraId="1655DBF6">
        <w:tblPrEx>
          <w:tblCellMar>
            <w:top w:w="0" w:type="dxa"/>
            <w:left w:w="0" w:type="dxa"/>
            <w:bottom w:w="0" w:type="dxa"/>
            <w:right w:w="0" w:type="dxa"/>
          </w:tblCellMar>
        </w:tblPrEx>
        <w:trPr>
          <w:trHeight w:val="487" w:hRule="atLeast"/>
          <w:jc w:val="center"/>
        </w:trPr>
        <w:tc>
          <w:tcPr>
            <w:tcW w:w="6154" w:type="dxa"/>
            <w:gridSpan w:val="5"/>
            <w:tcBorders>
              <w:top w:val="nil"/>
              <w:left w:val="single" w:color="auto" w:sz="8" w:space="0"/>
              <w:bottom w:val="single" w:color="auto" w:sz="8" w:space="0"/>
              <w:right w:val="single" w:color="auto" w:sz="8" w:space="0"/>
            </w:tcBorders>
            <w:noWrap w:val="0"/>
            <w:vAlign w:val="center"/>
          </w:tcPr>
          <w:p w14:paraId="5EAE2449">
            <w:pPr>
              <w:keepNext w:val="0"/>
              <w:keepLines w:val="0"/>
              <w:pageBreakBefore w:val="0"/>
              <w:widowControl/>
              <w:suppressLineNumbers w:val="0"/>
              <w:kinsoku/>
              <w:wordWrap/>
              <w:overflowPunct/>
              <w:topLinePunct w:val="0"/>
              <w:autoSpaceDE/>
              <w:autoSpaceDN/>
              <w:bidi w:val="0"/>
              <w:adjustRightInd/>
              <w:snapToGrid w:val="0"/>
              <w:spacing w:before="100" w:beforeAutospacing="1" w:after="100" w:afterAutospacing="1" w:line="400" w:lineRule="exact"/>
              <w:ind w:left="0" w:right="0" w:firstLine="5"/>
              <w:jc w:val="center"/>
              <w:textAlignment w:val="auto"/>
              <w:rPr>
                <w:rFonts w:hint="eastAsia" w:ascii="宋体" w:hAnsi="宋体" w:cs="宋体"/>
                <w:color w:val="auto"/>
                <w:kern w:val="0"/>
                <w:highlight w:val="none"/>
              </w:rPr>
            </w:pPr>
            <w:r>
              <w:rPr>
                <w:rFonts w:hint="eastAsia" w:ascii="宋体" w:hAnsi="宋体" w:cs="宋体"/>
                <w:color w:val="auto"/>
                <w:kern w:val="0"/>
                <w:highlight w:val="none"/>
              </w:rPr>
              <w:t>合 计</w:t>
            </w:r>
          </w:p>
        </w:tc>
        <w:tc>
          <w:tcPr>
            <w:tcW w:w="863" w:type="dxa"/>
            <w:gridSpan w:val="2"/>
            <w:tcBorders>
              <w:top w:val="nil"/>
              <w:left w:val="nil"/>
              <w:bottom w:val="single" w:color="auto" w:sz="8" w:space="0"/>
              <w:right w:val="single" w:color="auto" w:sz="8" w:space="0"/>
            </w:tcBorders>
            <w:noWrap w:val="0"/>
            <w:vAlign w:val="center"/>
          </w:tcPr>
          <w:p w14:paraId="7F305DDE">
            <w:pPr>
              <w:keepNext w:val="0"/>
              <w:keepLines w:val="0"/>
              <w:pageBreakBefore w:val="0"/>
              <w:widowControl/>
              <w:suppressLineNumbers w:val="0"/>
              <w:kinsoku/>
              <w:wordWrap/>
              <w:overflowPunct/>
              <w:topLinePunct w:val="0"/>
              <w:autoSpaceDE/>
              <w:autoSpaceDN/>
              <w:bidi w:val="0"/>
              <w:adjustRightInd/>
              <w:spacing w:before="100" w:beforeAutospacing="1" w:after="100" w:afterAutospacing="1" w:line="400" w:lineRule="exact"/>
              <w:ind w:left="0" w:right="0"/>
              <w:jc w:val="center"/>
              <w:textAlignment w:val="auto"/>
              <w:rPr>
                <w:rFonts w:hint="eastAsia" w:ascii="宋体" w:hAnsi="宋体" w:cs="宋体"/>
                <w:color w:val="auto"/>
                <w:kern w:val="0"/>
                <w:highlight w:val="none"/>
              </w:rPr>
            </w:pPr>
          </w:p>
        </w:tc>
        <w:tc>
          <w:tcPr>
            <w:tcW w:w="2354" w:type="dxa"/>
            <w:tcBorders>
              <w:top w:val="nil"/>
              <w:left w:val="nil"/>
              <w:bottom w:val="single" w:color="auto" w:sz="8" w:space="0"/>
              <w:right w:val="single" w:color="auto" w:sz="8" w:space="0"/>
            </w:tcBorders>
            <w:noWrap w:val="0"/>
            <w:vAlign w:val="center"/>
          </w:tcPr>
          <w:p w14:paraId="7A5176AD">
            <w:pPr>
              <w:keepNext w:val="0"/>
              <w:keepLines w:val="0"/>
              <w:pageBreakBefore w:val="0"/>
              <w:widowControl/>
              <w:suppressLineNumbers w:val="0"/>
              <w:kinsoku/>
              <w:wordWrap/>
              <w:overflowPunct/>
              <w:topLinePunct w:val="0"/>
              <w:autoSpaceDE/>
              <w:autoSpaceDN/>
              <w:bidi w:val="0"/>
              <w:adjustRightInd/>
              <w:spacing w:before="100" w:beforeAutospacing="1" w:after="100" w:afterAutospacing="1" w:line="400" w:lineRule="exact"/>
              <w:ind w:left="0" w:right="0"/>
              <w:jc w:val="center"/>
              <w:textAlignment w:val="auto"/>
              <w:rPr>
                <w:rFonts w:hint="eastAsia" w:ascii="宋体" w:hAnsi="宋体" w:cs="宋体"/>
                <w:color w:val="auto"/>
                <w:kern w:val="0"/>
                <w:highlight w:val="none"/>
              </w:rPr>
            </w:pPr>
          </w:p>
        </w:tc>
      </w:tr>
      <w:tr w14:paraId="4D41B65C">
        <w:tblPrEx>
          <w:tblCellMar>
            <w:top w:w="0" w:type="dxa"/>
            <w:left w:w="0" w:type="dxa"/>
            <w:bottom w:w="0" w:type="dxa"/>
            <w:right w:w="0" w:type="dxa"/>
          </w:tblCellMar>
        </w:tblPrEx>
        <w:trPr>
          <w:trHeight w:val="641" w:hRule="atLeast"/>
          <w:jc w:val="center"/>
        </w:trPr>
        <w:tc>
          <w:tcPr>
            <w:tcW w:w="9371" w:type="dxa"/>
            <w:gridSpan w:val="8"/>
            <w:tcBorders>
              <w:top w:val="nil"/>
              <w:left w:val="single" w:color="auto" w:sz="8" w:space="0"/>
              <w:bottom w:val="single" w:color="auto" w:sz="8" w:space="0"/>
              <w:right w:val="single" w:color="auto" w:sz="8" w:space="0"/>
            </w:tcBorders>
            <w:noWrap w:val="0"/>
            <w:vAlign w:val="center"/>
          </w:tcPr>
          <w:p w14:paraId="7F0F0736">
            <w:pPr>
              <w:keepNext w:val="0"/>
              <w:keepLines w:val="0"/>
              <w:pageBreakBefore w:val="0"/>
              <w:widowControl/>
              <w:suppressLineNumbers w:val="0"/>
              <w:kinsoku/>
              <w:wordWrap/>
              <w:overflowPunct/>
              <w:topLinePunct w:val="0"/>
              <w:autoSpaceDE/>
              <w:autoSpaceDN/>
              <w:bidi w:val="0"/>
              <w:adjustRightInd/>
              <w:snapToGrid w:val="0"/>
              <w:spacing w:before="100" w:beforeAutospacing="1" w:after="100" w:afterAutospacing="1" w:line="400" w:lineRule="exact"/>
              <w:ind w:left="0" w:right="0" w:firstLine="2"/>
              <w:jc w:val="left"/>
              <w:textAlignment w:val="auto"/>
              <w:rPr>
                <w:rFonts w:hint="eastAsia" w:ascii="宋体" w:hAnsi="宋体" w:cs="宋体"/>
                <w:color w:val="auto"/>
                <w:kern w:val="0"/>
                <w:highlight w:val="none"/>
              </w:rPr>
            </w:pPr>
            <w:r>
              <w:rPr>
                <w:rFonts w:hint="eastAsia" w:ascii="宋体" w:hAnsi="宋体" w:cs="宋体"/>
                <w:color w:val="auto"/>
                <w:kern w:val="0"/>
                <w:highlight w:val="none"/>
              </w:rPr>
              <w:t>合计大写金额： 仟 佰 拾 万 仟 佰 拾 元</w:t>
            </w:r>
          </w:p>
        </w:tc>
      </w:tr>
      <w:tr w14:paraId="40200112">
        <w:tblPrEx>
          <w:tblCellMar>
            <w:top w:w="0" w:type="dxa"/>
            <w:left w:w="0" w:type="dxa"/>
            <w:bottom w:w="0" w:type="dxa"/>
            <w:right w:w="0" w:type="dxa"/>
          </w:tblCellMar>
        </w:tblPrEx>
        <w:trPr>
          <w:trHeight w:val="491" w:hRule="atLeast"/>
          <w:jc w:val="center"/>
        </w:trPr>
        <w:tc>
          <w:tcPr>
            <w:tcW w:w="1486" w:type="dxa"/>
            <w:tcBorders>
              <w:top w:val="nil"/>
              <w:left w:val="single" w:color="auto" w:sz="8" w:space="0"/>
              <w:bottom w:val="single" w:color="auto" w:sz="8" w:space="0"/>
              <w:right w:val="single" w:color="auto" w:sz="8" w:space="0"/>
            </w:tcBorders>
            <w:noWrap w:val="0"/>
            <w:vAlign w:val="center"/>
          </w:tcPr>
          <w:p w14:paraId="48C0CA3F">
            <w:pPr>
              <w:keepNext w:val="0"/>
              <w:keepLines w:val="0"/>
              <w:pageBreakBefore w:val="0"/>
              <w:widowControl/>
              <w:suppressLineNumbers w:val="0"/>
              <w:kinsoku/>
              <w:wordWrap/>
              <w:overflowPunct/>
              <w:topLinePunct w:val="0"/>
              <w:autoSpaceDE/>
              <w:autoSpaceDN/>
              <w:bidi w:val="0"/>
              <w:adjustRightInd/>
              <w:snapToGrid w:val="0"/>
              <w:spacing w:before="100" w:beforeAutospacing="1" w:after="100" w:afterAutospacing="1" w:line="400" w:lineRule="exact"/>
              <w:ind w:left="0" w:right="0" w:firstLine="2"/>
              <w:jc w:val="center"/>
              <w:textAlignment w:val="auto"/>
              <w:rPr>
                <w:rFonts w:hint="eastAsia" w:ascii="宋体" w:hAnsi="宋体" w:cs="宋体"/>
                <w:color w:val="auto"/>
                <w:kern w:val="0"/>
                <w:highlight w:val="none"/>
              </w:rPr>
            </w:pPr>
            <w:r>
              <w:rPr>
                <w:rFonts w:hint="eastAsia" w:ascii="宋体" w:hAnsi="宋体" w:cs="宋体"/>
                <w:color w:val="auto"/>
                <w:kern w:val="0"/>
                <w:highlight w:val="none"/>
              </w:rPr>
              <w:t>实际供货日期</w:t>
            </w:r>
          </w:p>
        </w:tc>
        <w:tc>
          <w:tcPr>
            <w:tcW w:w="2564" w:type="dxa"/>
            <w:gridSpan w:val="2"/>
            <w:tcBorders>
              <w:top w:val="nil"/>
              <w:left w:val="nil"/>
              <w:bottom w:val="single" w:color="auto" w:sz="8" w:space="0"/>
              <w:right w:val="single" w:color="auto" w:sz="8" w:space="0"/>
            </w:tcBorders>
            <w:noWrap w:val="0"/>
            <w:vAlign w:val="center"/>
          </w:tcPr>
          <w:p w14:paraId="0BF733AF">
            <w:pPr>
              <w:keepNext w:val="0"/>
              <w:keepLines w:val="0"/>
              <w:pageBreakBefore w:val="0"/>
              <w:widowControl/>
              <w:suppressLineNumbers w:val="0"/>
              <w:kinsoku/>
              <w:wordWrap/>
              <w:overflowPunct/>
              <w:topLinePunct w:val="0"/>
              <w:autoSpaceDE/>
              <w:autoSpaceDN/>
              <w:bidi w:val="0"/>
              <w:adjustRightInd/>
              <w:spacing w:before="100" w:beforeAutospacing="1" w:after="100" w:afterAutospacing="1" w:line="400" w:lineRule="exact"/>
              <w:ind w:left="0" w:right="0"/>
              <w:jc w:val="center"/>
              <w:textAlignment w:val="auto"/>
              <w:rPr>
                <w:rFonts w:hint="eastAsia" w:ascii="宋体" w:hAnsi="宋体" w:cs="宋体"/>
                <w:color w:val="auto"/>
                <w:kern w:val="0"/>
                <w:highlight w:val="none"/>
              </w:rPr>
            </w:pPr>
          </w:p>
        </w:tc>
        <w:tc>
          <w:tcPr>
            <w:tcW w:w="2282" w:type="dxa"/>
            <w:gridSpan w:val="3"/>
            <w:tcBorders>
              <w:top w:val="nil"/>
              <w:left w:val="nil"/>
              <w:bottom w:val="single" w:color="auto" w:sz="8" w:space="0"/>
              <w:right w:val="single" w:color="auto" w:sz="8" w:space="0"/>
            </w:tcBorders>
            <w:noWrap w:val="0"/>
            <w:vAlign w:val="center"/>
          </w:tcPr>
          <w:p w14:paraId="5E034200">
            <w:pPr>
              <w:keepNext w:val="0"/>
              <w:keepLines w:val="0"/>
              <w:pageBreakBefore w:val="0"/>
              <w:widowControl/>
              <w:suppressLineNumbers w:val="0"/>
              <w:kinsoku/>
              <w:wordWrap/>
              <w:overflowPunct/>
              <w:topLinePunct w:val="0"/>
              <w:autoSpaceDE/>
              <w:autoSpaceDN/>
              <w:bidi w:val="0"/>
              <w:adjustRightInd/>
              <w:snapToGrid w:val="0"/>
              <w:spacing w:before="100" w:beforeAutospacing="1" w:after="100" w:afterAutospacing="1" w:line="400" w:lineRule="exact"/>
              <w:ind w:left="0" w:right="0" w:firstLine="46"/>
              <w:jc w:val="center"/>
              <w:textAlignment w:val="auto"/>
              <w:rPr>
                <w:rFonts w:hint="eastAsia" w:ascii="宋体" w:hAnsi="宋体" w:cs="宋体"/>
                <w:color w:val="auto"/>
                <w:kern w:val="0"/>
                <w:highlight w:val="none"/>
              </w:rPr>
            </w:pPr>
            <w:r>
              <w:rPr>
                <w:rFonts w:hint="eastAsia" w:ascii="宋体" w:hAnsi="宋体" w:cs="宋体"/>
                <w:color w:val="auto"/>
                <w:kern w:val="0"/>
                <w:highlight w:val="none"/>
              </w:rPr>
              <w:t>合同交货验收日期</w:t>
            </w:r>
          </w:p>
        </w:tc>
        <w:tc>
          <w:tcPr>
            <w:tcW w:w="3039" w:type="dxa"/>
            <w:gridSpan w:val="2"/>
            <w:tcBorders>
              <w:top w:val="nil"/>
              <w:left w:val="nil"/>
              <w:bottom w:val="single" w:color="auto" w:sz="8" w:space="0"/>
              <w:right w:val="single" w:color="auto" w:sz="8" w:space="0"/>
            </w:tcBorders>
            <w:noWrap w:val="0"/>
            <w:vAlign w:val="center"/>
          </w:tcPr>
          <w:p w14:paraId="542836AD">
            <w:pPr>
              <w:keepNext w:val="0"/>
              <w:keepLines w:val="0"/>
              <w:pageBreakBefore w:val="0"/>
              <w:widowControl/>
              <w:suppressLineNumbers w:val="0"/>
              <w:kinsoku/>
              <w:wordWrap/>
              <w:overflowPunct/>
              <w:topLinePunct w:val="0"/>
              <w:autoSpaceDE/>
              <w:autoSpaceDN/>
              <w:bidi w:val="0"/>
              <w:adjustRightInd/>
              <w:spacing w:before="100" w:beforeAutospacing="1" w:after="100" w:afterAutospacing="1" w:line="400" w:lineRule="exact"/>
              <w:ind w:left="0" w:right="0"/>
              <w:jc w:val="center"/>
              <w:textAlignment w:val="auto"/>
              <w:rPr>
                <w:rFonts w:hint="eastAsia" w:ascii="宋体" w:hAnsi="宋体" w:cs="宋体"/>
                <w:color w:val="auto"/>
                <w:kern w:val="0"/>
                <w:highlight w:val="none"/>
              </w:rPr>
            </w:pPr>
          </w:p>
        </w:tc>
      </w:tr>
      <w:tr w14:paraId="7C899FF4">
        <w:tblPrEx>
          <w:tblCellMar>
            <w:top w:w="0" w:type="dxa"/>
            <w:left w:w="0" w:type="dxa"/>
            <w:bottom w:w="0" w:type="dxa"/>
            <w:right w:w="0" w:type="dxa"/>
          </w:tblCellMar>
        </w:tblPrEx>
        <w:trPr>
          <w:trHeight w:val="394" w:hRule="atLeast"/>
          <w:jc w:val="center"/>
        </w:trPr>
        <w:tc>
          <w:tcPr>
            <w:tcW w:w="1486" w:type="dxa"/>
            <w:tcBorders>
              <w:top w:val="nil"/>
              <w:left w:val="single" w:color="auto" w:sz="8" w:space="0"/>
              <w:bottom w:val="single" w:color="auto" w:sz="8" w:space="0"/>
              <w:right w:val="single" w:color="auto" w:sz="8" w:space="0"/>
            </w:tcBorders>
            <w:noWrap w:val="0"/>
            <w:vAlign w:val="center"/>
          </w:tcPr>
          <w:p w14:paraId="08EB0878">
            <w:pPr>
              <w:keepNext w:val="0"/>
              <w:keepLines w:val="0"/>
              <w:pageBreakBefore w:val="0"/>
              <w:widowControl/>
              <w:suppressLineNumbers w:val="0"/>
              <w:kinsoku/>
              <w:wordWrap/>
              <w:overflowPunct/>
              <w:topLinePunct w:val="0"/>
              <w:autoSpaceDE/>
              <w:autoSpaceDN/>
              <w:bidi w:val="0"/>
              <w:adjustRightInd/>
              <w:spacing w:before="100" w:beforeAutospacing="1" w:after="100" w:afterAutospacing="1" w:line="400" w:lineRule="exact"/>
              <w:ind w:left="0" w:right="0"/>
              <w:jc w:val="center"/>
              <w:textAlignment w:val="auto"/>
              <w:rPr>
                <w:rFonts w:hint="eastAsia" w:ascii="宋体" w:hAnsi="宋体" w:cs="宋体"/>
                <w:color w:val="auto"/>
                <w:kern w:val="0"/>
                <w:highlight w:val="none"/>
              </w:rPr>
            </w:pPr>
          </w:p>
        </w:tc>
        <w:tc>
          <w:tcPr>
            <w:tcW w:w="2564" w:type="dxa"/>
            <w:gridSpan w:val="2"/>
            <w:tcBorders>
              <w:top w:val="nil"/>
              <w:left w:val="nil"/>
              <w:bottom w:val="single" w:color="auto" w:sz="8" w:space="0"/>
              <w:right w:val="single" w:color="auto" w:sz="8" w:space="0"/>
            </w:tcBorders>
            <w:noWrap w:val="0"/>
            <w:vAlign w:val="center"/>
          </w:tcPr>
          <w:p w14:paraId="613583DA">
            <w:pPr>
              <w:keepNext w:val="0"/>
              <w:keepLines w:val="0"/>
              <w:pageBreakBefore w:val="0"/>
              <w:widowControl/>
              <w:suppressLineNumbers w:val="0"/>
              <w:kinsoku/>
              <w:wordWrap/>
              <w:overflowPunct/>
              <w:topLinePunct w:val="0"/>
              <w:autoSpaceDE/>
              <w:autoSpaceDN/>
              <w:bidi w:val="0"/>
              <w:adjustRightInd/>
              <w:spacing w:before="100" w:beforeAutospacing="1" w:after="100" w:afterAutospacing="1" w:line="400" w:lineRule="exact"/>
              <w:ind w:left="0" w:right="0"/>
              <w:jc w:val="center"/>
              <w:textAlignment w:val="auto"/>
              <w:rPr>
                <w:rFonts w:hint="eastAsia" w:ascii="宋体" w:hAnsi="宋体" w:cs="宋体"/>
                <w:color w:val="auto"/>
                <w:kern w:val="0"/>
                <w:highlight w:val="none"/>
              </w:rPr>
            </w:pPr>
          </w:p>
        </w:tc>
        <w:tc>
          <w:tcPr>
            <w:tcW w:w="2282" w:type="dxa"/>
            <w:gridSpan w:val="3"/>
            <w:tcBorders>
              <w:top w:val="nil"/>
              <w:left w:val="nil"/>
              <w:bottom w:val="single" w:color="auto" w:sz="8" w:space="0"/>
              <w:right w:val="single" w:color="auto" w:sz="8" w:space="0"/>
            </w:tcBorders>
            <w:noWrap w:val="0"/>
            <w:vAlign w:val="center"/>
          </w:tcPr>
          <w:p w14:paraId="7B43CD9A">
            <w:pPr>
              <w:keepNext w:val="0"/>
              <w:keepLines w:val="0"/>
              <w:pageBreakBefore w:val="0"/>
              <w:widowControl/>
              <w:suppressLineNumbers w:val="0"/>
              <w:kinsoku/>
              <w:wordWrap/>
              <w:overflowPunct/>
              <w:topLinePunct w:val="0"/>
              <w:autoSpaceDE/>
              <w:autoSpaceDN/>
              <w:bidi w:val="0"/>
              <w:adjustRightInd/>
              <w:spacing w:before="100" w:beforeAutospacing="1" w:after="100" w:afterAutospacing="1" w:line="400" w:lineRule="exact"/>
              <w:ind w:left="0" w:right="0"/>
              <w:jc w:val="center"/>
              <w:textAlignment w:val="auto"/>
              <w:rPr>
                <w:rFonts w:hint="eastAsia" w:ascii="宋体" w:hAnsi="宋体" w:cs="宋体"/>
                <w:color w:val="auto"/>
                <w:kern w:val="0"/>
                <w:highlight w:val="none"/>
              </w:rPr>
            </w:pPr>
          </w:p>
        </w:tc>
        <w:tc>
          <w:tcPr>
            <w:tcW w:w="3039" w:type="dxa"/>
            <w:gridSpan w:val="2"/>
            <w:tcBorders>
              <w:top w:val="nil"/>
              <w:left w:val="nil"/>
              <w:bottom w:val="single" w:color="auto" w:sz="8" w:space="0"/>
              <w:right w:val="single" w:color="auto" w:sz="8" w:space="0"/>
            </w:tcBorders>
            <w:noWrap w:val="0"/>
            <w:vAlign w:val="center"/>
          </w:tcPr>
          <w:p w14:paraId="70C30640">
            <w:pPr>
              <w:keepNext w:val="0"/>
              <w:keepLines w:val="0"/>
              <w:pageBreakBefore w:val="0"/>
              <w:widowControl/>
              <w:suppressLineNumbers w:val="0"/>
              <w:kinsoku/>
              <w:wordWrap/>
              <w:overflowPunct/>
              <w:topLinePunct w:val="0"/>
              <w:autoSpaceDE/>
              <w:autoSpaceDN/>
              <w:bidi w:val="0"/>
              <w:adjustRightInd/>
              <w:spacing w:before="100" w:beforeAutospacing="1" w:after="100" w:afterAutospacing="1" w:line="400" w:lineRule="exact"/>
              <w:ind w:left="0" w:right="0"/>
              <w:jc w:val="center"/>
              <w:textAlignment w:val="auto"/>
              <w:rPr>
                <w:rFonts w:hint="eastAsia" w:ascii="宋体" w:hAnsi="宋体" w:cs="宋体"/>
                <w:color w:val="auto"/>
                <w:kern w:val="0"/>
                <w:highlight w:val="none"/>
              </w:rPr>
            </w:pPr>
          </w:p>
        </w:tc>
      </w:tr>
      <w:tr w14:paraId="72C1BEE2">
        <w:tblPrEx>
          <w:tblCellMar>
            <w:top w:w="0" w:type="dxa"/>
            <w:left w:w="0" w:type="dxa"/>
            <w:bottom w:w="0" w:type="dxa"/>
            <w:right w:w="0" w:type="dxa"/>
          </w:tblCellMar>
        </w:tblPrEx>
        <w:trPr>
          <w:trHeight w:val="693" w:hRule="atLeast"/>
          <w:jc w:val="center"/>
        </w:trPr>
        <w:tc>
          <w:tcPr>
            <w:tcW w:w="1486"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64DF0563">
            <w:pPr>
              <w:keepNext w:val="0"/>
              <w:keepLines w:val="0"/>
              <w:pageBreakBefore w:val="0"/>
              <w:widowControl/>
              <w:suppressLineNumbers w:val="0"/>
              <w:kinsoku/>
              <w:wordWrap/>
              <w:overflowPunct/>
              <w:topLinePunct w:val="0"/>
              <w:autoSpaceDE/>
              <w:autoSpaceDN/>
              <w:bidi w:val="0"/>
              <w:adjustRightInd/>
              <w:snapToGrid w:val="0"/>
              <w:spacing w:before="100" w:beforeAutospacing="1" w:after="100" w:afterAutospacing="1" w:line="400" w:lineRule="exact"/>
              <w:ind w:left="0" w:right="0"/>
              <w:jc w:val="left"/>
              <w:textAlignment w:val="auto"/>
              <w:rPr>
                <w:rFonts w:hint="eastAsia" w:ascii="宋体" w:hAnsi="宋体" w:cs="宋体"/>
                <w:color w:val="auto"/>
                <w:kern w:val="0"/>
                <w:highlight w:val="none"/>
              </w:rPr>
            </w:pPr>
            <w:r>
              <w:rPr>
                <w:rFonts w:hint="eastAsia" w:ascii="宋体" w:hAnsi="宋体" w:cs="宋体"/>
                <w:color w:val="auto"/>
                <w:kern w:val="0"/>
                <w:highlight w:val="none"/>
              </w:rPr>
              <w:t>验收具体内容</w:t>
            </w:r>
          </w:p>
        </w:tc>
        <w:tc>
          <w:tcPr>
            <w:tcW w:w="7885" w:type="dxa"/>
            <w:gridSpan w:val="7"/>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2E70CBB6">
            <w:pPr>
              <w:keepNext w:val="0"/>
              <w:keepLines w:val="0"/>
              <w:pageBreakBefore w:val="0"/>
              <w:widowControl/>
              <w:suppressLineNumbers w:val="0"/>
              <w:kinsoku/>
              <w:wordWrap/>
              <w:overflowPunct/>
              <w:topLinePunct w:val="0"/>
              <w:autoSpaceDE/>
              <w:autoSpaceDN/>
              <w:bidi w:val="0"/>
              <w:adjustRightInd/>
              <w:snapToGrid w:val="0"/>
              <w:spacing w:before="100" w:beforeAutospacing="1" w:after="100" w:afterAutospacing="1" w:line="400" w:lineRule="exact"/>
              <w:ind w:left="0" w:right="0"/>
              <w:jc w:val="left"/>
              <w:textAlignment w:val="auto"/>
              <w:rPr>
                <w:rFonts w:hint="eastAsia" w:ascii="宋体" w:hAnsi="宋体" w:cs="宋体"/>
                <w:color w:val="auto"/>
                <w:kern w:val="0"/>
                <w:highlight w:val="none"/>
              </w:rPr>
            </w:pPr>
            <w:r>
              <w:rPr>
                <w:rFonts w:hint="eastAsia" w:ascii="宋体" w:hAnsi="宋体" w:cs="宋体"/>
                <w:color w:val="auto"/>
                <w:kern w:val="0"/>
                <w:highlight w:val="none"/>
              </w:rPr>
              <w:t>（应按采购合同、采购文件、投标响应文件及验收方案等进行验收；并核对中标或者中标人在安装调试等方面是否违反合同约定或服务规范要求、提供的质量保证证明材料是否齐全、应有的配件及附件是否达到合同约定等。</w:t>
            </w:r>
            <w:r>
              <w:rPr>
                <w:rFonts w:hint="eastAsia" w:ascii="宋体" w:hAnsi="宋体" w:cs="宋体"/>
                <w:color w:val="auto"/>
                <w:kern w:val="0"/>
                <w:highlight w:val="none"/>
                <w:lang w:eastAsia="zh-CN"/>
              </w:rPr>
              <w:t>见附件</w:t>
            </w:r>
            <w:r>
              <w:rPr>
                <w:rFonts w:hint="eastAsia" w:ascii="宋体" w:hAnsi="宋体" w:cs="宋体"/>
                <w:color w:val="auto"/>
                <w:kern w:val="0"/>
                <w:highlight w:val="none"/>
              </w:rPr>
              <w:t>）</w:t>
            </w:r>
          </w:p>
        </w:tc>
      </w:tr>
      <w:tr w14:paraId="6336283A">
        <w:tblPrEx>
          <w:tblCellMar>
            <w:top w:w="0" w:type="dxa"/>
            <w:left w:w="0" w:type="dxa"/>
            <w:bottom w:w="0" w:type="dxa"/>
            <w:right w:w="0" w:type="dxa"/>
          </w:tblCellMar>
        </w:tblPrEx>
        <w:trPr>
          <w:trHeight w:val="510" w:hRule="atLeast"/>
          <w:jc w:val="center"/>
        </w:trPr>
        <w:tc>
          <w:tcPr>
            <w:tcW w:w="1486" w:type="dxa"/>
            <w:vMerge w:val="restart"/>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409B0186">
            <w:pPr>
              <w:keepNext w:val="0"/>
              <w:keepLines w:val="0"/>
              <w:pageBreakBefore w:val="0"/>
              <w:widowControl/>
              <w:suppressLineNumbers w:val="0"/>
              <w:kinsoku/>
              <w:wordWrap/>
              <w:overflowPunct/>
              <w:topLinePunct w:val="0"/>
              <w:autoSpaceDE/>
              <w:autoSpaceDN/>
              <w:bidi w:val="0"/>
              <w:adjustRightInd/>
              <w:spacing w:before="100" w:beforeAutospacing="1" w:after="100" w:afterAutospacing="1" w:line="400" w:lineRule="exact"/>
              <w:ind w:left="0" w:right="0"/>
              <w:jc w:val="left"/>
              <w:textAlignment w:val="auto"/>
              <w:rPr>
                <w:rFonts w:hint="eastAsia" w:ascii="宋体" w:hAnsi="宋体" w:cs="宋体"/>
                <w:color w:val="auto"/>
                <w:kern w:val="0"/>
                <w:highlight w:val="none"/>
              </w:rPr>
            </w:pPr>
            <w:r>
              <w:rPr>
                <w:rFonts w:hint="eastAsia" w:ascii="宋体" w:hAnsi="宋体" w:cs="宋体"/>
                <w:color w:val="auto"/>
                <w:kern w:val="0"/>
                <w:highlight w:val="none"/>
              </w:rPr>
              <w:t>验收小组意见</w:t>
            </w:r>
          </w:p>
        </w:tc>
        <w:tc>
          <w:tcPr>
            <w:tcW w:w="7885" w:type="dxa"/>
            <w:gridSpan w:val="7"/>
            <w:tcBorders>
              <w:top w:val="nil"/>
              <w:left w:val="nil"/>
              <w:bottom w:val="single" w:color="auto" w:sz="8" w:space="0"/>
              <w:right w:val="single" w:color="auto" w:sz="8" w:space="0"/>
            </w:tcBorders>
            <w:noWrap w:val="0"/>
            <w:vAlign w:val="center"/>
          </w:tcPr>
          <w:p w14:paraId="7AF2AA6D">
            <w:pPr>
              <w:keepNext w:val="0"/>
              <w:keepLines w:val="0"/>
              <w:pageBreakBefore w:val="0"/>
              <w:widowControl/>
              <w:suppressLineNumbers w:val="0"/>
              <w:kinsoku/>
              <w:wordWrap/>
              <w:overflowPunct/>
              <w:topLinePunct w:val="0"/>
              <w:autoSpaceDE/>
              <w:autoSpaceDN/>
              <w:bidi w:val="0"/>
              <w:adjustRightInd/>
              <w:spacing w:before="100" w:beforeAutospacing="1" w:after="100" w:afterAutospacing="1" w:line="400" w:lineRule="exact"/>
              <w:ind w:left="0" w:right="0"/>
              <w:jc w:val="left"/>
              <w:textAlignment w:val="auto"/>
              <w:rPr>
                <w:rFonts w:hint="eastAsia" w:ascii="宋体" w:hAnsi="宋体" w:cs="宋体"/>
                <w:color w:val="auto"/>
                <w:kern w:val="0"/>
                <w:highlight w:val="none"/>
              </w:rPr>
            </w:pPr>
            <w:r>
              <w:rPr>
                <w:rFonts w:hint="eastAsia" w:ascii="宋体" w:hAnsi="宋体" w:cs="宋体"/>
                <w:color w:val="auto"/>
                <w:kern w:val="0"/>
                <w:highlight w:val="none"/>
              </w:rPr>
              <w:t>验收结论性意见：</w:t>
            </w:r>
          </w:p>
        </w:tc>
      </w:tr>
      <w:tr w14:paraId="35DA3FFC">
        <w:tblPrEx>
          <w:tblCellMar>
            <w:top w:w="0" w:type="dxa"/>
            <w:left w:w="0" w:type="dxa"/>
            <w:bottom w:w="0" w:type="dxa"/>
            <w:right w:w="0" w:type="dxa"/>
          </w:tblCellMar>
        </w:tblPrEx>
        <w:trPr>
          <w:trHeight w:val="424" w:hRule="atLeast"/>
          <w:jc w:val="center"/>
        </w:trPr>
        <w:tc>
          <w:tcPr>
            <w:tcW w:w="1486" w:type="dxa"/>
            <w:vMerge w:val="continue"/>
            <w:tcBorders>
              <w:top w:val="nil"/>
              <w:left w:val="single" w:color="auto" w:sz="8" w:space="0"/>
              <w:bottom w:val="single" w:color="auto" w:sz="8" w:space="0"/>
              <w:right w:val="single" w:color="auto" w:sz="8" w:space="0"/>
            </w:tcBorders>
            <w:noWrap w:val="0"/>
            <w:vAlign w:val="center"/>
          </w:tcPr>
          <w:p w14:paraId="66642488">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400" w:lineRule="exact"/>
              <w:ind w:left="0" w:right="0"/>
              <w:jc w:val="left"/>
              <w:textAlignment w:val="auto"/>
              <w:rPr>
                <w:rFonts w:hint="eastAsia" w:ascii="宋体" w:hAnsi="宋体" w:cs="宋体"/>
                <w:color w:val="auto"/>
                <w:kern w:val="0"/>
                <w:szCs w:val="21"/>
                <w:highlight w:val="none"/>
              </w:rPr>
            </w:pPr>
          </w:p>
        </w:tc>
        <w:tc>
          <w:tcPr>
            <w:tcW w:w="7885" w:type="dxa"/>
            <w:gridSpan w:val="7"/>
            <w:tcBorders>
              <w:top w:val="nil"/>
              <w:left w:val="nil"/>
              <w:bottom w:val="single" w:color="auto" w:sz="8" w:space="0"/>
              <w:right w:val="single" w:color="auto" w:sz="8" w:space="0"/>
            </w:tcBorders>
            <w:noWrap w:val="0"/>
            <w:vAlign w:val="center"/>
          </w:tcPr>
          <w:p w14:paraId="283BD2EC">
            <w:pPr>
              <w:keepNext w:val="0"/>
              <w:keepLines w:val="0"/>
              <w:pageBreakBefore w:val="0"/>
              <w:widowControl/>
              <w:suppressLineNumbers w:val="0"/>
              <w:kinsoku/>
              <w:wordWrap/>
              <w:overflowPunct/>
              <w:topLinePunct w:val="0"/>
              <w:autoSpaceDE/>
              <w:autoSpaceDN/>
              <w:bidi w:val="0"/>
              <w:adjustRightInd/>
              <w:spacing w:before="100" w:beforeAutospacing="1" w:after="100" w:afterAutospacing="1" w:line="400" w:lineRule="exact"/>
              <w:ind w:left="0" w:right="0" w:firstLine="96"/>
              <w:jc w:val="left"/>
              <w:textAlignment w:val="auto"/>
              <w:rPr>
                <w:rFonts w:hint="eastAsia" w:ascii="宋体" w:hAnsi="宋体" w:cs="宋体"/>
                <w:color w:val="auto"/>
                <w:kern w:val="0"/>
                <w:highlight w:val="none"/>
              </w:rPr>
            </w:pPr>
            <w:r>
              <w:rPr>
                <w:rFonts w:hint="eastAsia" w:ascii="宋体" w:hAnsi="宋体" w:cs="宋体"/>
                <w:color w:val="auto"/>
                <w:kern w:val="0"/>
                <w:highlight w:val="none"/>
              </w:rPr>
              <w:t>有异议的意见和说明理由：</w:t>
            </w:r>
          </w:p>
          <w:p w14:paraId="68FFC692">
            <w:pPr>
              <w:keepNext w:val="0"/>
              <w:keepLines w:val="0"/>
              <w:pageBreakBefore w:val="0"/>
              <w:widowControl/>
              <w:suppressLineNumbers w:val="0"/>
              <w:kinsoku/>
              <w:wordWrap/>
              <w:overflowPunct/>
              <w:topLinePunct w:val="0"/>
              <w:autoSpaceDE/>
              <w:autoSpaceDN/>
              <w:bidi w:val="0"/>
              <w:adjustRightInd/>
              <w:spacing w:before="100" w:beforeAutospacing="1" w:after="100" w:afterAutospacing="1" w:line="400" w:lineRule="exact"/>
              <w:ind w:left="0" w:right="0"/>
              <w:jc w:val="left"/>
              <w:textAlignment w:val="auto"/>
              <w:rPr>
                <w:rFonts w:hint="eastAsia" w:ascii="宋体" w:hAnsi="宋体" w:cs="宋体"/>
                <w:color w:val="auto"/>
                <w:kern w:val="0"/>
                <w:highlight w:val="none"/>
              </w:rPr>
            </w:pPr>
            <w:r>
              <w:rPr>
                <w:rFonts w:hint="eastAsia" w:ascii="宋体" w:hAnsi="宋体" w:cs="宋体"/>
                <w:color w:val="auto"/>
                <w:kern w:val="0"/>
                <w:highlight w:val="none"/>
              </w:rPr>
              <w:t>签字：</w:t>
            </w:r>
          </w:p>
        </w:tc>
      </w:tr>
      <w:tr w14:paraId="209E5CCF">
        <w:tblPrEx>
          <w:tblCellMar>
            <w:top w:w="0" w:type="dxa"/>
            <w:left w:w="0" w:type="dxa"/>
            <w:bottom w:w="0" w:type="dxa"/>
            <w:right w:w="0" w:type="dxa"/>
          </w:tblCellMar>
        </w:tblPrEx>
        <w:trPr>
          <w:trHeight w:val="507" w:hRule="atLeast"/>
          <w:jc w:val="center"/>
        </w:trPr>
        <w:tc>
          <w:tcPr>
            <w:tcW w:w="9371" w:type="dxa"/>
            <w:gridSpan w:val="8"/>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37E716A1">
            <w:pPr>
              <w:keepNext w:val="0"/>
              <w:keepLines w:val="0"/>
              <w:pageBreakBefore w:val="0"/>
              <w:widowControl/>
              <w:suppressLineNumbers w:val="0"/>
              <w:kinsoku/>
              <w:wordWrap/>
              <w:overflowPunct/>
              <w:topLinePunct w:val="0"/>
              <w:autoSpaceDE/>
              <w:autoSpaceDN/>
              <w:bidi w:val="0"/>
              <w:adjustRightInd/>
              <w:spacing w:before="100" w:beforeAutospacing="1" w:after="100" w:afterAutospacing="1" w:line="400" w:lineRule="exact"/>
              <w:ind w:left="0" w:right="0"/>
              <w:jc w:val="left"/>
              <w:textAlignment w:val="auto"/>
              <w:rPr>
                <w:rFonts w:hint="eastAsia" w:ascii="宋体" w:hAnsi="宋体" w:cs="宋体"/>
                <w:color w:val="auto"/>
                <w:kern w:val="0"/>
                <w:highlight w:val="none"/>
              </w:rPr>
            </w:pPr>
            <w:r>
              <w:rPr>
                <w:rFonts w:hint="eastAsia" w:ascii="宋体" w:hAnsi="宋体" w:cs="宋体"/>
                <w:color w:val="auto"/>
                <w:kern w:val="0"/>
                <w:highlight w:val="none"/>
              </w:rPr>
              <w:t>验收小组成员签字：</w:t>
            </w:r>
          </w:p>
        </w:tc>
      </w:tr>
      <w:tr w14:paraId="64620BF3">
        <w:tblPrEx>
          <w:tblCellMar>
            <w:top w:w="0" w:type="dxa"/>
            <w:left w:w="0" w:type="dxa"/>
            <w:bottom w:w="0" w:type="dxa"/>
            <w:right w:w="0" w:type="dxa"/>
          </w:tblCellMar>
        </w:tblPrEx>
        <w:trPr>
          <w:trHeight w:val="736" w:hRule="atLeast"/>
          <w:jc w:val="center"/>
        </w:trPr>
        <w:tc>
          <w:tcPr>
            <w:tcW w:w="9371" w:type="dxa"/>
            <w:gridSpan w:val="8"/>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4537B9C4">
            <w:pPr>
              <w:keepNext w:val="0"/>
              <w:keepLines w:val="0"/>
              <w:pageBreakBefore w:val="0"/>
              <w:widowControl/>
              <w:suppressLineNumbers w:val="0"/>
              <w:kinsoku/>
              <w:wordWrap/>
              <w:overflowPunct/>
              <w:topLinePunct w:val="0"/>
              <w:autoSpaceDE/>
              <w:autoSpaceDN/>
              <w:bidi w:val="0"/>
              <w:adjustRightInd/>
              <w:spacing w:before="100" w:beforeAutospacing="1" w:after="100" w:afterAutospacing="1" w:line="400" w:lineRule="exact"/>
              <w:ind w:left="0" w:right="0"/>
              <w:jc w:val="left"/>
              <w:textAlignment w:val="auto"/>
              <w:rPr>
                <w:rFonts w:hint="eastAsia" w:ascii="宋体" w:hAnsi="宋体" w:cs="宋体"/>
                <w:color w:val="auto"/>
                <w:kern w:val="0"/>
                <w:highlight w:val="none"/>
              </w:rPr>
            </w:pPr>
            <w:r>
              <w:rPr>
                <w:rFonts w:hint="eastAsia" w:ascii="宋体" w:hAnsi="宋体" w:cs="宋体"/>
                <w:color w:val="auto"/>
                <w:kern w:val="0"/>
                <w:highlight w:val="none"/>
              </w:rPr>
              <w:t>监督人员或其他相关人员签字：</w:t>
            </w:r>
          </w:p>
          <w:p w14:paraId="129C6330">
            <w:pPr>
              <w:keepNext w:val="0"/>
              <w:keepLines w:val="0"/>
              <w:pageBreakBefore w:val="0"/>
              <w:widowControl/>
              <w:suppressLineNumbers w:val="0"/>
              <w:kinsoku/>
              <w:wordWrap/>
              <w:overflowPunct/>
              <w:topLinePunct w:val="0"/>
              <w:autoSpaceDE/>
              <w:autoSpaceDN/>
              <w:bidi w:val="0"/>
              <w:adjustRightInd/>
              <w:spacing w:before="100" w:beforeAutospacing="1" w:after="100" w:afterAutospacing="1" w:line="400" w:lineRule="exact"/>
              <w:ind w:left="0" w:right="0" w:firstLine="74"/>
              <w:jc w:val="left"/>
              <w:textAlignment w:val="auto"/>
              <w:rPr>
                <w:rFonts w:hint="eastAsia" w:ascii="宋体" w:hAnsi="宋体" w:cs="宋体"/>
                <w:color w:val="auto"/>
                <w:kern w:val="0"/>
                <w:highlight w:val="none"/>
              </w:rPr>
            </w:pPr>
            <w:r>
              <w:rPr>
                <w:rFonts w:hint="eastAsia" w:ascii="宋体" w:hAnsi="宋体" w:cs="宋体"/>
                <w:color w:val="auto"/>
                <w:kern w:val="0"/>
                <w:highlight w:val="none"/>
              </w:rPr>
              <w:t>或受邀机构的意见（盖章）：</w:t>
            </w:r>
          </w:p>
        </w:tc>
      </w:tr>
      <w:tr w14:paraId="7A04C69C">
        <w:tblPrEx>
          <w:tblCellMar>
            <w:top w:w="0" w:type="dxa"/>
            <w:left w:w="0" w:type="dxa"/>
            <w:bottom w:w="0" w:type="dxa"/>
            <w:right w:w="0" w:type="dxa"/>
          </w:tblCellMar>
        </w:tblPrEx>
        <w:trPr>
          <w:trHeight w:val="986" w:hRule="atLeast"/>
          <w:jc w:val="center"/>
        </w:trPr>
        <w:tc>
          <w:tcPr>
            <w:tcW w:w="4152" w:type="dxa"/>
            <w:gridSpan w:val="4"/>
            <w:tcBorders>
              <w:top w:val="nil"/>
              <w:left w:val="single" w:color="auto" w:sz="8" w:space="0"/>
              <w:bottom w:val="single" w:color="auto" w:sz="8" w:space="0"/>
              <w:right w:val="nil"/>
            </w:tcBorders>
            <w:noWrap w:val="0"/>
            <w:tcMar>
              <w:top w:w="0" w:type="dxa"/>
              <w:left w:w="108" w:type="dxa"/>
              <w:bottom w:w="0" w:type="dxa"/>
              <w:right w:w="108" w:type="dxa"/>
            </w:tcMar>
            <w:vAlign w:val="center"/>
          </w:tcPr>
          <w:p w14:paraId="2DA60A7F">
            <w:pPr>
              <w:keepNext w:val="0"/>
              <w:keepLines w:val="0"/>
              <w:pageBreakBefore w:val="0"/>
              <w:widowControl/>
              <w:suppressLineNumbers w:val="0"/>
              <w:kinsoku/>
              <w:wordWrap/>
              <w:overflowPunct/>
              <w:topLinePunct w:val="0"/>
              <w:autoSpaceDE/>
              <w:autoSpaceDN/>
              <w:bidi w:val="0"/>
              <w:adjustRightInd/>
              <w:spacing w:before="100" w:beforeAutospacing="1" w:after="100" w:afterAutospacing="1" w:line="400" w:lineRule="exact"/>
              <w:ind w:left="0" w:right="0" w:firstLine="74"/>
              <w:jc w:val="left"/>
              <w:textAlignment w:val="auto"/>
              <w:rPr>
                <w:rFonts w:hint="eastAsia" w:ascii="宋体" w:hAnsi="宋体" w:cs="宋体"/>
                <w:color w:val="auto"/>
                <w:kern w:val="0"/>
                <w:highlight w:val="none"/>
              </w:rPr>
            </w:pPr>
            <w:r>
              <w:rPr>
                <w:rFonts w:hint="eastAsia" w:ascii="宋体" w:hAnsi="宋体" w:cs="宋体"/>
                <w:color w:val="auto"/>
                <w:kern w:val="0"/>
                <w:highlight w:val="none"/>
              </w:rPr>
              <w:t xml:space="preserve">中标或者成交供应商负责人签字或盖章：      </w:t>
            </w:r>
          </w:p>
          <w:p w14:paraId="411913FD">
            <w:pPr>
              <w:keepNext w:val="0"/>
              <w:keepLines w:val="0"/>
              <w:pageBreakBefore w:val="0"/>
              <w:widowControl/>
              <w:suppressLineNumbers w:val="0"/>
              <w:kinsoku/>
              <w:wordWrap/>
              <w:overflowPunct/>
              <w:topLinePunct w:val="0"/>
              <w:autoSpaceDE/>
              <w:autoSpaceDN/>
              <w:bidi w:val="0"/>
              <w:adjustRightInd/>
              <w:spacing w:before="100" w:beforeAutospacing="1" w:after="100" w:afterAutospacing="1" w:line="400" w:lineRule="exact"/>
              <w:ind w:left="0" w:right="0"/>
              <w:jc w:val="left"/>
              <w:textAlignment w:val="auto"/>
              <w:rPr>
                <w:rFonts w:hint="eastAsia" w:ascii="宋体" w:hAnsi="宋体" w:cs="宋体"/>
                <w:color w:val="auto"/>
                <w:kern w:val="0"/>
                <w:highlight w:val="none"/>
              </w:rPr>
            </w:pPr>
            <w:r>
              <w:rPr>
                <w:rFonts w:hint="eastAsia" w:ascii="宋体" w:hAnsi="宋体" w:cs="宋体"/>
                <w:color w:val="auto"/>
                <w:kern w:val="0"/>
                <w:highlight w:val="none"/>
              </w:rPr>
              <w:t>联系电话： 年 月 日</w:t>
            </w:r>
          </w:p>
        </w:tc>
        <w:tc>
          <w:tcPr>
            <w:tcW w:w="5219" w:type="dxa"/>
            <w:gridSpan w:val="4"/>
            <w:tcBorders>
              <w:top w:val="nil"/>
              <w:left w:val="nil"/>
              <w:bottom w:val="single" w:color="auto" w:sz="8" w:space="0"/>
              <w:right w:val="single" w:color="auto" w:sz="8" w:space="0"/>
            </w:tcBorders>
            <w:noWrap w:val="0"/>
            <w:vAlign w:val="center"/>
          </w:tcPr>
          <w:p w14:paraId="5447E4A5">
            <w:pPr>
              <w:keepNext w:val="0"/>
              <w:keepLines w:val="0"/>
              <w:pageBreakBefore w:val="0"/>
              <w:widowControl/>
              <w:suppressLineNumbers w:val="0"/>
              <w:kinsoku/>
              <w:wordWrap/>
              <w:overflowPunct/>
              <w:topLinePunct w:val="0"/>
              <w:autoSpaceDE/>
              <w:autoSpaceDN/>
              <w:bidi w:val="0"/>
              <w:adjustRightInd/>
              <w:spacing w:before="100" w:beforeAutospacing="1" w:after="100" w:afterAutospacing="1" w:line="400" w:lineRule="exact"/>
              <w:ind w:left="0" w:right="0"/>
              <w:jc w:val="left"/>
              <w:textAlignment w:val="auto"/>
              <w:rPr>
                <w:rFonts w:hint="eastAsia" w:ascii="宋体" w:hAnsi="宋体" w:cs="宋体"/>
                <w:color w:val="auto"/>
                <w:kern w:val="0"/>
                <w:highlight w:val="none"/>
              </w:rPr>
            </w:pPr>
            <w:r>
              <w:rPr>
                <w:rFonts w:hint="eastAsia" w:ascii="宋体" w:hAnsi="宋体" w:cs="宋体"/>
                <w:color w:val="auto"/>
                <w:kern w:val="0"/>
                <w:highlight w:val="none"/>
              </w:rPr>
              <w:t>采购人或受托机构的意见（盖章）：</w:t>
            </w:r>
          </w:p>
          <w:p w14:paraId="1F689D1D">
            <w:pPr>
              <w:keepNext w:val="0"/>
              <w:keepLines w:val="0"/>
              <w:pageBreakBefore w:val="0"/>
              <w:widowControl/>
              <w:suppressLineNumbers w:val="0"/>
              <w:kinsoku/>
              <w:wordWrap/>
              <w:overflowPunct/>
              <w:topLinePunct w:val="0"/>
              <w:autoSpaceDE/>
              <w:autoSpaceDN/>
              <w:bidi w:val="0"/>
              <w:adjustRightInd/>
              <w:spacing w:before="100" w:beforeAutospacing="1" w:after="100" w:afterAutospacing="1" w:line="400" w:lineRule="exact"/>
              <w:ind w:left="0" w:right="0"/>
              <w:jc w:val="left"/>
              <w:textAlignment w:val="auto"/>
              <w:rPr>
                <w:rFonts w:hint="eastAsia" w:ascii="宋体" w:hAnsi="宋体" w:cs="宋体"/>
                <w:color w:val="auto"/>
                <w:kern w:val="0"/>
                <w:highlight w:val="none"/>
              </w:rPr>
            </w:pPr>
            <w:r>
              <w:rPr>
                <w:rFonts w:hint="eastAsia" w:ascii="宋体" w:hAnsi="宋体" w:cs="宋体"/>
                <w:color w:val="auto"/>
                <w:kern w:val="0"/>
                <w:highlight w:val="none"/>
              </w:rPr>
              <w:t>联系电话： 年 月 日</w:t>
            </w:r>
          </w:p>
        </w:tc>
      </w:tr>
    </w:tbl>
    <w:p w14:paraId="1807CEA1">
      <w:pPr>
        <w:pStyle w:val="20"/>
        <w:snapToGrid w:val="0"/>
        <w:spacing w:before="120" w:after="120"/>
        <w:rPr>
          <w:rFonts w:hint="eastAsia" w:hAnsi="宋体" w:cs="宋体"/>
          <w:color w:val="auto"/>
          <w:highlight w:val="none"/>
        </w:rPr>
      </w:pPr>
    </w:p>
    <w:p w14:paraId="4344BCF8">
      <w:pPr>
        <w:spacing w:line="360" w:lineRule="auto"/>
        <w:jc w:val="left"/>
        <w:rPr>
          <w:rFonts w:hint="eastAsia" w:ascii="宋体" w:hAnsi="宋体" w:cs="宋体"/>
          <w:color w:val="auto"/>
          <w:sz w:val="18"/>
          <w:szCs w:val="18"/>
          <w:highlight w:val="none"/>
        </w:rPr>
      </w:pPr>
      <w:r>
        <w:rPr>
          <w:rFonts w:hint="eastAsia" w:ascii="宋体" w:hAnsi="宋体" w:cs="宋体"/>
          <w:color w:val="auto"/>
          <w:highlight w:val="none"/>
        </w:rPr>
        <w:br w:type="page"/>
      </w:r>
      <w:r>
        <w:rPr>
          <w:rFonts w:hint="eastAsia" w:ascii="宋体" w:hAnsi="宋体" w:cs="宋体"/>
          <w:b/>
          <w:bCs/>
          <w:color w:val="auto"/>
          <w:sz w:val="28"/>
          <w:szCs w:val="36"/>
          <w:highlight w:val="none"/>
        </w:rPr>
        <w:t>附件2：</w:t>
      </w:r>
    </w:p>
    <w:p w14:paraId="4E7033CB">
      <w:pPr>
        <w:widowControl/>
        <w:shd w:val="clear" w:color="auto" w:fill="FFFFFF"/>
        <w:spacing w:line="360" w:lineRule="auto"/>
        <w:jc w:val="center"/>
        <w:rPr>
          <w:rFonts w:hint="eastAsia" w:ascii="宋体" w:hAnsi="宋体" w:cs="宋体"/>
          <w:color w:val="auto"/>
          <w:kern w:val="0"/>
          <w:sz w:val="44"/>
          <w:szCs w:val="44"/>
          <w:highlight w:val="none"/>
        </w:rPr>
      </w:pPr>
      <w:r>
        <w:rPr>
          <w:rFonts w:hint="eastAsia" w:ascii="宋体" w:hAnsi="宋体" w:cs="宋体"/>
          <w:color w:val="auto"/>
          <w:kern w:val="0"/>
          <w:sz w:val="44"/>
          <w:szCs w:val="44"/>
          <w:highlight w:val="none"/>
        </w:rPr>
        <w:t>政府采购项目履约保证金退付意见书（参考）</w:t>
      </w:r>
    </w:p>
    <w:tbl>
      <w:tblPr>
        <w:tblStyle w:val="39"/>
        <w:tblW w:w="8618"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8"/>
        <w:gridCol w:w="7610"/>
      </w:tblGrid>
      <w:tr w14:paraId="51405B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5" w:hRule="atLeast"/>
        </w:trPr>
        <w:tc>
          <w:tcPr>
            <w:tcW w:w="1008" w:type="dxa"/>
            <w:vMerge w:val="restart"/>
            <w:noWrap w:val="0"/>
            <w:vAlign w:val="center"/>
          </w:tcPr>
          <w:p w14:paraId="011F55A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cs="宋体"/>
                <w:color w:val="auto"/>
                <w:sz w:val="24"/>
                <w:highlight w:val="none"/>
              </w:rPr>
            </w:pPr>
            <w:r>
              <w:rPr>
                <w:rFonts w:hint="eastAsia" w:ascii="宋体" w:hAnsi="宋体" w:cs="宋体"/>
                <w:color w:val="auto"/>
                <w:sz w:val="24"/>
                <w:highlight w:val="none"/>
              </w:rPr>
              <w:t>供</w:t>
            </w:r>
          </w:p>
          <w:p w14:paraId="1182228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cs="宋体"/>
                <w:color w:val="auto"/>
                <w:sz w:val="24"/>
                <w:highlight w:val="none"/>
              </w:rPr>
            </w:pPr>
            <w:r>
              <w:rPr>
                <w:rFonts w:hint="eastAsia" w:ascii="宋体" w:hAnsi="宋体" w:cs="宋体"/>
                <w:color w:val="auto"/>
                <w:sz w:val="24"/>
                <w:highlight w:val="none"/>
              </w:rPr>
              <w:t>应</w:t>
            </w:r>
          </w:p>
          <w:p w14:paraId="64ABA18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cs="宋体"/>
                <w:color w:val="auto"/>
                <w:sz w:val="24"/>
                <w:highlight w:val="none"/>
              </w:rPr>
            </w:pPr>
            <w:r>
              <w:rPr>
                <w:rFonts w:hint="eastAsia" w:ascii="宋体" w:hAnsi="宋体" w:cs="宋体"/>
                <w:color w:val="auto"/>
                <w:sz w:val="24"/>
                <w:highlight w:val="none"/>
              </w:rPr>
              <w:t>商</w:t>
            </w:r>
          </w:p>
          <w:p w14:paraId="1479281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cs="宋体"/>
                <w:color w:val="auto"/>
                <w:sz w:val="24"/>
                <w:highlight w:val="none"/>
              </w:rPr>
            </w:pPr>
            <w:r>
              <w:rPr>
                <w:rFonts w:hint="eastAsia" w:ascii="宋体" w:hAnsi="宋体" w:cs="宋体"/>
                <w:color w:val="auto"/>
                <w:sz w:val="24"/>
                <w:highlight w:val="none"/>
              </w:rPr>
              <w:t>申</w:t>
            </w:r>
          </w:p>
          <w:p w14:paraId="5A152CA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cs="宋体"/>
                <w:color w:val="auto"/>
                <w:sz w:val="24"/>
                <w:highlight w:val="none"/>
              </w:rPr>
            </w:pPr>
            <w:r>
              <w:rPr>
                <w:rFonts w:hint="eastAsia" w:ascii="宋体" w:hAnsi="宋体" w:cs="宋体"/>
                <w:color w:val="auto"/>
                <w:sz w:val="24"/>
                <w:highlight w:val="none"/>
              </w:rPr>
              <w:t>请</w:t>
            </w:r>
          </w:p>
        </w:tc>
        <w:tc>
          <w:tcPr>
            <w:tcW w:w="7610" w:type="dxa"/>
            <w:noWrap w:val="0"/>
            <w:vAlign w:val="center"/>
          </w:tcPr>
          <w:p w14:paraId="6278DD3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textAlignment w:val="auto"/>
              <w:rPr>
                <w:rFonts w:hint="eastAsia" w:ascii="宋体" w:hAnsi="宋体" w:cs="宋体"/>
                <w:color w:val="auto"/>
                <w:sz w:val="24"/>
                <w:highlight w:val="none"/>
              </w:rPr>
            </w:pPr>
            <w:r>
              <w:rPr>
                <w:rFonts w:hint="eastAsia" w:ascii="宋体" w:hAnsi="宋体" w:cs="宋体"/>
                <w:color w:val="auto"/>
                <w:sz w:val="24"/>
                <w:highlight w:val="none"/>
              </w:rPr>
              <w:t>项目编号：</w:t>
            </w:r>
          </w:p>
        </w:tc>
      </w:tr>
      <w:tr w14:paraId="6C1E71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8" w:hRule="atLeast"/>
        </w:trPr>
        <w:tc>
          <w:tcPr>
            <w:tcW w:w="1008" w:type="dxa"/>
            <w:vMerge w:val="continue"/>
            <w:noWrap w:val="0"/>
            <w:vAlign w:val="center"/>
          </w:tcPr>
          <w:p w14:paraId="21CF8A6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textAlignment w:val="auto"/>
              <w:rPr>
                <w:rFonts w:hint="eastAsia" w:ascii="宋体" w:hAnsi="宋体" w:cs="宋体"/>
                <w:color w:val="auto"/>
                <w:sz w:val="24"/>
                <w:highlight w:val="none"/>
              </w:rPr>
            </w:pPr>
          </w:p>
        </w:tc>
        <w:tc>
          <w:tcPr>
            <w:tcW w:w="7610" w:type="dxa"/>
            <w:noWrap w:val="0"/>
            <w:vAlign w:val="center"/>
          </w:tcPr>
          <w:p w14:paraId="287F2E4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textAlignment w:val="auto"/>
              <w:rPr>
                <w:rFonts w:hint="eastAsia" w:ascii="宋体" w:hAnsi="宋体" w:cs="宋体"/>
                <w:color w:val="auto"/>
                <w:sz w:val="24"/>
                <w:highlight w:val="none"/>
              </w:rPr>
            </w:pPr>
            <w:r>
              <w:rPr>
                <w:rFonts w:hint="eastAsia" w:ascii="宋体" w:hAnsi="宋体" w:cs="宋体"/>
                <w:color w:val="auto"/>
                <w:sz w:val="24"/>
                <w:highlight w:val="none"/>
              </w:rPr>
              <w:t>项目名称：</w:t>
            </w:r>
          </w:p>
        </w:tc>
      </w:tr>
      <w:tr w14:paraId="1D09DF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008" w:type="dxa"/>
            <w:vMerge w:val="continue"/>
            <w:noWrap w:val="0"/>
            <w:vAlign w:val="top"/>
          </w:tcPr>
          <w:p w14:paraId="39FC820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textAlignment w:val="auto"/>
              <w:rPr>
                <w:rFonts w:hint="eastAsia" w:ascii="宋体" w:hAnsi="宋体" w:cs="宋体"/>
                <w:color w:val="auto"/>
                <w:sz w:val="24"/>
                <w:highlight w:val="none"/>
              </w:rPr>
            </w:pPr>
          </w:p>
        </w:tc>
        <w:tc>
          <w:tcPr>
            <w:tcW w:w="7610" w:type="dxa"/>
            <w:noWrap w:val="0"/>
            <w:vAlign w:val="top"/>
          </w:tcPr>
          <w:p w14:paraId="11DF8E5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textAlignment w:val="auto"/>
              <w:rPr>
                <w:rFonts w:hint="eastAsia" w:ascii="宋体" w:hAnsi="宋体" w:cs="宋体"/>
                <w:color w:val="auto"/>
                <w:sz w:val="24"/>
                <w:highlight w:val="none"/>
              </w:rPr>
            </w:pPr>
            <w:r>
              <w:rPr>
                <w:rFonts w:hint="eastAsia" w:ascii="宋体" w:hAnsi="宋体" w:cs="宋体"/>
                <w:color w:val="auto"/>
                <w:sz w:val="24"/>
                <w:highlight w:val="none"/>
              </w:rPr>
              <w:t xml:space="preserve">  </w:t>
            </w:r>
          </w:p>
          <w:p w14:paraId="01B306E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480" w:firstLineChars="200"/>
              <w:textAlignment w:val="auto"/>
              <w:rPr>
                <w:rFonts w:hint="eastAsia" w:ascii="宋体" w:hAnsi="宋体" w:cs="宋体"/>
                <w:color w:val="auto"/>
                <w:sz w:val="24"/>
                <w:highlight w:val="none"/>
              </w:rPr>
            </w:pPr>
            <w:r>
              <w:rPr>
                <w:rFonts w:hint="eastAsia" w:ascii="宋体" w:hAnsi="宋体" w:cs="宋体"/>
                <w:color w:val="auto"/>
                <w:sz w:val="24"/>
                <w:highlight w:val="none"/>
              </w:rPr>
              <w:t>该项目已于</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年</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月</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日</w:t>
            </w:r>
            <w:r>
              <w:rPr>
                <w:rFonts w:hint="eastAsia" w:ascii="宋体" w:hAnsi="宋体" w:cs="宋体"/>
                <w:color w:val="auto"/>
                <w:sz w:val="24"/>
                <w:highlight w:val="none"/>
                <w:lang w:val="en-US" w:eastAsia="zh-CN"/>
              </w:rPr>
              <w:t>完成</w:t>
            </w:r>
            <w:r>
              <w:rPr>
                <w:rFonts w:hint="default" w:ascii="宋体" w:hAnsi="宋体" w:eastAsia="宋体" w:cs="宋体"/>
                <w:color w:val="auto"/>
                <w:sz w:val="24"/>
                <w:szCs w:val="24"/>
                <w:highlight w:val="none"/>
              </w:rPr>
              <w:t>履约验收</w:t>
            </w:r>
            <w:r>
              <w:rPr>
                <w:rFonts w:hint="eastAsia" w:ascii="宋体" w:hAnsi="宋体" w:cs="宋体"/>
                <w:color w:val="auto"/>
                <w:sz w:val="24"/>
                <w:highlight w:val="none"/>
              </w:rPr>
              <w:t>。根据合同规定，该项目的履约保证金期限于</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年</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月</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日已满，请将履约保证金</w:t>
            </w:r>
          </w:p>
          <w:p w14:paraId="2730A24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textAlignment w:val="auto"/>
              <w:rPr>
                <w:rFonts w:hint="eastAsia" w:ascii="宋体" w:hAnsi="宋体" w:cs="宋体"/>
                <w:color w:val="auto"/>
                <w:sz w:val="24"/>
                <w:highlight w:val="none"/>
              </w:rPr>
            </w:pP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（大写）¥</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（小写）退付到达以下账户。</w:t>
            </w:r>
          </w:p>
          <w:p w14:paraId="3642CEA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705"/>
              <w:textAlignment w:val="auto"/>
              <w:rPr>
                <w:rFonts w:hint="eastAsia" w:ascii="宋体" w:hAnsi="宋体" w:cs="宋体"/>
                <w:color w:val="auto"/>
                <w:sz w:val="24"/>
                <w:highlight w:val="none"/>
              </w:rPr>
            </w:pPr>
            <w:r>
              <w:rPr>
                <w:rFonts w:hint="eastAsia" w:ascii="宋体" w:hAnsi="宋体" w:cs="宋体"/>
                <w:color w:val="auto"/>
                <w:sz w:val="24"/>
                <w:highlight w:val="none"/>
              </w:rPr>
              <w:t>单位名称：</w:t>
            </w:r>
          </w:p>
          <w:p w14:paraId="4A285E7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705"/>
              <w:textAlignment w:val="auto"/>
              <w:rPr>
                <w:rFonts w:hint="eastAsia" w:ascii="宋体" w:hAnsi="宋体" w:cs="宋体"/>
                <w:color w:val="auto"/>
                <w:sz w:val="24"/>
                <w:highlight w:val="none"/>
              </w:rPr>
            </w:pPr>
            <w:r>
              <w:rPr>
                <w:rFonts w:hint="eastAsia" w:ascii="宋体" w:hAnsi="宋体" w:cs="宋体"/>
                <w:color w:val="auto"/>
                <w:sz w:val="24"/>
                <w:highlight w:val="none"/>
              </w:rPr>
              <w:t>开户银行：</w:t>
            </w:r>
          </w:p>
          <w:p w14:paraId="6AC67EA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705"/>
              <w:textAlignment w:val="auto"/>
              <w:rPr>
                <w:rFonts w:hint="eastAsia" w:ascii="宋体" w:hAnsi="宋体" w:cs="宋体"/>
                <w:color w:val="auto"/>
                <w:sz w:val="24"/>
                <w:highlight w:val="none"/>
              </w:rPr>
            </w:pPr>
            <w:r>
              <w:rPr>
                <w:rFonts w:hint="eastAsia" w:ascii="宋体" w:hAnsi="宋体" w:cs="宋体"/>
                <w:color w:val="auto"/>
                <w:sz w:val="24"/>
                <w:highlight w:val="none"/>
              </w:rPr>
              <w:t>账   号：</w:t>
            </w:r>
          </w:p>
          <w:p w14:paraId="0A02443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textAlignment w:val="auto"/>
              <w:rPr>
                <w:rFonts w:hint="eastAsia" w:ascii="宋体" w:hAnsi="宋体" w:cs="宋体"/>
                <w:color w:val="auto"/>
                <w:sz w:val="24"/>
                <w:highlight w:val="none"/>
              </w:rPr>
            </w:pPr>
            <w:r>
              <w:rPr>
                <w:rFonts w:hint="eastAsia" w:ascii="宋体" w:hAnsi="宋体" w:cs="宋体"/>
                <w:color w:val="auto"/>
                <w:sz w:val="24"/>
                <w:highlight w:val="none"/>
              </w:rPr>
              <w:t>联系人及电话：</w:t>
            </w:r>
          </w:p>
          <w:p w14:paraId="2E3A1BF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textAlignment w:val="auto"/>
              <w:rPr>
                <w:rFonts w:hint="eastAsia" w:ascii="宋体" w:hAnsi="宋体" w:cs="宋体"/>
                <w:color w:val="auto"/>
                <w:sz w:val="24"/>
                <w:highlight w:val="none"/>
              </w:rPr>
            </w:pPr>
          </w:p>
          <w:p w14:paraId="736CD77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cs="宋体"/>
                <w:color w:val="auto"/>
                <w:sz w:val="24"/>
                <w:highlight w:val="none"/>
              </w:rPr>
            </w:pPr>
            <w:r>
              <w:rPr>
                <w:rFonts w:hint="eastAsia" w:ascii="宋体" w:hAnsi="宋体" w:cs="宋体"/>
                <w:color w:val="auto"/>
                <w:sz w:val="24"/>
                <w:highlight w:val="none"/>
              </w:rPr>
              <w:t xml:space="preserve">         投标人签章：</w:t>
            </w:r>
          </w:p>
          <w:p w14:paraId="10ADA2F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cs="宋体"/>
                <w:color w:val="auto"/>
                <w:sz w:val="24"/>
                <w:highlight w:val="none"/>
              </w:rPr>
            </w:pPr>
            <w:r>
              <w:rPr>
                <w:rFonts w:hint="eastAsia" w:ascii="宋体" w:hAnsi="宋体" w:cs="宋体"/>
                <w:color w:val="auto"/>
                <w:sz w:val="24"/>
                <w:highlight w:val="none"/>
              </w:rPr>
              <w:t xml:space="preserve">                           年    月     日</w:t>
            </w:r>
          </w:p>
        </w:tc>
      </w:tr>
      <w:tr w14:paraId="164F6C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6" w:hRule="atLeast"/>
        </w:trPr>
        <w:tc>
          <w:tcPr>
            <w:tcW w:w="1008" w:type="dxa"/>
            <w:noWrap w:val="0"/>
            <w:vAlign w:val="center"/>
          </w:tcPr>
          <w:p w14:paraId="485D411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cs="宋体"/>
                <w:color w:val="auto"/>
                <w:sz w:val="24"/>
                <w:highlight w:val="none"/>
              </w:rPr>
            </w:pPr>
            <w:r>
              <w:rPr>
                <w:rFonts w:hint="eastAsia" w:ascii="宋体" w:hAnsi="宋体" w:cs="宋体"/>
                <w:color w:val="auto"/>
                <w:sz w:val="24"/>
                <w:highlight w:val="none"/>
              </w:rPr>
              <w:t>采</w:t>
            </w:r>
          </w:p>
          <w:p w14:paraId="223A63B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cs="宋体"/>
                <w:color w:val="auto"/>
                <w:sz w:val="24"/>
                <w:highlight w:val="none"/>
              </w:rPr>
            </w:pPr>
            <w:r>
              <w:rPr>
                <w:rFonts w:hint="eastAsia" w:ascii="宋体" w:hAnsi="宋体" w:cs="宋体"/>
                <w:color w:val="auto"/>
                <w:sz w:val="24"/>
                <w:highlight w:val="none"/>
              </w:rPr>
              <w:t>购</w:t>
            </w:r>
          </w:p>
          <w:p w14:paraId="2167D5E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cs="宋体"/>
                <w:color w:val="auto"/>
                <w:sz w:val="24"/>
                <w:highlight w:val="none"/>
              </w:rPr>
            </w:pPr>
            <w:r>
              <w:rPr>
                <w:rFonts w:hint="eastAsia" w:ascii="宋体" w:hAnsi="宋体" w:cs="宋体"/>
                <w:color w:val="auto"/>
                <w:sz w:val="24"/>
                <w:highlight w:val="none"/>
              </w:rPr>
              <w:t>人</w:t>
            </w:r>
          </w:p>
          <w:p w14:paraId="63F33E2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cs="宋体"/>
                <w:color w:val="auto"/>
                <w:sz w:val="24"/>
                <w:highlight w:val="none"/>
              </w:rPr>
            </w:pPr>
            <w:r>
              <w:rPr>
                <w:rFonts w:hint="eastAsia" w:ascii="宋体" w:hAnsi="宋体" w:cs="宋体"/>
                <w:color w:val="auto"/>
                <w:sz w:val="24"/>
                <w:highlight w:val="none"/>
              </w:rPr>
              <w:t>意</w:t>
            </w:r>
          </w:p>
          <w:p w14:paraId="71266ED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cs="宋体"/>
                <w:color w:val="auto"/>
                <w:sz w:val="24"/>
                <w:highlight w:val="none"/>
              </w:rPr>
            </w:pPr>
            <w:r>
              <w:rPr>
                <w:rFonts w:hint="eastAsia" w:ascii="宋体" w:hAnsi="宋体" w:cs="宋体"/>
                <w:color w:val="auto"/>
                <w:sz w:val="24"/>
                <w:highlight w:val="none"/>
              </w:rPr>
              <w:t>见</w:t>
            </w:r>
          </w:p>
        </w:tc>
        <w:tc>
          <w:tcPr>
            <w:tcW w:w="7610" w:type="dxa"/>
            <w:noWrap w:val="0"/>
            <w:vAlign w:val="top"/>
          </w:tcPr>
          <w:p w14:paraId="20C500A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textAlignment w:val="auto"/>
              <w:rPr>
                <w:rFonts w:hint="eastAsia" w:ascii="宋体" w:hAnsi="宋体" w:cs="宋体"/>
                <w:color w:val="auto"/>
                <w:sz w:val="24"/>
                <w:highlight w:val="none"/>
              </w:rPr>
            </w:pPr>
          </w:p>
          <w:p w14:paraId="1C35453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textAlignment w:val="auto"/>
              <w:rPr>
                <w:rFonts w:hint="eastAsia" w:ascii="宋体" w:hAnsi="宋体" w:cs="宋体"/>
                <w:color w:val="auto"/>
                <w:sz w:val="24"/>
                <w:highlight w:val="none"/>
              </w:rPr>
            </w:pPr>
            <w:r>
              <w:rPr>
                <w:rFonts w:hint="eastAsia" w:ascii="宋体" w:hAnsi="宋体" w:cs="宋体"/>
                <w:color w:val="auto"/>
                <w:sz w:val="24"/>
                <w:highlight w:val="none"/>
              </w:rPr>
              <w:t>退付意见：（是否同意退付履约保证金及退付金额）</w:t>
            </w:r>
          </w:p>
          <w:p w14:paraId="27FAA79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textAlignment w:val="auto"/>
              <w:rPr>
                <w:rFonts w:hint="eastAsia" w:ascii="宋体" w:hAnsi="宋体" w:cs="宋体"/>
                <w:color w:val="auto"/>
                <w:sz w:val="24"/>
                <w:highlight w:val="none"/>
              </w:rPr>
            </w:pPr>
          </w:p>
          <w:p w14:paraId="38F524E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textAlignment w:val="auto"/>
              <w:rPr>
                <w:rFonts w:hint="eastAsia" w:ascii="宋体" w:hAnsi="宋体" w:cs="宋体"/>
                <w:color w:val="auto"/>
                <w:sz w:val="24"/>
                <w:highlight w:val="none"/>
              </w:rPr>
            </w:pPr>
          </w:p>
          <w:p w14:paraId="6CC2724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textAlignment w:val="auto"/>
              <w:rPr>
                <w:rFonts w:hint="eastAsia" w:ascii="宋体" w:hAnsi="宋体" w:cs="宋体"/>
                <w:color w:val="auto"/>
                <w:sz w:val="24"/>
                <w:highlight w:val="none"/>
              </w:rPr>
            </w:pPr>
          </w:p>
          <w:p w14:paraId="37CCAEF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textAlignment w:val="auto"/>
              <w:rPr>
                <w:rFonts w:hint="eastAsia" w:ascii="宋体" w:hAnsi="宋体" w:cs="宋体"/>
                <w:color w:val="auto"/>
                <w:sz w:val="24"/>
                <w:highlight w:val="none"/>
              </w:rPr>
            </w:pPr>
          </w:p>
          <w:p w14:paraId="3E43607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textAlignment w:val="auto"/>
              <w:rPr>
                <w:rFonts w:hint="eastAsia" w:ascii="宋体" w:hAnsi="宋体" w:cs="宋体"/>
                <w:color w:val="auto"/>
                <w:sz w:val="24"/>
                <w:highlight w:val="none"/>
              </w:rPr>
            </w:pPr>
            <w:r>
              <w:rPr>
                <w:rFonts w:hint="eastAsia" w:ascii="宋体" w:hAnsi="宋体" w:cs="宋体"/>
                <w:color w:val="auto"/>
                <w:sz w:val="24"/>
                <w:highlight w:val="none"/>
              </w:rPr>
              <w:t>联系人及电话：                         采购人签章</w:t>
            </w:r>
          </w:p>
          <w:p w14:paraId="5330EE6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cs="宋体"/>
                <w:color w:val="auto"/>
                <w:sz w:val="24"/>
                <w:highlight w:val="none"/>
              </w:rPr>
            </w:pPr>
            <w:r>
              <w:rPr>
                <w:rFonts w:hint="eastAsia" w:ascii="宋体" w:hAnsi="宋体" w:cs="宋体"/>
                <w:color w:val="auto"/>
                <w:sz w:val="24"/>
                <w:highlight w:val="none"/>
              </w:rPr>
              <w:t xml:space="preserve">                                        年    月     日</w:t>
            </w:r>
          </w:p>
        </w:tc>
      </w:tr>
      <w:tr w14:paraId="069276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5" w:hRule="atLeast"/>
        </w:trPr>
        <w:tc>
          <w:tcPr>
            <w:tcW w:w="1008" w:type="dxa"/>
            <w:noWrap w:val="0"/>
            <w:vAlign w:val="center"/>
          </w:tcPr>
          <w:p w14:paraId="2997843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cs="宋体"/>
                <w:color w:val="auto"/>
                <w:sz w:val="24"/>
                <w:highlight w:val="none"/>
              </w:rPr>
            </w:pPr>
            <w:r>
              <w:rPr>
                <w:rFonts w:hint="eastAsia" w:ascii="宋体" w:hAnsi="宋体" w:cs="宋体"/>
                <w:color w:val="auto"/>
                <w:sz w:val="24"/>
                <w:highlight w:val="none"/>
              </w:rPr>
              <w:t>备注</w:t>
            </w:r>
          </w:p>
        </w:tc>
        <w:tc>
          <w:tcPr>
            <w:tcW w:w="7610" w:type="dxa"/>
            <w:noWrap w:val="0"/>
            <w:vAlign w:val="top"/>
          </w:tcPr>
          <w:p w14:paraId="6C92E69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textAlignment w:val="auto"/>
              <w:rPr>
                <w:rFonts w:hint="eastAsia" w:ascii="宋体" w:hAnsi="宋体" w:cs="宋体"/>
                <w:color w:val="auto"/>
                <w:sz w:val="24"/>
                <w:highlight w:val="none"/>
              </w:rPr>
            </w:pPr>
          </w:p>
        </w:tc>
      </w:tr>
    </w:tbl>
    <w:p w14:paraId="487F4CE9">
      <w:pPr>
        <w:pStyle w:val="15"/>
        <w:keepNext w:val="0"/>
        <w:keepLines w:val="0"/>
        <w:pageBreakBefore w:val="0"/>
        <w:widowControl w:val="0"/>
        <w:kinsoku/>
        <w:wordWrap/>
        <w:overflowPunct/>
        <w:topLinePunct w:val="0"/>
        <w:autoSpaceDE/>
        <w:autoSpaceDN/>
        <w:bidi w:val="0"/>
        <w:adjustRightInd/>
        <w:snapToGrid/>
        <w:spacing w:line="400" w:lineRule="exact"/>
        <w:ind w:left="450" w:leftChars="114" w:hanging="211" w:hangingChars="100"/>
        <w:textAlignment w:val="auto"/>
        <w:rPr>
          <w:rFonts w:hint="eastAsia" w:ascii="宋体" w:hAnsi="宋体" w:cs="宋体"/>
          <w:b/>
          <w:bCs/>
          <w:color w:val="auto"/>
          <w:szCs w:val="21"/>
          <w:highlight w:val="none"/>
        </w:rPr>
      </w:pPr>
      <w:r>
        <w:rPr>
          <w:rFonts w:hint="eastAsia" w:ascii="宋体" w:hAnsi="宋体" w:cs="宋体"/>
          <w:b/>
          <w:bCs/>
          <w:color w:val="auto"/>
          <w:szCs w:val="21"/>
          <w:highlight w:val="none"/>
        </w:rPr>
        <w:t>注：投标人凭经采购人审批的退付意见书到保证金收取单位办理履约保证金退付事宜。</w:t>
      </w:r>
    </w:p>
    <w:p w14:paraId="2882D9DF">
      <w:pPr>
        <w:pStyle w:val="20"/>
        <w:snapToGrid w:val="0"/>
        <w:spacing w:before="120" w:after="120"/>
        <w:rPr>
          <w:rFonts w:hint="eastAsia" w:hAnsi="宋体" w:cs="宋体"/>
          <w:color w:val="auto"/>
          <w:highlight w:val="none"/>
        </w:rPr>
      </w:pPr>
    </w:p>
    <w:p w14:paraId="1DE4000B">
      <w:pPr>
        <w:pStyle w:val="3"/>
        <w:spacing w:before="0" w:after="0" w:line="360" w:lineRule="auto"/>
        <w:jc w:val="center"/>
        <w:rPr>
          <w:rFonts w:hint="eastAsia" w:ascii="宋体" w:hAnsi="宋体" w:cs="宋体"/>
          <w:color w:val="auto"/>
          <w:highlight w:val="none"/>
        </w:rPr>
      </w:pPr>
      <w:bookmarkStart w:id="164" w:name="_Toc2178"/>
      <w:bookmarkStart w:id="165" w:name="_Toc330456896"/>
      <w:bookmarkStart w:id="166" w:name="_Toc27431"/>
      <w:bookmarkStart w:id="167" w:name="_Toc15433"/>
      <w:bookmarkStart w:id="168" w:name="_Toc254970548"/>
      <w:bookmarkStart w:id="169" w:name="_Toc254970689"/>
      <w:bookmarkStart w:id="205" w:name="_GoBack"/>
      <w:bookmarkEnd w:id="205"/>
      <w:r>
        <w:rPr>
          <w:rFonts w:hint="eastAsia" w:ascii="宋体" w:hAnsi="宋体" w:cs="宋体"/>
          <w:color w:val="auto"/>
          <w:highlight w:val="none"/>
        </w:rPr>
        <w:t>第四章  评标方法及评标标准</w:t>
      </w:r>
      <w:bookmarkEnd w:id="164"/>
      <w:bookmarkEnd w:id="165"/>
      <w:bookmarkEnd w:id="166"/>
      <w:bookmarkEnd w:id="167"/>
      <w:bookmarkEnd w:id="168"/>
      <w:bookmarkEnd w:id="169"/>
    </w:p>
    <w:p w14:paraId="7D0CD9AB">
      <w:pPr>
        <w:pStyle w:val="4"/>
        <w:pageBreakBefore w:val="0"/>
        <w:kinsoku/>
        <w:wordWrap/>
        <w:overflowPunct/>
        <w:topLinePunct w:val="0"/>
        <w:autoSpaceDE/>
        <w:autoSpaceDN/>
        <w:bidi w:val="0"/>
        <w:spacing w:before="0" w:after="0" w:line="400" w:lineRule="exact"/>
        <w:jc w:val="center"/>
        <w:textAlignment w:val="auto"/>
        <w:rPr>
          <w:rFonts w:hint="eastAsia" w:ascii="宋体" w:hAnsi="宋体" w:eastAsia="宋体" w:cs="宋体"/>
          <w:color w:val="auto"/>
          <w:highlight w:val="none"/>
        </w:rPr>
      </w:pPr>
      <w:bookmarkStart w:id="170" w:name="_Toc22273"/>
      <w:bookmarkStart w:id="171" w:name="_Toc23781"/>
      <w:r>
        <w:rPr>
          <w:rFonts w:hint="eastAsia" w:ascii="宋体" w:hAnsi="宋体" w:eastAsia="宋体" w:cs="宋体"/>
          <w:color w:val="auto"/>
          <w:highlight w:val="none"/>
        </w:rPr>
        <w:t>一、评标方法</w:t>
      </w:r>
      <w:bookmarkEnd w:id="170"/>
      <w:bookmarkEnd w:id="171"/>
    </w:p>
    <w:p w14:paraId="27F59800">
      <w:pPr>
        <w:pStyle w:val="20"/>
        <w:pageBreakBefore w:val="0"/>
        <w:kinsoku/>
        <w:wordWrap/>
        <w:overflowPunct/>
        <w:topLinePunct w:val="0"/>
        <w:autoSpaceDE/>
        <w:autoSpaceDN/>
        <w:bidi w:val="0"/>
        <w:spacing w:line="400" w:lineRule="exact"/>
        <w:ind w:firstLine="420"/>
        <w:textAlignment w:val="auto"/>
        <w:rPr>
          <w:rFonts w:hint="eastAsia" w:hAnsi="宋体" w:cs="宋体"/>
          <w:color w:val="auto"/>
          <w:highlight w:val="none"/>
        </w:rPr>
      </w:pPr>
      <w:r>
        <w:rPr>
          <w:rFonts w:hint="eastAsia" w:hAnsi="宋体" w:cs="宋体"/>
          <w:color w:val="auto"/>
          <w:highlight w:val="none"/>
        </w:rPr>
        <w:t>综合评分法，是指投标文件满足招标文件全部实质性要求，且按照评审因素的量化指标评审得分最高的投标人为中标候选人的评标方法。</w:t>
      </w:r>
    </w:p>
    <w:p w14:paraId="57D75E77">
      <w:pPr>
        <w:pStyle w:val="4"/>
        <w:pageBreakBefore w:val="0"/>
        <w:kinsoku/>
        <w:wordWrap/>
        <w:overflowPunct/>
        <w:topLinePunct w:val="0"/>
        <w:autoSpaceDE/>
        <w:autoSpaceDN/>
        <w:bidi w:val="0"/>
        <w:spacing w:before="0" w:after="0" w:line="400" w:lineRule="exact"/>
        <w:jc w:val="center"/>
        <w:textAlignment w:val="auto"/>
        <w:rPr>
          <w:rFonts w:hint="eastAsia" w:ascii="宋体" w:hAnsi="宋体" w:eastAsia="宋体" w:cs="宋体"/>
          <w:color w:val="auto"/>
          <w:highlight w:val="none"/>
        </w:rPr>
      </w:pPr>
      <w:bookmarkStart w:id="172" w:name="_Toc3353"/>
      <w:bookmarkStart w:id="173" w:name="_Toc29445"/>
      <w:r>
        <w:rPr>
          <w:rFonts w:hint="eastAsia" w:ascii="宋体" w:hAnsi="宋体" w:eastAsia="宋体" w:cs="宋体"/>
          <w:color w:val="auto"/>
          <w:highlight w:val="none"/>
        </w:rPr>
        <w:t>二、评标程序</w:t>
      </w:r>
      <w:bookmarkEnd w:id="172"/>
      <w:bookmarkEnd w:id="173"/>
    </w:p>
    <w:p w14:paraId="59AC1156">
      <w:pPr>
        <w:pStyle w:val="20"/>
        <w:pageBreakBefore w:val="0"/>
        <w:kinsoku/>
        <w:wordWrap/>
        <w:overflowPunct/>
        <w:topLinePunct w:val="0"/>
        <w:autoSpaceDE/>
        <w:autoSpaceDN/>
        <w:bidi w:val="0"/>
        <w:snapToGrid w:val="0"/>
        <w:spacing w:line="400" w:lineRule="exact"/>
        <w:ind w:firstLine="420"/>
        <w:textAlignment w:val="auto"/>
        <w:rPr>
          <w:rFonts w:hint="eastAsia" w:hAnsi="宋体" w:cs="宋体"/>
          <w:b/>
          <w:color w:val="auto"/>
          <w:highlight w:val="none"/>
        </w:rPr>
      </w:pPr>
      <w:r>
        <w:rPr>
          <w:rFonts w:hint="eastAsia" w:hAnsi="宋体" w:cs="宋体"/>
          <w:b/>
          <w:color w:val="auto"/>
          <w:highlight w:val="none"/>
        </w:rPr>
        <w:t>1.符合性审查</w:t>
      </w:r>
    </w:p>
    <w:p w14:paraId="07091B0D">
      <w:pPr>
        <w:pStyle w:val="20"/>
        <w:pageBreakBefore w:val="0"/>
        <w:kinsoku/>
        <w:wordWrap/>
        <w:overflowPunct/>
        <w:topLinePunct w:val="0"/>
        <w:autoSpaceDE/>
        <w:autoSpaceDN/>
        <w:bidi w:val="0"/>
        <w:snapToGrid w:val="0"/>
        <w:spacing w:line="400" w:lineRule="exact"/>
        <w:ind w:firstLine="420"/>
        <w:textAlignment w:val="auto"/>
        <w:rPr>
          <w:rFonts w:hint="eastAsia" w:hAnsi="宋体" w:cs="宋体"/>
          <w:b/>
          <w:color w:val="auto"/>
          <w:highlight w:val="none"/>
        </w:rPr>
      </w:pPr>
      <w:r>
        <w:rPr>
          <w:rFonts w:hint="eastAsia" w:hAnsi="宋体" w:cs="宋体"/>
          <w:b/>
          <w:color w:val="auto"/>
          <w:highlight w:val="none"/>
        </w:rPr>
        <w:t>评标委员会应当对符合资格的投标人的投标文件进行投标报价、商务、技术等实质性内容符合性审查，以确定其是否满足招标文件的实质性要求。</w:t>
      </w:r>
    </w:p>
    <w:p w14:paraId="42E73533">
      <w:pPr>
        <w:pStyle w:val="20"/>
        <w:pageBreakBefore w:val="0"/>
        <w:kinsoku/>
        <w:wordWrap/>
        <w:overflowPunct/>
        <w:topLinePunct w:val="0"/>
        <w:autoSpaceDE/>
        <w:autoSpaceDN/>
        <w:bidi w:val="0"/>
        <w:snapToGrid w:val="0"/>
        <w:spacing w:line="400" w:lineRule="exact"/>
        <w:ind w:firstLine="420"/>
        <w:textAlignment w:val="auto"/>
        <w:rPr>
          <w:rFonts w:hint="eastAsia" w:hAnsi="宋体" w:cs="宋体"/>
          <w:b/>
          <w:color w:val="auto"/>
          <w:highlight w:val="none"/>
        </w:rPr>
      </w:pPr>
      <w:r>
        <w:rPr>
          <w:rFonts w:hint="eastAsia" w:hAnsi="宋体" w:cs="宋体"/>
          <w:b/>
          <w:color w:val="auto"/>
          <w:highlight w:val="none"/>
        </w:rPr>
        <w:t>2.符合性审查不通过而导致投标无效的情形</w:t>
      </w:r>
    </w:p>
    <w:p w14:paraId="5D7A2BF0">
      <w:pPr>
        <w:pageBreakBefore w:val="0"/>
        <w:kinsoku/>
        <w:wordWrap/>
        <w:overflowPunct/>
        <w:topLinePunct w:val="0"/>
        <w:autoSpaceDE/>
        <w:autoSpaceDN/>
        <w:bidi w:val="0"/>
        <w:snapToGrid w:val="0"/>
        <w:spacing w:line="400" w:lineRule="exact"/>
        <w:ind w:firstLine="422" w:firstLineChars="200"/>
        <w:textAlignment w:val="auto"/>
        <w:rPr>
          <w:rFonts w:hint="eastAsia" w:ascii="宋体" w:hAnsi="宋体" w:cs="宋体"/>
          <w:b/>
          <w:color w:val="auto"/>
          <w:szCs w:val="21"/>
          <w:highlight w:val="none"/>
        </w:rPr>
      </w:pPr>
      <w:r>
        <w:rPr>
          <w:rFonts w:hint="eastAsia" w:ascii="宋体" w:hAnsi="宋体" w:cs="宋体"/>
          <w:b/>
          <w:color w:val="auto"/>
          <w:szCs w:val="21"/>
          <w:highlight w:val="none"/>
        </w:rPr>
        <w:t>投标人的投标文件中存在对招标文件的任何实质性要求和条件的负偏离，将被视为投标无效。</w:t>
      </w:r>
    </w:p>
    <w:p w14:paraId="12B65323">
      <w:pPr>
        <w:pStyle w:val="20"/>
        <w:pageBreakBefore w:val="0"/>
        <w:kinsoku/>
        <w:wordWrap/>
        <w:overflowPunct/>
        <w:topLinePunct w:val="0"/>
        <w:autoSpaceDE/>
        <w:autoSpaceDN/>
        <w:bidi w:val="0"/>
        <w:snapToGrid w:val="0"/>
        <w:spacing w:line="400" w:lineRule="exact"/>
        <w:ind w:firstLine="420"/>
        <w:textAlignment w:val="auto"/>
        <w:rPr>
          <w:rFonts w:hint="eastAsia" w:hAnsi="宋体" w:cs="宋体"/>
          <w:b/>
          <w:color w:val="auto"/>
          <w:highlight w:val="none"/>
        </w:rPr>
      </w:pPr>
      <w:r>
        <w:rPr>
          <w:rFonts w:hint="eastAsia" w:hAnsi="宋体" w:cs="宋体"/>
          <w:b/>
          <w:color w:val="auto"/>
          <w:highlight w:val="none"/>
        </w:rPr>
        <w:t>2.1在报价评审时，如发现下列情形之一的，将被视为投标无效：</w:t>
      </w:r>
    </w:p>
    <w:p w14:paraId="3D17704F">
      <w:pPr>
        <w:pStyle w:val="9"/>
        <w:pageBreakBefore w:val="0"/>
        <w:numPr>
          <w:ilvl w:val="0"/>
          <w:numId w:val="1"/>
        </w:numPr>
        <w:kinsoku/>
        <w:wordWrap/>
        <w:overflowPunct/>
        <w:topLinePunct w:val="0"/>
        <w:autoSpaceDE/>
        <w:autoSpaceDN/>
        <w:bidi w:val="0"/>
        <w:spacing w:line="400" w:lineRule="exact"/>
        <w:ind w:firstLine="398" w:firstLineChars="200"/>
        <w:textAlignment w:val="auto"/>
        <w:rPr>
          <w:rFonts w:hint="eastAsia" w:ascii="宋体" w:hAnsi="宋体" w:cs="宋体"/>
          <w:b/>
          <w:color w:val="auto"/>
          <w:spacing w:val="-6"/>
          <w:szCs w:val="21"/>
          <w:highlight w:val="none"/>
        </w:rPr>
      </w:pPr>
      <w:r>
        <w:rPr>
          <w:rFonts w:hint="eastAsia" w:ascii="宋体" w:hAnsi="宋体" w:cs="宋体"/>
          <w:b/>
          <w:color w:val="auto"/>
          <w:spacing w:val="-6"/>
          <w:szCs w:val="21"/>
          <w:highlight w:val="none"/>
        </w:rPr>
        <w:t>报价文件未提供“投标人须知前附表”第13条</w:t>
      </w:r>
      <w:r>
        <w:rPr>
          <w:rFonts w:hint="eastAsia" w:ascii="宋体" w:hAnsi="宋体" w:cs="宋体"/>
          <w:b/>
          <w:color w:val="auto"/>
          <w:szCs w:val="21"/>
          <w:highlight w:val="none"/>
        </w:rPr>
        <w:t>“报价文件”</w:t>
      </w:r>
      <w:r>
        <w:rPr>
          <w:rFonts w:hint="eastAsia" w:ascii="宋体" w:hAnsi="宋体" w:cs="宋体"/>
          <w:b/>
          <w:color w:val="auto"/>
          <w:spacing w:val="-6"/>
          <w:szCs w:val="21"/>
          <w:highlight w:val="none"/>
        </w:rPr>
        <w:t>规定中“必须提供”的文件资料的；</w:t>
      </w:r>
    </w:p>
    <w:p w14:paraId="72AFDDCD">
      <w:pPr>
        <w:pStyle w:val="9"/>
        <w:pageBreakBefore w:val="0"/>
        <w:numPr>
          <w:ilvl w:val="0"/>
          <w:numId w:val="1"/>
        </w:numPr>
        <w:kinsoku/>
        <w:wordWrap/>
        <w:overflowPunct/>
        <w:topLinePunct w:val="0"/>
        <w:autoSpaceDE/>
        <w:autoSpaceDN/>
        <w:bidi w:val="0"/>
        <w:spacing w:line="400" w:lineRule="exact"/>
        <w:ind w:firstLine="422" w:firstLineChars="200"/>
        <w:textAlignment w:val="auto"/>
        <w:rPr>
          <w:rFonts w:hint="eastAsia" w:ascii="宋体" w:hAnsi="宋体" w:cs="宋体"/>
          <w:b/>
          <w:color w:val="auto"/>
          <w:szCs w:val="21"/>
          <w:highlight w:val="none"/>
        </w:rPr>
      </w:pPr>
      <w:r>
        <w:rPr>
          <w:rFonts w:hint="eastAsia" w:ascii="宋体" w:hAnsi="宋体" w:cs="宋体"/>
          <w:b/>
          <w:color w:val="auto"/>
          <w:szCs w:val="21"/>
          <w:highlight w:val="none"/>
        </w:rPr>
        <w:t>未采用人民币报价或者未按照招标文件标明的币种报价的；</w:t>
      </w:r>
    </w:p>
    <w:p w14:paraId="4B59165F">
      <w:pPr>
        <w:pStyle w:val="9"/>
        <w:pageBreakBefore w:val="0"/>
        <w:numPr>
          <w:ilvl w:val="0"/>
          <w:numId w:val="1"/>
        </w:numPr>
        <w:kinsoku/>
        <w:wordWrap/>
        <w:overflowPunct/>
        <w:topLinePunct w:val="0"/>
        <w:autoSpaceDE/>
        <w:autoSpaceDN/>
        <w:bidi w:val="0"/>
        <w:spacing w:line="400" w:lineRule="exact"/>
        <w:ind w:firstLine="422"/>
        <w:textAlignment w:val="auto"/>
        <w:rPr>
          <w:rFonts w:hint="eastAsia" w:ascii="宋体" w:hAnsi="宋体" w:cs="宋体"/>
          <w:b/>
          <w:color w:val="auto"/>
          <w:spacing w:val="-6"/>
          <w:szCs w:val="21"/>
          <w:highlight w:val="none"/>
        </w:rPr>
      </w:pPr>
      <w:r>
        <w:rPr>
          <w:rFonts w:hint="eastAsia" w:ascii="宋体" w:hAnsi="宋体" w:cs="宋体"/>
          <w:b/>
          <w:color w:val="auto"/>
          <w:spacing w:val="-6"/>
          <w:szCs w:val="21"/>
          <w:highlight w:val="none"/>
        </w:rPr>
        <w:t>各分标报价超出招标文件相应分标规定最高限价，或者超出相应分标采购预算金额的；</w:t>
      </w:r>
    </w:p>
    <w:p w14:paraId="7D43FD96">
      <w:pPr>
        <w:pStyle w:val="9"/>
        <w:pageBreakBefore w:val="0"/>
        <w:numPr>
          <w:ilvl w:val="0"/>
          <w:numId w:val="1"/>
        </w:numPr>
        <w:kinsoku/>
        <w:wordWrap/>
        <w:overflowPunct/>
        <w:topLinePunct w:val="0"/>
        <w:autoSpaceDE/>
        <w:autoSpaceDN/>
        <w:bidi w:val="0"/>
        <w:spacing w:line="400" w:lineRule="exact"/>
        <w:ind w:firstLine="422" w:firstLineChars="200"/>
        <w:textAlignment w:val="auto"/>
        <w:rPr>
          <w:rFonts w:hint="eastAsia" w:ascii="宋体" w:hAnsi="宋体" w:cs="宋体"/>
          <w:b/>
          <w:color w:val="auto"/>
          <w:szCs w:val="21"/>
          <w:highlight w:val="none"/>
        </w:rPr>
      </w:pPr>
      <w:r>
        <w:rPr>
          <w:rFonts w:hint="eastAsia" w:ascii="宋体" w:hAnsi="宋体" w:cs="宋体"/>
          <w:b/>
          <w:color w:val="auto"/>
          <w:szCs w:val="21"/>
          <w:highlight w:val="none"/>
        </w:rPr>
        <w:t>投标人未就所投分标进行报价或者存在漏项报价；投标人未就所投分标的单项内容作唯一报价；投标人未就所投分标的全部内容作完整唯一总价报价；存在有选择、有条件报价的（招标文件允许有备选方案或者其他约定的除外）；</w:t>
      </w:r>
    </w:p>
    <w:p w14:paraId="734079BD">
      <w:pPr>
        <w:pStyle w:val="9"/>
        <w:pageBreakBefore w:val="0"/>
        <w:numPr>
          <w:ilvl w:val="0"/>
          <w:numId w:val="1"/>
        </w:numPr>
        <w:kinsoku/>
        <w:wordWrap/>
        <w:overflowPunct/>
        <w:topLinePunct w:val="0"/>
        <w:autoSpaceDE/>
        <w:autoSpaceDN/>
        <w:bidi w:val="0"/>
        <w:spacing w:line="400" w:lineRule="exact"/>
        <w:ind w:firstLine="422" w:firstLineChars="200"/>
        <w:textAlignment w:val="auto"/>
        <w:rPr>
          <w:rFonts w:hint="eastAsia" w:ascii="宋体" w:hAnsi="宋体" w:cs="宋体"/>
          <w:b/>
          <w:color w:val="auto"/>
          <w:szCs w:val="21"/>
          <w:highlight w:val="none"/>
        </w:rPr>
      </w:pPr>
      <w:r>
        <w:rPr>
          <w:rFonts w:hint="eastAsia" w:ascii="宋体" w:hAnsi="宋体" w:cs="宋体"/>
          <w:b/>
          <w:color w:val="auto"/>
          <w:szCs w:val="21"/>
          <w:highlight w:val="none"/>
        </w:rPr>
        <w:t>修正后的报价，投标人不确认的；</w:t>
      </w:r>
    </w:p>
    <w:p w14:paraId="272366A1">
      <w:pPr>
        <w:pStyle w:val="9"/>
        <w:pageBreakBefore w:val="0"/>
        <w:numPr>
          <w:ilvl w:val="0"/>
          <w:numId w:val="1"/>
        </w:numPr>
        <w:kinsoku/>
        <w:wordWrap/>
        <w:overflowPunct/>
        <w:topLinePunct w:val="0"/>
        <w:autoSpaceDE/>
        <w:autoSpaceDN/>
        <w:bidi w:val="0"/>
        <w:spacing w:line="400" w:lineRule="exact"/>
        <w:ind w:firstLine="422" w:firstLineChars="200"/>
        <w:textAlignment w:val="auto"/>
        <w:rPr>
          <w:rFonts w:hint="eastAsia" w:ascii="宋体" w:hAnsi="宋体" w:cs="宋体"/>
          <w:b/>
          <w:color w:val="auto"/>
          <w:szCs w:val="21"/>
          <w:highlight w:val="none"/>
        </w:rPr>
      </w:pPr>
      <w:r>
        <w:rPr>
          <w:rFonts w:hint="eastAsia" w:ascii="宋体" w:hAnsi="宋体" w:cs="宋体"/>
          <w:b/>
          <w:color w:val="auto"/>
          <w:szCs w:val="21"/>
          <w:highlight w:val="none"/>
        </w:rPr>
        <w:t>投标人属于本章第5.1条（2）项情形的。</w:t>
      </w:r>
    </w:p>
    <w:p w14:paraId="37B87BDB">
      <w:pPr>
        <w:pStyle w:val="9"/>
        <w:pageBreakBefore w:val="0"/>
        <w:numPr>
          <w:ilvl w:val="0"/>
          <w:numId w:val="1"/>
        </w:numPr>
        <w:kinsoku/>
        <w:wordWrap/>
        <w:overflowPunct/>
        <w:topLinePunct w:val="0"/>
        <w:autoSpaceDE/>
        <w:autoSpaceDN/>
        <w:bidi w:val="0"/>
        <w:spacing w:line="400" w:lineRule="exact"/>
        <w:ind w:firstLine="398" w:firstLineChars="200"/>
        <w:textAlignment w:val="auto"/>
        <w:rPr>
          <w:rFonts w:hint="eastAsia" w:ascii="宋体" w:hAnsi="宋体" w:cs="宋体"/>
          <w:b/>
          <w:color w:val="auto"/>
          <w:szCs w:val="21"/>
          <w:highlight w:val="none"/>
        </w:rPr>
      </w:pPr>
      <w:r>
        <w:rPr>
          <w:rFonts w:hint="eastAsia" w:ascii="宋体" w:hAnsi="宋体" w:cs="宋体"/>
          <w:b/>
          <w:color w:val="auto"/>
          <w:spacing w:val="-6"/>
          <w:szCs w:val="21"/>
          <w:highlight w:val="none"/>
        </w:rPr>
        <w:t>报价文件</w:t>
      </w:r>
      <w:r>
        <w:rPr>
          <w:rFonts w:hint="eastAsia" w:ascii="宋体" w:hAnsi="宋体" w:cs="宋体"/>
          <w:b/>
          <w:color w:val="auto"/>
          <w:szCs w:val="21"/>
          <w:highlight w:val="none"/>
        </w:rPr>
        <w:t>响应的标的数量及单位与招标文件要求实质性不一致的。</w:t>
      </w:r>
    </w:p>
    <w:p w14:paraId="593C2B8E">
      <w:pPr>
        <w:pageBreakBefore w:val="0"/>
        <w:kinsoku/>
        <w:wordWrap/>
        <w:overflowPunct/>
        <w:topLinePunct w:val="0"/>
        <w:autoSpaceDE/>
        <w:autoSpaceDN/>
        <w:bidi w:val="0"/>
        <w:spacing w:line="400" w:lineRule="exact"/>
        <w:textAlignment w:val="auto"/>
        <w:rPr>
          <w:rFonts w:hint="eastAsia" w:ascii="宋体" w:hAnsi="宋体" w:cs="宋体"/>
          <w:color w:val="auto"/>
          <w:szCs w:val="21"/>
          <w:highlight w:val="none"/>
        </w:rPr>
      </w:pPr>
      <w:r>
        <w:rPr>
          <w:rFonts w:hint="eastAsia" w:ascii="宋体" w:hAnsi="宋体" w:cs="宋体"/>
          <w:color w:val="auto"/>
          <w:szCs w:val="21"/>
          <w:highlight w:val="none"/>
        </w:rPr>
        <w:t>2.2在商务评审时，如发现下列情形之一的，将被视为投标无效：</w:t>
      </w:r>
    </w:p>
    <w:p w14:paraId="5E79C8C8">
      <w:pPr>
        <w:pageBreakBefore w:val="0"/>
        <w:numPr>
          <w:ilvl w:val="0"/>
          <w:numId w:val="2"/>
        </w:numPr>
        <w:kinsoku/>
        <w:wordWrap/>
        <w:overflowPunct/>
        <w:topLinePunct w:val="0"/>
        <w:autoSpaceDE/>
        <w:autoSpaceDN/>
        <w:bidi w:val="0"/>
        <w:snapToGrid w:val="0"/>
        <w:spacing w:line="400" w:lineRule="exact"/>
        <w:ind w:firstLine="422" w:firstLineChars="200"/>
        <w:textAlignment w:val="auto"/>
        <w:rPr>
          <w:rFonts w:hint="eastAsia" w:ascii="宋体" w:hAnsi="宋体" w:cs="宋体"/>
          <w:b/>
          <w:color w:val="auto"/>
          <w:szCs w:val="21"/>
          <w:highlight w:val="none"/>
        </w:rPr>
      </w:pPr>
      <w:r>
        <w:rPr>
          <w:rFonts w:hint="eastAsia" w:ascii="宋体" w:hAnsi="宋体" w:cs="宋体"/>
          <w:b/>
          <w:color w:val="auto"/>
          <w:szCs w:val="21"/>
          <w:highlight w:val="none"/>
        </w:rPr>
        <w:t>投标文件未按招标文件要求签署、盖章的；</w:t>
      </w:r>
    </w:p>
    <w:p w14:paraId="32098A23">
      <w:pPr>
        <w:pageBreakBefore w:val="0"/>
        <w:numPr>
          <w:ilvl w:val="0"/>
          <w:numId w:val="2"/>
        </w:numPr>
        <w:kinsoku/>
        <w:wordWrap/>
        <w:overflowPunct/>
        <w:topLinePunct w:val="0"/>
        <w:autoSpaceDE/>
        <w:autoSpaceDN/>
        <w:bidi w:val="0"/>
        <w:snapToGrid w:val="0"/>
        <w:spacing w:line="400" w:lineRule="exact"/>
        <w:ind w:firstLine="422" w:firstLineChars="200"/>
        <w:textAlignment w:val="auto"/>
        <w:rPr>
          <w:rFonts w:hint="eastAsia" w:ascii="宋体" w:hAnsi="宋体" w:cs="宋体"/>
          <w:b/>
          <w:color w:val="auto"/>
          <w:szCs w:val="21"/>
          <w:highlight w:val="none"/>
        </w:rPr>
      </w:pPr>
      <w:r>
        <w:rPr>
          <w:rFonts w:hint="eastAsia" w:ascii="宋体" w:hAnsi="宋体" w:cs="宋体"/>
          <w:b/>
          <w:color w:val="auto"/>
          <w:szCs w:val="21"/>
          <w:highlight w:val="none"/>
        </w:rPr>
        <w:t xml:space="preserve">委托代理人未能出具有效身份证或者出具的身份证与授权委托书中的信息不符的； </w:t>
      </w:r>
    </w:p>
    <w:p w14:paraId="18BD33B3">
      <w:pPr>
        <w:pageBreakBefore w:val="0"/>
        <w:numPr>
          <w:ilvl w:val="0"/>
          <w:numId w:val="2"/>
        </w:numPr>
        <w:kinsoku/>
        <w:wordWrap/>
        <w:overflowPunct/>
        <w:topLinePunct w:val="0"/>
        <w:autoSpaceDE/>
        <w:autoSpaceDN/>
        <w:bidi w:val="0"/>
        <w:snapToGrid w:val="0"/>
        <w:spacing w:line="400" w:lineRule="exact"/>
        <w:ind w:firstLine="422" w:firstLineChars="200"/>
        <w:textAlignment w:val="auto"/>
        <w:rPr>
          <w:rFonts w:hint="eastAsia" w:ascii="宋体" w:hAnsi="宋体" w:cs="宋体"/>
          <w:b/>
          <w:color w:val="auto"/>
          <w:szCs w:val="21"/>
          <w:highlight w:val="none"/>
        </w:rPr>
      </w:pPr>
      <w:r>
        <w:rPr>
          <w:rFonts w:hint="eastAsia" w:ascii="宋体" w:hAnsi="宋体" w:cs="宋体"/>
          <w:b/>
          <w:color w:val="auto"/>
          <w:szCs w:val="21"/>
          <w:highlight w:val="none"/>
        </w:rPr>
        <w:t>为无效投标保证金的或者未按照招标文件的规定提交投标保证金的；</w:t>
      </w:r>
    </w:p>
    <w:p w14:paraId="31CDE8BA">
      <w:pPr>
        <w:pageBreakBefore w:val="0"/>
        <w:numPr>
          <w:ilvl w:val="0"/>
          <w:numId w:val="2"/>
        </w:numPr>
        <w:kinsoku/>
        <w:wordWrap/>
        <w:overflowPunct/>
        <w:topLinePunct w:val="0"/>
        <w:autoSpaceDE/>
        <w:autoSpaceDN/>
        <w:bidi w:val="0"/>
        <w:snapToGrid w:val="0"/>
        <w:spacing w:line="400" w:lineRule="exact"/>
        <w:ind w:firstLine="422" w:firstLineChars="200"/>
        <w:textAlignment w:val="auto"/>
        <w:rPr>
          <w:rFonts w:hint="eastAsia" w:ascii="宋体" w:hAnsi="宋体" w:cs="宋体"/>
          <w:b/>
          <w:color w:val="auto"/>
          <w:szCs w:val="21"/>
          <w:highlight w:val="none"/>
        </w:rPr>
      </w:pPr>
      <w:r>
        <w:rPr>
          <w:rFonts w:hint="eastAsia" w:ascii="宋体" w:hAnsi="宋体" w:cs="宋体"/>
          <w:b/>
          <w:color w:val="auto"/>
          <w:szCs w:val="21"/>
          <w:highlight w:val="none"/>
        </w:rPr>
        <w:t>投标文件未提供“投标人须知前附表”第13.1条规定中“必须提供”或者“委托时必须提供”的文件资料的；</w:t>
      </w:r>
    </w:p>
    <w:p w14:paraId="1CFDA70A">
      <w:pPr>
        <w:pageBreakBefore w:val="0"/>
        <w:numPr>
          <w:ilvl w:val="0"/>
          <w:numId w:val="2"/>
        </w:numPr>
        <w:kinsoku/>
        <w:wordWrap/>
        <w:overflowPunct/>
        <w:topLinePunct w:val="0"/>
        <w:autoSpaceDE/>
        <w:autoSpaceDN/>
        <w:bidi w:val="0"/>
        <w:snapToGrid w:val="0"/>
        <w:spacing w:line="400" w:lineRule="exact"/>
        <w:ind w:firstLine="422" w:firstLineChars="200"/>
        <w:textAlignment w:val="auto"/>
        <w:rPr>
          <w:rFonts w:hint="eastAsia" w:ascii="宋体" w:hAnsi="宋体" w:cs="宋体"/>
          <w:b/>
          <w:color w:val="auto"/>
          <w:szCs w:val="21"/>
          <w:highlight w:val="none"/>
        </w:rPr>
      </w:pPr>
      <w:r>
        <w:rPr>
          <w:rFonts w:hint="eastAsia" w:ascii="宋体" w:hAnsi="宋体" w:cs="宋体"/>
          <w:b/>
          <w:color w:val="auto"/>
          <w:szCs w:val="21"/>
          <w:highlight w:val="none"/>
        </w:rPr>
        <w:t>商务要求评审允许负偏离的条款数超过“投标人须知前附表”规定项数的；</w:t>
      </w:r>
    </w:p>
    <w:p w14:paraId="20BC53BE">
      <w:pPr>
        <w:pageBreakBefore w:val="0"/>
        <w:numPr>
          <w:ilvl w:val="0"/>
          <w:numId w:val="2"/>
        </w:numPr>
        <w:kinsoku/>
        <w:wordWrap/>
        <w:overflowPunct/>
        <w:topLinePunct w:val="0"/>
        <w:autoSpaceDE/>
        <w:autoSpaceDN/>
        <w:bidi w:val="0"/>
        <w:snapToGrid w:val="0"/>
        <w:spacing w:line="400" w:lineRule="exact"/>
        <w:ind w:firstLine="422" w:firstLineChars="200"/>
        <w:textAlignment w:val="auto"/>
        <w:rPr>
          <w:rFonts w:hint="eastAsia" w:ascii="宋体" w:hAnsi="宋体" w:cs="宋体"/>
          <w:b/>
          <w:color w:val="auto"/>
          <w:szCs w:val="21"/>
          <w:highlight w:val="none"/>
        </w:rPr>
      </w:pPr>
      <w:r>
        <w:rPr>
          <w:rFonts w:hint="eastAsia" w:ascii="宋体" w:hAnsi="宋体" w:cs="宋体"/>
          <w:b/>
          <w:color w:val="auto"/>
          <w:szCs w:val="21"/>
          <w:highlight w:val="none"/>
        </w:rPr>
        <w:t>投标文件的实质性内容未使用中文表述、使用计量单位不符合招标文件要求的；</w:t>
      </w:r>
    </w:p>
    <w:p w14:paraId="04C95A8A">
      <w:pPr>
        <w:pageBreakBefore w:val="0"/>
        <w:numPr>
          <w:ilvl w:val="0"/>
          <w:numId w:val="2"/>
        </w:numPr>
        <w:kinsoku/>
        <w:wordWrap/>
        <w:overflowPunct/>
        <w:topLinePunct w:val="0"/>
        <w:autoSpaceDE/>
        <w:autoSpaceDN/>
        <w:bidi w:val="0"/>
        <w:snapToGrid w:val="0"/>
        <w:spacing w:line="400" w:lineRule="exact"/>
        <w:ind w:firstLine="422" w:firstLineChars="200"/>
        <w:textAlignment w:val="auto"/>
        <w:rPr>
          <w:rFonts w:hint="eastAsia" w:ascii="宋体" w:hAnsi="宋体" w:cs="宋体"/>
          <w:b/>
          <w:color w:val="auto"/>
          <w:szCs w:val="21"/>
          <w:highlight w:val="none"/>
        </w:rPr>
      </w:pPr>
      <w:r>
        <w:rPr>
          <w:rFonts w:hint="eastAsia" w:ascii="宋体" w:hAnsi="宋体" w:cs="宋体"/>
          <w:b/>
          <w:color w:val="auto"/>
          <w:szCs w:val="21"/>
          <w:highlight w:val="none"/>
        </w:rPr>
        <w:t>投标文件中的文件资料因填写不齐全或者内容虚假或者出现其他情形而导致被评标委员会认定无效的；</w:t>
      </w:r>
    </w:p>
    <w:p w14:paraId="37EB42FE">
      <w:pPr>
        <w:pageBreakBefore w:val="0"/>
        <w:numPr>
          <w:ilvl w:val="0"/>
          <w:numId w:val="2"/>
        </w:numPr>
        <w:kinsoku/>
        <w:wordWrap/>
        <w:overflowPunct/>
        <w:topLinePunct w:val="0"/>
        <w:autoSpaceDE/>
        <w:autoSpaceDN/>
        <w:bidi w:val="0"/>
        <w:snapToGrid w:val="0"/>
        <w:spacing w:line="400" w:lineRule="exact"/>
        <w:ind w:firstLine="422" w:firstLineChars="200"/>
        <w:textAlignment w:val="auto"/>
        <w:rPr>
          <w:rFonts w:hint="eastAsia" w:ascii="宋体" w:hAnsi="宋体" w:cs="宋体"/>
          <w:b/>
          <w:color w:val="auto"/>
          <w:szCs w:val="21"/>
          <w:highlight w:val="none"/>
        </w:rPr>
      </w:pPr>
      <w:r>
        <w:rPr>
          <w:rFonts w:hint="eastAsia" w:ascii="宋体" w:hAnsi="宋体" w:cs="宋体"/>
          <w:b/>
          <w:color w:val="auto"/>
          <w:szCs w:val="21"/>
          <w:highlight w:val="none"/>
        </w:rPr>
        <w:t>投标文件含有采购人不能接受的附加条件的；</w:t>
      </w:r>
    </w:p>
    <w:p w14:paraId="352A078E">
      <w:pPr>
        <w:pageBreakBefore w:val="0"/>
        <w:numPr>
          <w:ilvl w:val="0"/>
          <w:numId w:val="2"/>
        </w:numPr>
        <w:kinsoku/>
        <w:wordWrap/>
        <w:overflowPunct/>
        <w:topLinePunct w:val="0"/>
        <w:autoSpaceDE/>
        <w:autoSpaceDN/>
        <w:bidi w:val="0"/>
        <w:snapToGrid w:val="0"/>
        <w:spacing w:line="400" w:lineRule="exact"/>
        <w:ind w:firstLine="422" w:firstLineChars="200"/>
        <w:textAlignment w:val="auto"/>
        <w:rPr>
          <w:rFonts w:hint="eastAsia" w:ascii="宋体" w:hAnsi="宋体" w:cs="宋体"/>
          <w:b/>
          <w:color w:val="auto"/>
          <w:szCs w:val="21"/>
          <w:highlight w:val="none"/>
        </w:rPr>
      </w:pPr>
      <w:r>
        <w:rPr>
          <w:rFonts w:hint="eastAsia" w:ascii="宋体" w:hAnsi="宋体" w:cs="宋体"/>
          <w:b/>
          <w:color w:val="auto"/>
          <w:szCs w:val="21"/>
          <w:highlight w:val="none"/>
        </w:rPr>
        <w:t>属于投标人须知正文第9.2条情形的；</w:t>
      </w:r>
    </w:p>
    <w:p w14:paraId="1D96B7EF">
      <w:pPr>
        <w:pageBreakBefore w:val="0"/>
        <w:numPr>
          <w:ilvl w:val="0"/>
          <w:numId w:val="2"/>
        </w:numPr>
        <w:kinsoku/>
        <w:wordWrap/>
        <w:overflowPunct/>
        <w:topLinePunct w:val="0"/>
        <w:autoSpaceDE/>
        <w:autoSpaceDN/>
        <w:bidi w:val="0"/>
        <w:snapToGrid w:val="0"/>
        <w:spacing w:line="400" w:lineRule="exact"/>
        <w:ind w:firstLine="422" w:firstLineChars="200"/>
        <w:textAlignment w:val="auto"/>
        <w:rPr>
          <w:rFonts w:hint="eastAsia" w:ascii="宋体" w:hAnsi="宋体" w:cs="宋体"/>
          <w:b/>
          <w:color w:val="auto"/>
          <w:szCs w:val="21"/>
          <w:highlight w:val="none"/>
        </w:rPr>
      </w:pPr>
      <w:r>
        <w:rPr>
          <w:rFonts w:hint="eastAsia" w:ascii="宋体" w:hAnsi="宋体" w:cs="宋体"/>
          <w:b/>
          <w:color w:val="auto"/>
          <w:szCs w:val="21"/>
          <w:highlight w:val="none"/>
        </w:rPr>
        <w:t>投标文件标注的项目名称或者项目编号与招标文件标注的项目名称或者项目编号不一致的；</w:t>
      </w:r>
    </w:p>
    <w:p w14:paraId="44E46C46">
      <w:pPr>
        <w:pageBreakBefore w:val="0"/>
        <w:numPr>
          <w:ilvl w:val="0"/>
          <w:numId w:val="2"/>
        </w:numPr>
        <w:kinsoku/>
        <w:wordWrap/>
        <w:overflowPunct/>
        <w:topLinePunct w:val="0"/>
        <w:autoSpaceDE/>
        <w:autoSpaceDN/>
        <w:bidi w:val="0"/>
        <w:snapToGrid w:val="0"/>
        <w:spacing w:line="400" w:lineRule="exact"/>
        <w:ind w:firstLine="422" w:firstLineChars="200"/>
        <w:textAlignment w:val="auto"/>
        <w:rPr>
          <w:rFonts w:hint="eastAsia" w:ascii="宋体" w:hAnsi="宋体" w:cs="宋体"/>
          <w:b/>
          <w:color w:val="auto"/>
          <w:szCs w:val="21"/>
          <w:highlight w:val="none"/>
        </w:rPr>
      </w:pPr>
      <w:r>
        <w:rPr>
          <w:rFonts w:hint="eastAsia" w:ascii="宋体" w:hAnsi="宋体" w:cs="宋体"/>
          <w:b/>
          <w:color w:val="auto"/>
          <w:szCs w:val="21"/>
          <w:highlight w:val="none"/>
        </w:rPr>
        <w:t>招标文件明确不允许分包，投标文件拟分包的；</w:t>
      </w:r>
    </w:p>
    <w:p w14:paraId="294E0289">
      <w:pPr>
        <w:pageBreakBefore w:val="0"/>
        <w:numPr>
          <w:ilvl w:val="0"/>
          <w:numId w:val="2"/>
        </w:numPr>
        <w:kinsoku/>
        <w:wordWrap/>
        <w:overflowPunct/>
        <w:topLinePunct w:val="0"/>
        <w:autoSpaceDE/>
        <w:autoSpaceDN/>
        <w:bidi w:val="0"/>
        <w:snapToGrid w:val="0"/>
        <w:spacing w:line="400" w:lineRule="exact"/>
        <w:ind w:firstLine="422" w:firstLineChars="200"/>
        <w:textAlignment w:val="auto"/>
        <w:rPr>
          <w:rFonts w:hint="eastAsia" w:ascii="宋体" w:hAnsi="宋体" w:cs="宋体"/>
          <w:b/>
          <w:color w:val="auto"/>
          <w:szCs w:val="21"/>
          <w:highlight w:val="none"/>
        </w:rPr>
      </w:pPr>
      <w:r>
        <w:rPr>
          <w:rFonts w:hint="eastAsia" w:ascii="宋体" w:hAnsi="宋体" w:cs="宋体"/>
          <w:b/>
          <w:color w:val="auto"/>
          <w:szCs w:val="21"/>
          <w:highlight w:val="none"/>
        </w:rPr>
        <w:t>未响应招标文件实质性要求的；</w:t>
      </w:r>
    </w:p>
    <w:p w14:paraId="33E8DD0E">
      <w:pPr>
        <w:pageBreakBefore w:val="0"/>
        <w:numPr>
          <w:ilvl w:val="0"/>
          <w:numId w:val="2"/>
        </w:numPr>
        <w:kinsoku/>
        <w:wordWrap/>
        <w:overflowPunct/>
        <w:topLinePunct w:val="0"/>
        <w:autoSpaceDE/>
        <w:autoSpaceDN/>
        <w:bidi w:val="0"/>
        <w:snapToGrid w:val="0"/>
        <w:spacing w:line="400" w:lineRule="exact"/>
        <w:ind w:firstLine="422" w:firstLineChars="200"/>
        <w:textAlignment w:val="auto"/>
        <w:rPr>
          <w:rFonts w:hint="eastAsia" w:ascii="宋体" w:hAnsi="宋体" w:cs="宋体"/>
          <w:b/>
          <w:color w:val="auto"/>
          <w:szCs w:val="21"/>
          <w:highlight w:val="none"/>
        </w:rPr>
      </w:pPr>
      <w:r>
        <w:rPr>
          <w:rFonts w:hint="eastAsia" w:ascii="宋体" w:hAnsi="宋体" w:cs="宋体"/>
          <w:b/>
          <w:color w:val="auto"/>
          <w:szCs w:val="21"/>
          <w:highlight w:val="none"/>
          <w:lang w:eastAsia="zh-CN"/>
        </w:rPr>
        <w:t>法律法规</w:t>
      </w:r>
      <w:r>
        <w:rPr>
          <w:rFonts w:hint="eastAsia" w:ascii="宋体" w:hAnsi="宋体" w:cs="宋体"/>
          <w:b/>
          <w:color w:val="auto"/>
          <w:szCs w:val="21"/>
          <w:highlight w:val="none"/>
        </w:rPr>
        <w:t>和招标文件规定的其他无效情形。</w:t>
      </w:r>
    </w:p>
    <w:p w14:paraId="12ADDDFA">
      <w:pPr>
        <w:pageBreakBefore w:val="0"/>
        <w:kinsoku/>
        <w:wordWrap/>
        <w:overflowPunct/>
        <w:topLinePunct w:val="0"/>
        <w:autoSpaceDE/>
        <w:autoSpaceDN/>
        <w:bidi w:val="0"/>
        <w:spacing w:line="400" w:lineRule="exact"/>
        <w:textAlignment w:val="auto"/>
        <w:rPr>
          <w:rFonts w:hint="eastAsia" w:ascii="宋体" w:hAnsi="宋体" w:cs="宋体"/>
          <w:color w:val="auto"/>
          <w:szCs w:val="21"/>
          <w:highlight w:val="none"/>
        </w:rPr>
      </w:pPr>
      <w:r>
        <w:rPr>
          <w:rFonts w:hint="eastAsia" w:ascii="宋体" w:hAnsi="宋体" w:cs="宋体"/>
          <w:color w:val="auto"/>
          <w:szCs w:val="21"/>
          <w:highlight w:val="none"/>
        </w:rPr>
        <w:t>2.3在技术评审时，如发现下列情形之一的，将被视为投标无效：</w:t>
      </w:r>
    </w:p>
    <w:p w14:paraId="35821024">
      <w:pPr>
        <w:pStyle w:val="16"/>
        <w:pageBreakBefore w:val="0"/>
        <w:kinsoku/>
        <w:wordWrap/>
        <w:overflowPunct/>
        <w:topLinePunct w:val="0"/>
        <w:autoSpaceDE/>
        <w:autoSpaceDN/>
        <w:bidi w:val="0"/>
        <w:snapToGrid w:val="0"/>
        <w:spacing w:line="400" w:lineRule="exact"/>
        <w:ind w:firstLine="398" w:firstLineChars="196"/>
        <w:textAlignment w:val="auto"/>
        <w:rPr>
          <w:rFonts w:hint="eastAsia" w:hAnsi="宋体" w:cs="宋体"/>
          <w:b/>
          <w:color w:val="auto"/>
          <w:sz w:val="21"/>
          <w:szCs w:val="21"/>
          <w:highlight w:val="none"/>
        </w:rPr>
      </w:pPr>
      <w:r>
        <w:rPr>
          <w:rFonts w:hint="eastAsia" w:hAnsi="宋体" w:cs="宋体"/>
          <w:b/>
          <w:color w:val="auto"/>
          <w:sz w:val="21"/>
          <w:szCs w:val="21"/>
          <w:highlight w:val="none"/>
        </w:rPr>
        <w:t>（1）技术要求评审允许负偏离的条款数超过“投标人须知前附表”规定项数的；</w:t>
      </w:r>
    </w:p>
    <w:p w14:paraId="3FF23353">
      <w:pPr>
        <w:pStyle w:val="16"/>
        <w:pageBreakBefore w:val="0"/>
        <w:kinsoku/>
        <w:wordWrap/>
        <w:overflowPunct/>
        <w:topLinePunct w:val="0"/>
        <w:autoSpaceDE/>
        <w:autoSpaceDN/>
        <w:bidi w:val="0"/>
        <w:snapToGrid w:val="0"/>
        <w:spacing w:line="400" w:lineRule="exact"/>
        <w:ind w:firstLine="398" w:firstLineChars="196"/>
        <w:textAlignment w:val="auto"/>
        <w:rPr>
          <w:rFonts w:hint="eastAsia" w:hAnsi="宋体" w:cs="宋体"/>
          <w:b/>
          <w:color w:val="auto"/>
          <w:sz w:val="21"/>
          <w:szCs w:val="21"/>
          <w:highlight w:val="none"/>
        </w:rPr>
      </w:pPr>
      <w:r>
        <w:rPr>
          <w:rFonts w:hint="eastAsia" w:hAnsi="宋体" w:cs="宋体"/>
          <w:b/>
          <w:color w:val="auto"/>
          <w:sz w:val="21"/>
          <w:szCs w:val="21"/>
          <w:highlight w:val="none"/>
        </w:rPr>
        <w:t>（2）投标文件未提供“投标人须知前附表”第13.1条规定中“必须提供”的文件资料的；</w:t>
      </w:r>
    </w:p>
    <w:p w14:paraId="1DE446D7">
      <w:pPr>
        <w:pStyle w:val="16"/>
        <w:pageBreakBefore w:val="0"/>
        <w:kinsoku/>
        <w:wordWrap/>
        <w:overflowPunct/>
        <w:topLinePunct w:val="0"/>
        <w:autoSpaceDE/>
        <w:autoSpaceDN/>
        <w:bidi w:val="0"/>
        <w:snapToGrid w:val="0"/>
        <w:spacing w:line="400" w:lineRule="exact"/>
        <w:ind w:firstLine="398" w:firstLineChars="196"/>
        <w:textAlignment w:val="auto"/>
        <w:rPr>
          <w:rFonts w:hint="eastAsia" w:hAnsi="宋体" w:cs="宋体"/>
          <w:b/>
          <w:color w:val="auto"/>
          <w:sz w:val="21"/>
          <w:szCs w:val="21"/>
          <w:highlight w:val="none"/>
        </w:rPr>
      </w:pPr>
      <w:r>
        <w:rPr>
          <w:rFonts w:hint="eastAsia" w:hAnsi="宋体" w:cs="宋体"/>
          <w:b/>
          <w:color w:val="auto"/>
          <w:sz w:val="21"/>
          <w:szCs w:val="21"/>
          <w:highlight w:val="none"/>
        </w:rPr>
        <w:t>（3）虚假投标，或者出现其他情形而导致被评标委员会认定无效的；</w:t>
      </w:r>
    </w:p>
    <w:p w14:paraId="7FBF504C">
      <w:pPr>
        <w:pStyle w:val="16"/>
        <w:pageBreakBefore w:val="0"/>
        <w:kinsoku/>
        <w:wordWrap/>
        <w:overflowPunct/>
        <w:topLinePunct w:val="0"/>
        <w:autoSpaceDE/>
        <w:autoSpaceDN/>
        <w:bidi w:val="0"/>
        <w:snapToGrid w:val="0"/>
        <w:spacing w:line="400" w:lineRule="exact"/>
        <w:ind w:firstLine="398" w:firstLineChars="196"/>
        <w:textAlignment w:val="auto"/>
        <w:rPr>
          <w:rFonts w:hint="eastAsia" w:hAnsi="宋体" w:cs="宋体"/>
          <w:b/>
          <w:color w:val="auto"/>
          <w:sz w:val="21"/>
          <w:szCs w:val="21"/>
          <w:highlight w:val="none"/>
        </w:rPr>
      </w:pPr>
      <w:r>
        <w:rPr>
          <w:rFonts w:hint="eastAsia" w:hAnsi="宋体" w:cs="宋体"/>
          <w:b/>
          <w:color w:val="auto"/>
          <w:sz w:val="21"/>
          <w:szCs w:val="21"/>
          <w:highlight w:val="none"/>
        </w:rPr>
        <w:t>（4）</w:t>
      </w:r>
      <w:bookmarkStart w:id="174" w:name="_Hlk71706244"/>
      <w:r>
        <w:rPr>
          <w:rFonts w:hint="eastAsia" w:hAnsi="宋体" w:cs="宋体"/>
          <w:b/>
          <w:color w:val="auto"/>
          <w:sz w:val="21"/>
          <w:szCs w:val="21"/>
          <w:highlight w:val="none"/>
        </w:rPr>
        <w:t>招标文件未载明允许提供备选（替代）投标方案或明确不允许提供备选（替代）投标方案时，投标人提供了备选（替代）投标方案的；</w:t>
      </w:r>
      <w:bookmarkEnd w:id="174"/>
    </w:p>
    <w:p w14:paraId="7C40F30B">
      <w:pPr>
        <w:pStyle w:val="16"/>
        <w:pageBreakBefore w:val="0"/>
        <w:kinsoku/>
        <w:wordWrap/>
        <w:overflowPunct/>
        <w:topLinePunct w:val="0"/>
        <w:autoSpaceDE/>
        <w:autoSpaceDN/>
        <w:bidi w:val="0"/>
        <w:snapToGrid w:val="0"/>
        <w:spacing w:line="400" w:lineRule="exact"/>
        <w:ind w:firstLine="398" w:firstLineChars="196"/>
        <w:textAlignment w:val="auto"/>
        <w:rPr>
          <w:rFonts w:hint="eastAsia" w:hAnsi="宋体" w:cs="宋体"/>
          <w:color w:val="auto"/>
          <w:highlight w:val="none"/>
        </w:rPr>
      </w:pPr>
      <w:r>
        <w:rPr>
          <w:rFonts w:hint="eastAsia" w:hAnsi="宋体" w:cs="宋体"/>
          <w:b/>
          <w:color w:val="auto"/>
          <w:sz w:val="21"/>
          <w:szCs w:val="21"/>
          <w:highlight w:val="none"/>
        </w:rPr>
        <w:t>（5）未响应招标文件实质性要求的。</w:t>
      </w:r>
    </w:p>
    <w:p w14:paraId="574FB8E2">
      <w:pPr>
        <w:pStyle w:val="16"/>
        <w:pageBreakBefore w:val="0"/>
        <w:kinsoku/>
        <w:wordWrap/>
        <w:overflowPunct/>
        <w:topLinePunct w:val="0"/>
        <w:autoSpaceDE/>
        <w:autoSpaceDN/>
        <w:bidi w:val="0"/>
        <w:snapToGrid w:val="0"/>
        <w:spacing w:line="400" w:lineRule="exact"/>
        <w:ind w:firstLine="398" w:firstLineChars="196"/>
        <w:textAlignment w:val="auto"/>
        <w:rPr>
          <w:rFonts w:hint="eastAsia" w:hAnsi="宋体" w:cs="宋体"/>
          <w:b/>
          <w:color w:val="auto"/>
          <w:sz w:val="21"/>
          <w:szCs w:val="21"/>
          <w:highlight w:val="none"/>
        </w:rPr>
      </w:pPr>
      <w:r>
        <w:rPr>
          <w:rFonts w:hint="eastAsia" w:hAnsi="宋体" w:cs="宋体"/>
          <w:b/>
          <w:color w:val="auto"/>
          <w:sz w:val="21"/>
          <w:szCs w:val="21"/>
          <w:highlight w:val="none"/>
        </w:rPr>
        <w:t>2.4其他投标无效的情形：</w:t>
      </w:r>
    </w:p>
    <w:p w14:paraId="3FFC8171">
      <w:pPr>
        <w:pStyle w:val="16"/>
        <w:pageBreakBefore w:val="0"/>
        <w:kinsoku/>
        <w:wordWrap/>
        <w:overflowPunct/>
        <w:topLinePunct w:val="0"/>
        <w:autoSpaceDE/>
        <w:autoSpaceDN/>
        <w:bidi w:val="0"/>
        <w:snapToGrid w:val="0"/>
        <w:spacing w:line="400" w:lineRule="exact"/>
        <w:ind w:firstLine="398" w:firstLineChars="196"/>
        <w:textAlignment w:val="auto"/>
        <w:rPr>
          <w:rFonts w:hint="eastAsia" w:hAnsi="宋体" w:cs="宋体"/>
          <w:b/>
          <w:color w:val="auto"/>
          <w:sz w:val="21"/>
          <w:szCs w:val="21"/>
          <w:highlight w:val="none"/>
        </w:rPr>
      </w:pPr>
      <w:r>
        <w:rPr>
          <w:rFonts w:hint="eastAsia" w:hAnsi="宋体" w:cs="宋体"/>
          <w:b/>
          <w:color w:val="auto"/>
          <w:sz w:val="21"/>
          <w:szCs w:val="21"/>
          <w:highlight w:val="none"/>
        </w:rPr>
        <w:t>（1）投标文件未按招标文件要求签署或CA电子签章的；</w:t>
      </w:r>
    </w:p>
    <w:p w14:paraId="1643E4EB">
      <w:pPr>
        <w:pStyle w:val="16"/>
        <w:pageBreakBefore w:val="0"/>
        <w:kinsoku/>
        <w:wordWrap/>
        <w:overflowPunct/>
        <w:topLinePunct w:val="0"/>
        <w:autoSpaceDE/>
        <w:autoSpaceDN/>
        <w:bidi w:val="0"/>
        <w:snapToGrid w:val="0"/>
        <w:spacing w:line="400" w:lineRule="exact"/>
        <w:ind w:firstLine="398" w:firstLineChars="196"/>
        <w:textAlignment w:val="auto"/>
        <w:rPr>
          <w:rFonts w:hint="eastAsia" w:hAnsi="宋体" w:cs="宋体"/>
          <w:b/>
          <w:color w:val="auto"/>
          <w:sz w:val="21"/>
          <w:szCs w:val="21"/>
          <w:highlight w:val="none"/>
        </w:rPr>
      </w:pPr>
      <w:r>
        <w:rPr>
          <w:rFonts w:hint="eastAsia" w:hAnsi="宋体" w:cs="宋体"/>
          <w:b/>
          <w:color w:val="auto"/>
          <w:sz w:val="21"/>
          <w:szCs w:val="21"/>
          <w:highlight w:val="none"/>
        </w:rPr>
        <w:t>（2）投标人提交两份或两份以上内容不同的投标文件；</w:t>
      </w:r>
    </w:p>
    <w:p w14:paraId="7E68E08F">
      <w:pPr>
        <w:pStyle w:val="16"/>
        <w:pageBreakBefore w:val="0"/>
        <w:kinsoku/>
        <w:wordWrap/>
        <w:overflowPunct/>
        <w:topLinePunct w:val="0"/>
        <w:autoSpaceDE/>
        <w:autoSpaceDN/>
        <w:bidi w:val="0"/>
        <w:spacing w:line="400" w:lineRule="exact"/>
        <w:ind w:firstLine="398" w:firstLineChars="196"/>
        <w:textAlignment w:val="auto"/>
        <w:rPr>
          <w:rFonts w:hint="eastAsia" w:hAnsi="宋体" w:cs="宋体"/>
          <w:b/>
          <w:color w:val="auto"/>
          <w:sz w:val="21"/>
          <w:szCs w:val="21"/>
          <w:highlight w:val="none"/>
        </w:rPr>
      </w:pPr>
      <w:r>
        <w:rPr>
          <w:rFonts w:hint="eastAsia" w:hAnsi="宋体" w:cs="宋体"/>
          <w:b/>
          <w:color w:val="auto"/>
          <w:sz w:val="21"/>
          <w:szCs w:val="21"/>
          <w:highlight w:val="none"/>
        </w:rPr>
        <w:t>（3）投标人在线制作投标文件时填写的报价金额与解密后“电子加密投标文件”中《开标一览表》填写的金额不一致并拒绝按招标文件要求接受调整的；</w:t>
      </w:r>
    </w:p>
    <w:p w14:paraId="2430A7DB">
      <w:pPr>
        <w:pStyle w:val="16"/>
        <w:pageBreakBefore w:val="0"/>
        <w:kinsoku/>
        <w:wordWrap/>
        <w:overflowPunct/>
        <w:topLinePunct w:val="0"/>
        <w:autoSpaceDE/>
        <w:autoSpaceDN/>
        <w:bidi w:val="0"/>
        <w:snapToGrid w:val="0"/>
        <w:spacing w:line="400" w:lineRule="exact"/>
        <w:ind w:firstLine="398" w:firstLineChars="196"/>
        <w:textAlignment w:val="auto"/>
        <w:rPr>
          <w:rFonts w:hint="eastAsia" w:hAnsi="宋体" w:cs="宋体"/>
          <w:b/>
          <w:color w:val="auto"/>
          <w:sz w:val="21"/>
          <w:szCs w:val="21"/>
          <w:highlight w:val="none"/>
        </w:rPr>
      </w:pPr>
      <w:r>
        <w:rPr>
          <w:rFonts w:hint="eastAsia" w:hAnsi="宋体" w:cs="宋体"/>
          <w:b/>
          <w:color w:val="auto"/>
          <w:sz w:val="21"/>
          <w:szCs w:val="21"/>
          <w:highlight w:val="none"/>
        </w:rPr>
        <w:t>（4）</w:t>
      </w:r>
      <w:r>
        <w:rPr>
          <w:rFonts w:hint="eastAsia" w:hAnsi="宋体" w:cs="宋体"/>
          <w:b/>
          <w:color w:val="auto"/>
          <w:sz w:val="21"/>
          <w:szCs w:val="21"/>
          <w:highlight w:val="none"/>
          <w:lang w:eastAsia="zh-CN"/>
        </w:rPr>
        <w:t>法律法规</w:t>
      </w:r>
      <w:r>
        <w:rPr>
          <w:rFonts w:hint="eastAsia" w:hAnsi="宋体" w:cs="宋体"/>
          <w:b/>
          <w:color w:val="auto"/>
          <w:sz w:val="21"/>
          <w:szCs w:val="21"/>
          <w:highlight w:val="none"/>
        </w:rPr>
        <w:t>和招标文件规定的其他无效情形（或出现重大偏差）。</w:t>
      </w:r>
    </w:p>
    <w:p w14:paraId="274092D8">
      <w:pPr>
        <w:pStyle w:val="20"/>
        <w:pageBreakBefore w:val="0"/>
        <w:kinsoku/>
        <w:wordWrap/>
        <w:overflowPunct/>
        <w:topLinePunct w:val="0"/>
        <w:autoSpaceDE/>
        <w:autoSpaceDN/>
        <w:bidi w:val="0"/>
        <w:snapToGrid w:val="0"/>
        <w:spacing w:line="400" w:lineRule="exact"/>
        <w:ind w:firstLine="420"/>
        <w:textAlignment w:val="auto"/>
        <w:rPr>
          <w:rFonts w:hint="eastAsia" w:hAnsi="宋体" w:cs="宋体"/>
          <w:b/>
          <w:color w:val="auto"/>
          <w:highlight w:val="none"/>
        </w:rPr>
      </w:pPr>
      <w:r>
        <w:rPr>
          <w:rFonts w:hint="eastAsia" w:hAnsi="宋体" w:cs="宋体"/>
          <w:b/>
          <w:color w:val="auto"/>
          <w:highlight w:val="none"/>
        </w:rPr>
        <w:t>3.澄清补正</w:t>
      </w:r>
    </w:p>
    <w:p w14:paraId="69D2B6CC">
      <w:pPr>
        <w:pageBreakBefore w:val="0"/>
        <w:kinsoku/>
        <w:wordWrap/>
        <w:overflowPunct/>
        <w:topLinePunct w:val="0"/>
        <w:autoSpaceDE/>
        <w:autoSpaceDN/>
        <w:bidi w:val="0"/>
        <w:spacing w:line="400" w:lineRule="exact"/>
        <w:ind w:firstLine="420" w:firstLineChars="200"/>
        <w:textAlignment w:val="auto"/>
        <w:rPr>
          <w:rFonts w:hint="eastAsia" w:ascii="宋体" w:hAnsi="宋体" w:cs="宋体"/>
          <w:b/>
          <w:color w:val="auto"/>
          <w:szCs w:val="21"/>
          <w:highlight w:val="none"/>
        </w:rPr>
      </w:pPr>
      <w:r>
        <w:rPr>
          <w:rFonts w:hint="eastAsia" w:ascii="宋体" w:hAnsi="宋体" w:cs="宋体"/>
          <w:color w:val="auto"/>
          <w:szCs w:val="21"/>
          <w:highlight w:val="none"/>
        </w:rPr>
        <w:t>对投标文件中含义不明确、同类问题表述不一致或者有明显文字和计算错误的内容，评标委员会应在广西政府采购云平台发布电子澄清函，要求投标人在规定时间内作出必要的澄清、说明或者补正。投标人在广西政府采购云平台接收到电子澄清函后根据澄清函内容上传PDF格式回函，电子澄清答复函使用CA证书加盖投标人电子签章后在线上传至评标委员会。投标人的澄清、说明或者补正不得超出投标文件的范围或者改变投标文件的实质性内容。</w:t>
      </w:r>
    </w:p>
    <w:p w14:paraId="7070F9D8">
      <w:pPr>
        <w:pageBreakBefore w:val="0"/>
        <w:kinsoku/>
        <w:wordWrap/>
        <w:overflowPunct/>
        <w:topLinePunct w:val="0"/>
        <w:autoSpaceDE/>
        <w:autoSpaceDN/>
        <w:bidi w:val="0"/>
        <w:spacing w:line="40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异常情况处理：如遇无法正常使用线上发送澄清函的情况，将启动书面形式办理。启动书面形式办理的情况下，评标委员会以书面形式要求投标人在规定时间内作出必要的澄清、说明或者补正。投标人的澄清、说明或者补正必须采用书面形式，并加盖公章，或者由法定代表人或者其授权的代表签字。</w:t>
      </w:r>
    </w:p>
    <w:p w14:paraId="459A13D2">
      <w:pPr>
        <w:pageBreakBefore w:val="0"/>
        <w:kinsoku/>
        <w:wordWrap/>
        <w:overflowPunct/>
        <w:topLinePunct w:val="0"/>
        <w:autoSpaceDE/>
        <w:autoSpaceDN/>
        <w:bidi w:val="0"/>
        <w:spacing w:line="40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未按评标委员会的要求作出明确澄清、说明或者更正的投标人的投标文件将按照有利于采购人的原则由评标委员会进行判定。</w:t>
      </w:r>
    </w:p>
    <w:p w14:paraId="45084E36">
      <w:pPr>
        <w:pStyle w:val="20"/>
        <w:pageBreakBefore w:val="0"/>
        <w:kinsoku/>
        <w:wordWrap/>
        <w:overflowPunct/>
        <w:topLinePunct w:val="0"/>
        <w:autoSpaceDE/>
        <w:autoSpaceDN/>
        <w:bidi w:val="0"/>
        <w:snapToGrid w:val="0"/>
        <w:spacing w:line="400" w:lineRule="exact"/>
        <w:ind w:firstLine="420"/>
        <w:textAlignment w:val="auto"/>
        <w:rPr>
          <w:rFonts w:hint="eastAsia" w:hAnsi="宋体" w:cs="宋体"/>
          <w:b/>
          <w:color w:val="auto"/>
          <w:highlight w:val="none"/>
        </w:rPr>
      </w:pPr>
      <w:r>
        <w:rPr>
          <w:rFonts w:hint="eastAsia" w:hAnsi="宋体" w:cs="宋体"/>
          <w:b/>
          <w:color w:val="auto"/>
          <w:highlight w:val="none"/>
        </w:rPr>
        <w:t>4.投标文件修正</w:t>
      </w:r>
    </w:p>
    <w:p w14:paraId="547CB2FF">
      <w:pPr>
        <w:pageBreakBefore w:val="0"/>
        <w:kinsoku/>
        <w:wordWrap/>
        <w:overflowPunct/>
        <w:topLinePunct w:val="0"/>
        <w:autoSpaceDE/>
        <w:autoSpaceDN/>
        <w:bidi w:val="0"/>
        <w:snapToGrid w:val="0"/>
        <w:spacing w:line="40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4.1投标文件报价出现前后不一致的，按照下列规定修正：</w:t>
      </w:r>
    </w:p>
    <w:p w14:paraId="6C6DC97B">
      <w:pPr>
        <w:pStyle w:val="20"/>
        <w:pageBreakBefore w:val="0"/>
        <w:kinsoku/>
        <w:wordWrap/>
        <w:overflowPunct/>
        <w:topLinePunct w:val="0"/>
        <w:autoSpaceDE/>
        <w:autoSpaceDN/>
        <w:bidi w:val="0"/>
        <w:snapToGrid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（1）投标文件中开标一览表（报价表）内容与投标文件中相应内容不一致的，以开标一览表（报价表）为准；</w:t>
      </w:r>
    </w:p>
    <w:p w14:paraId="71AC2E48">
      <w:pPr>
        <w:pStyle w:val="20"/>
        <w:pageBreakBefore w:val="0"/>
        <w:kinsoku/>
        <w:wordWrap/>
        <w:overflowPunct/>
        <w:topLinePunct w:val="0"/>
        <w:autoSpaceDE/>
        <w:autoSpaceDN/>
        <w:bidi w:val="0"/>
        <w:snapToGrid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（2）大写金额和小写金额不一致的，以大写金额为准；</w:t>
      </w:r>
    </w:p>
    <w:p w14:paraId="38D2BCFB">
      <w:pPr>
        <w:pStyle w:val="20"/>
        <w:pageBreakBefore w:val="0"/>
        <w:kinsoku/>
        <w:wordWrap/>
        <w:overflowPunct/>
        <w:topLinePunct w:val="0"/>
        <w:autoSpaceDE/>
        <w:autoSpaceDN/>
        <w:bidi w:val="0"/>
        <w:snapToGrid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（3）单价金额小数点或者百分比有明显错位的，以开标一览表的总价为准，并修改单价；</w:t>
      </w:r>
    </w:p>
    <w:p w14:paraId="0618B07C">
      <w:pPr>
        <w:pStyle w:val="20"/>
        <w:pageBreakBefore w:val="0"/>
        <w:kinsoku/>
        <w:wordWrap/>
        <w:overflowPunct/>
        <w:topLinePunct w:val="0"/>
        <w:autoSpaceDE/>
        <w:autoSpaceDN/>
        <w:bidi w:val="0"/>
        <w:snapToGrid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（4）总价金额与按单价汇总金额不一致的，以单价金额计算结果为准。</w:t>
      </w:r>
    </w:p>
    <w:p w14:paraId="6108F25B">
      <w:pPr>
        <w:pStyle w:val="20"/>
        <w:pageBreakBefore w:val="0"/>
        <w:kinsoku/>
        <w:wordWrap/>
        <w:overflowPunct/>
        <w:topLinePunct w:val="0"/>
        <w:autoSpaceDE/>
        <w:autoSpaceDN/>
        <w:bidi w:val="0"/>
        <w:snapToGrid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同时出现两种以上不一致的，按照以上（1）</w:t>
      </w:r>
      <w:r>
        <w:rPr>
          <w:rFonts w:hint="eastAsia" w:hAnsi="宋体" w:cs="宋体"/>
          <w:color w:val="auto"/>
          <w:highlight w:val="none"/>
          <w:lang w:eastAsia="zh-CN"/>
        </w:rPr>
        <w:t>－</w:t>
      </w:r>
      <w:r>
        <w:rPr>
          <w:rFonts w:hint="eastAsia" w:hAnsi="宋体" w:cs="宋体"/>
          <w:color w:val="auto"/>
          <w:highlight w:val="none"/>
        </w:rPr>
        <w:t>（4）规定的顺序修正。修正后的报价经投标人确认后产生约束力，投标人不确认的，</w:t>
      </w:r>
      <w:r>
        <w:rPr>
          <w:rFonts w:hint="eastAsia" w:hAnsi="宋体" w:cs="宋体"/>
          <w:b/>
          <w:color w:val="auto"/>
          <w:highlight w:val="none"/>
        </w:rPr>
        <w:t>其投标无效</w:t>
      </w:r>
      <w:r>
        <w:rPr>
          <w:rFonts w:hint="eastAsia" w:hAnsi="宋体" w:cs="宋体"/>
          <w:color w:val="auto"/>
          <w:highlight w:val="none"/>
        </w:rPr>
        <w:t>。</w:t>
      </w:r>
    </w:p>
    <w:p w14:paraId="273090D6">
      <w:pPr>
        <w:pageBreakBefore w:val="0"/>
        <w:kinsoku/>
        <w:wordWrap/>
        <w:overflowPunct/>
        <w:topLinePunct w:val="0"/>
        <w:autoSpaceDE/>
        <w:autoSpaceDN/>
        <w:bidi w:val="0"/>
        <w:snapToGrid w:val="0"/>
        <w:spacing w:line="40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4.2经投标人确认修正后的报价若超过采购预算金额或者最高限价，</w:t>
      </w:r>
      <w:r>
        <w:rPr>
          <w:rFonts w:hint="eastAsia" w:ascii="宋体" w:hAnsi="宋体" w:cs="宋体"/>
          <w:b/>
          <w:color w:val="auto"/>
          <w:szCs w:val="21"/>
          <w:highlight w:val="none"/>
        </w:rPr>
        <w:t>投标人的投标文件作无效投标处理</w:t>
      </w:r>
      <w:r>
        <w:rPr>
          <w:rFonts w:hint="eastAsia" w:ascii="宋体" w:hAnsi="宋体" w:cs="宋体"/>
          <w:color w:val="auto"/>
          <w:szCs w:val="21"/>
          <w:highlight w:val="none"/>
        </w:rPr>
        <w:t>。</w:t>
      </w:r>
    </w:p>
    <w:p w14:paraId="3B791CC5">
      <w:pPr>
        <w:pageBreakBefore w:val="0"/>
        <w:kinsoku/>
        <w:wordWrap/>
        <w:overflowPunct/>
        <w:topLinePunct w:val="0"/>
        <w:autoSpaceDE/>
        <w:autoSpaceDN/>
        <w:bidi w:val="0"/>
        <w:snapToGrid w:val="0"/>
        <w:spacing w:line="40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4.3经投标人确认修正后的报价作为签订合同的依据，并以此报价计算价格分。</w:t>
      </w:r>
    </w:p>
    <w:p w14:paraId="2BB438B2">
      <w:pPr>
        <w:pStyle w:val="20"/>
        <w:pageBreakBefore w:val="0"/>
        <w:kinsoku/>
        <w:wordWrap/>
        <w:overflowPunct/>
        <w:topLinePunct w:val="0"/>
        <w:autoSpaceDE/>
        <w:autoSpaceDN/>
        <w:bidi w:val="0"/>
        <w:snapToGrid w:val="0"/>
        <w:spacing w:line="400" w:lineRule="exact"/>
        <w:ind w:firstLine="420"/>
        <w:textAlignment w:val="auto"/>
        <w:rPr>
          <w:rFonts w:hint="eastAsia" w:hAnsi="宋体" w:cs="宋体"/>
          <w:b/>
          <w:color w:val="auto"/>
          <w:highlight w:val="none"/>
        </w:rPr>
      </w:pPr>
      <w:r>
        <w:rPr>
          <w:rFonts w:hint="eastAsia" w:hAnsi="宋体" w:cs="宋体"/>
          <w:b/>
          <w:color w:val="auto"/>
          <w:highlight w:val="none"/>
        </w:rPr>
        <w:t>5.比较与评价</w:t>
      </w:r>
    </w:p>
    <w:p w14:paraId="1E8233E0">
      <w:pPr>
        <w:pageBreakBefore w:val="0"/>
        <w:kinsoku/>
        <w:wordWrap/>
        <w:overflowPunct/>
        <w:topLinePunct w:val="0"/>
        <w:autoSpaceDE/>
        <w:autoSpaceDN/>
        <w:bidi w:val="0"/>
        <w:snapToGrid w:val="0"/>
        <w:spacing w:line="40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5.1采用综合评分法的</w:t>
      </w:r>
    </w:p>
    <w:p w14:paraId="7DD27B9B">
      <w:pPr>
        <w:pageBreakBefore w:val="0"/>
        <w:kinsoku/>
        <w:wordWrap/>
        <w:overflowPunct/>
        <w:topLinePunct w:val="0"/>
        <w:autoSpaceDE/>
        <w:autoSpaceDN/>
        <w:bidi w:val="0"/>
        <w:snapToGrid w:val="0"/>
        <w:spacing w:line="40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（1）评标委员会按照招标文件中规定的评标方法及评标标准，对符合性审查合格的投标文件进行商务和技术评估，综合比较与评价。</w:t>
      </w:r>
    </w:p>
    <w:p w14:paraId="2E86B67E">
      <w:pPr>
        <w:pageBreakBefore w:val="0"/>
        <w:kinsoku/>
        <w:wordWrap/>
        <w:overflowPunct/>
        <w:topLinePunct w:val="0"/>
        <w:autoSpaceDE/>
        <w:autoSpaceDN/>
        <w:bidi w:val="0"/>
        <w:snapToGrid w:val="0"/>
        <w:spacing w:line="40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（2）评标委员会独立对每个投标人的投标文件进行评价，并汇总每个投标人的得分。</w:t>
      </w:r>
    </w:p>
    <w:p w14:paraId="31BF2ACC">
      <w:pPr>
        <w:pageBreakBefore w:val="0"/>
        <w:kinsoku/>
        <w:wordWrap/>
        <w:overflowPunct/>
        <w:topLinePunct w:val="0"/>
        <w:autoSpaceDE/>
        <w:autoSpaceDN/>
        <w:bidi w:val="0"/>
        <w:snapToGrid w:val="0"/>
        <w:spacing w:line="400" w:lineRule="exact"/>
        <w:ind w:firstLine="420" w:firstLineChars="200"/>
        <w:textAlignment w:val="auto"/>
        <w:rPr>
          <w:rFonts w:hint="eastAsia" w:ascii="宋体" w:hAnsi="宋体" w:cs="宋体"/>
          <w:b/>
          <w:bCs/>
          <w:strike w:val="0"/>
          <w:dstrike w:val="0"/>
          <w:color w:val="auto"/>
          <w:szCs w:val="21"/>
          <w:highlight w:val="none"/>
          <w:lang w:val="en-US" w:eastAsia="zh-CN"/>
        </w:rPr>
      </w:pPr>
      <w:r>
        <w:rPr>
          <w:rFonts w:hint="eastAsia" w:ascii="宋体" w:hAnsi="宋体" w:cs="宋体"/>
          <w:color w:val="auto"/>
          <w:szCs w:val="21"/>
          <w:highlight w:val="none"/>
        </w:rPr>
        <w:t>（3）评标委员会按照招标文件中规定的评标方法和标准计算各投标人的报价得分。在计算过程中，不得去掉最高报价</w:t>
      </w:r>
      <w:r>
        <w:rPr>
          <w:rFonts w:hint="eastAsia" w:ascii="宋体" w:hAnsi="宋体" w:cs="宋体"/>
          <w:color w:val="auto"/>
          <w:szCs w:val="21"/>
          <w:highlight w:val="none"/>
          <w:lang w:val="en-US" w:eastAsia="zh-CN"/>
        </w:rPr>
        <w:t>或</w:t>
      </w:r>
      <w:r>
        <w:rPr>
          <w:rFonts w:hint="eastAsia" w:ascii="宋体" w:hAnsi="宋体" w:cs="宋体"/>
          <w:color w:val="auto"/>
          <w:szCs w:val="21"/>
          <w:highlight w:val="none"/>
        </w:rPr>
        <w:t>最低报价。</w:t>
      </w:r>
      <w:r>
        <w:rPr>
          <w:rFonts w:hint="eastAsia" w:ascii="宋体" w:hAnsi="宋体" w:cs="宋体"/>
          <w:b/>
          <w:bCs/>
          <w:strike w:val="0"/>
          <w:dstrike w:val="0"/>
          <w:color w:val="auto"/>
          <w:szCs w:val="21"/>
          <w:highlight w:val="none"/>
          <w:lang w:val="en-US" w:eastAsia="zh-CN"/>
        </w:rPr>
        <w:t>（本项目不适用此条款）</w:t>
      </w:r>
    </w:p>
    <w:p w14:paraId="472A04FD">
      <w:pPr>
        <w:pageBreakBefore w:val="0"/>
        <w:kinsoku/>
        <w:wordWrap/>
        <w:overflowPunct/>
        <w:topLinePunct w:val="0"/>
        <w:autoSpaceDE/>
        <w:autoSpaceDN/>
        <w:bidi w:val="0"/>
        <w:snapToGrid w:val="0"/>
        <w:spacing w:line="40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（4）各投标人的得分为</w:t>
      </w:r>
      <w:r>
        <w:rPr>
          <w:rFonts w:hint="eastAsia" w:ascii="宋体" w:hAnsi="宋体" w:cs="宋体"/>
          <w:b/>
          <w:bCs/>
          <w:color w:val="auto"/>
          <w:szCs w:val="21"/>
          <w:highlight w:val="none"/>
        </w:rPr>
        <w:t>所有评委的有效评分的算术平均数</w:t>
      </w:r>
      <w:r>
        <w:rPr>
          <w:rFonts w:hint="eastAsia" w:ascii="宋体" w:hAnsi="宋体" w:cs="宋体"/>
          <w:color w:val="auto"/>
          <w:szCs w:val="21"/>
          <w:highlight w:val="none"/>
        </w:rPr>
        <w:t>。</w:t>
      </w:r>
    </w:p>
    <w:p w14:paraId="414FE07A">
      <w:pPr>
        <w:pageBreakBefore w:val="0"/>
        <w:kinsoku/>
        <w:wordWrap/>
        <w:overflowPunct/>
        <w:topLinePunct w:val="0"/>
        <w:autoSpaceDE/>
        <w:autoSpaceDN/>
        <w:bidi w:val="0"/>
        <w:snapToGrid w:val="0"/>
        <w:spacing w:line="40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（5）评标委员会按照招标文件中的规定推荐中标候选人。</w:t>
      </w:r>
    </w:p>
    <w:p w14:paraId="4E50104D">
      <w:pPr>
        <w:pageBreakBefore w:val="0"/>
        <w:kinsoku/>
        <w:wordWrap/>
        <w:overflowPunct/>
        <w:topLinePunct w:val="0"/>
        <w:autoSpaceDE/>
        <w:autoSpaceDN/>
        <w:bidi w:val="0"/>
        <w:snapToGrid w:val="0"/>
        <w:spacing w:line="40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6）起草并签署评标报告。评标委员会根据评标委员会成员签字的原始评标记录和评标结果编写评标报告。评标委员会成员均应当在评标报告上签字，对自己的评标意见承担法律责任。对评标过程中需要共同认定的事项存在争议的，应当按照少数服从多数的原则</w:t>
      </w:r>
      <w:r>
        <w:rPr>
          <w:rFonts w:hint="eastAsia" w:ascii="宋体" w:hAnsi="宋体" w:cs="宋体"/>
          <w:color w:val="auto"/>
          <w:szCs w:val="21"/>
          <w:highlight w:val="none"/>
          <w:lang w:eastAsia="zh-CN"/>
        </w:rPr>
        <w:t>作出</w:t>
      </w:r>
      <w:r>
        <w:rPr>
          <w:rFonts w:hint="eastAsia" w:ascii="宋体" w:hAnsi="宋体" w:cs="宋体"/>
          <w:color w:val="auto"/>
          <w:szCs w:val="21"/>
          <w:highlight w:val="none"/>
        </w:rPr>
        <w:t>结论。持不同意见的评标委员会成员应当在评标报告上签署不同意见及理由，否则视为同意评标报告。</w:t>
      </w:r>
    </w:p>
    <w:p w14:paraId="7E5B3E69">
      <w:pPr>
        <w:pageBreakBefore w:val="0"/>
        <w:kinsoku/>
        <w:wordWrap/>
        <w:overflowPunct/>
        <w:topLinePunct w:val="0"/>
        <w:autoSpaceDE/>
        <w:autoSpaceDN/>
        <w:bidi w:val="0"/>
        <w:snapToGrid w:val="0"/>
        <w:spacing w:line="400" w:lineRule="exact"/>
        <w:ind w:firstLine="420" w:firstLineChars="200"/>
        <w:textAlignment w:val="auto"/>
        <w:rPr>
          <w:rFonts w:hint="eastAsia" w:ascii="宋体" w:hAnsi="宋体" w:eastAsia="宋体" w:cs="宋体"/>
          <w:strike/>
          <w:dstrike w:val="0"/>
          <w:color w:val="auto"/>
          <w:szCs w:val="21"/>
          <w:highlight w:val="none"/>
          <w:lang w:eastAsia="zh-CN"/>
        </w:rPr>
      </w:pPr>
      <w:r>
        <w:rPr>
          <w:rFonts w:hint="eastAsia" w:ascii="宋体" w:hAnsi="宋体" w:eastAsia="宋体" w:cs="宋体"/>
          <w:color w:val="auto"/>
          <w:szCs w:val="21"/>
          <w:highlight w:val="none"/>
          <w:lang w:val="en-US" w:eastAsia="zh-CN"/>
        </w:rPr>
        <w:t xml:space="preserve">6.异常低价审查 </w:t>
      </w:r>
    </w:p>
    <w:p w14:paraId="5962FE2C">
      <w:pPr>
        <w:pageBreakBefore w:val="0"/>
        <w:kinsoku/>
        <w:wordWrap/>
        <w:overflowPunct/>
        <w:topLinePunct w:val="0"/>
        <w:autoSpaceDE/>
        <w:autoSpaceDN/>
        <w:bidi w:val="0"/>
        <w:snapToGrid w:val="0"/>
        <w:spacing w:line="40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6.1</w:t>
      </w:r>
      <w:r>
        <w:rPr>
          <w:rFonts w:hint="eastAsia" w:ascii="宋体" w:hAnsi="宋体" w:eastAsia="宋体" w:cs="宋体"/>
          <w:color w:val="auto"/>
          <w:szCs w:val="21"/>
          <w:highlight w:val="none"/>
        </w:rPr>
        <w:t>依据规定</w:t>
      </w: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"http://www.ccgp.gov.cn/news/202601/t20260122_26102509.htm" \t "_blank" \o "附件链接：《财政部关于推动解决政府采购异常低价问题的通知》（财库〔2026〕2号）" </w:instrText>
      </w:r>
      <w:r>
        <w:rPr>
          <w:rFonts w:hint="eastAsia" w:ascii="宋体" w:hAnsi="宋体" w:eastAsia="宋体" w:cs="宋体"/>
          <w:color w:val="auto"/>
          <w:szCs w:val="21"/>
          <w:highlight w:val="none"/>
        </w:rPr>
        <w:fldChar w:fldCharType="separate"/>
      </w:r>
      <w:r>
        <w:rPr>
          <w:rFonts w:hint="eastAsia" w:ascii="宋体" w:hAnsi="宋体" w:eastAsia="宋体" w:cs="宋体"/>
          <w:color w:val="auto"/>
          <w:szCs w:val="21"/>
          <w:highlight w:val="none"/>
        </w:rPr>
        <w:t>《财政部关于推动解决政府采购异常低价问题的通知》（财库〔2026〕2号）</w:t>
      </w:r>
      <w:r>
        <w:rPr>
          <w:rFonts w:hint="eastAsia" w:ascii="宋体" w:hAnsi="宋体" w:eastAsia="宋体" w:cs="宋体"/>
          <w:color w:val="auto"/>
          <w:szCs w:val="21"/>
          <w:highlight w:val="none"/>
        </w:rPr>
        <w:fldChar w:fldCharType="end"/>
      </w:r>
      <w:r>
        <w:rPr>
          <w:rFonts w:hint="eastAsia" w:ascii="宋体" w:hAnsi="宋体" w:eastAsia="宋体" w:cs="宋体"/>
          <w:color w:val="auto"/>
          <w:szCs w:val="21"/>
          <w:highlight w:val="none"/>
        </w:rPr>
        <w:t>规定，政府采购评审中出现以下异常低价情形，评标委员会应当启动异常低价投标审查程序：</w:t>
      </w:r>
    </w:p>
    <w:p w14:paraId="7D5054A2">
      <w:pPr>
        <w:pageBreakBefore w:val="0"/>
        <w:kinsoku/>
        <w:wordWrap/>
        <w:overflowPunct/>
        <w:topLinePunct w:val="0"/>
        <w:autoSpaceDE/>
        <w:autoSpaceDN/>
        <w:bidi w:val="0"/>
        <w:snapToGrid w:val="0"/>
        <w:spacing w:line="40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（1）投标报价低于全部通过符合性审查供应商投标）报价平均值</w:t>
      </w:r>
      <w:r>
        <w:rPr>
          <w:rFonts w:hint="eastAsia" w:ascii="宋体" w:hAnsi="宋体" w:eastAsia="宋体" w:cs="宋体"/>
          <w:color w:val="auto"/>
          <w:szCs w:val="21"/>
          <w:highlight w:val="none"/>
          <w:u w:val="single"/>
        </w:rPr>
        <w:t> </w:t>
      </w:r>
      <w:r>
        <w:rPr>
          <w:rFonts w:hint="eastAsia" w:ascii="宋体" w:hAnsi="宋体" w:cs="宋体"/>
          <w:color w:val="auto"/>
          <w:szCs w:val="21"/>
          <w:highlight w:val="none"/>
          <w:u w:val="single"/>
          <w:lang w:val="en-US" w:eastAsia="zh-CN"/>
        </w:rPr>
        <w:t>50</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rPr>
        <w:t>％的；</w:t>
      </w:r>
    </w:p>
    <w:p w14:paraId="5FA4FC06">
      <w:pPr>
        <w:pageBreakBefore w:val="0"/>
        <w:kinsoku/>
        <w:wordWrap/>
        <w:overflowPunct/>
        <w:topLinePunct w:val="0"/>
        <w:autoSpaceDE/>
        <w:autoSpaceDN/>
        <w:bidi w:val="0"/>
        <w:snapToGrid w:val="0"/>
        <w:spacing w:line="40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（2）投标报价低于通过符合性审查的次低报价供应商投标报价</w:t>
      </w:r>
      <w:r>
        <w:rPr>
          <w:rFonts w:hint="eastAsia" w:ascii="宋体" w:hAnsi="宋体" w:eastAsia="宋体" w:cs="宋体"/>
          <w:color w:val="auto"/>
          <w:szCs w:val="21"/>
          <w:highlight w:val="none"/>
          <w:u w:val="single"/>
        </w:rPr>
        <w:t> </w:t>
      </w:r>
      <w:r>
        <w:rPr>
          <w:rFonts w:hint="eastAsia" w:ascii="宋体" w:hAnsi="宋体" w:cs="宋体"/>
          <w:color w:val="auto"/>
          <w:szCs w:val="21"/>
          <w:highlight w:val="none"/>
          <w:u w:val="single"/>
          <w:lang w:val="en-US" w:eastAsia="zh-CN"/>
        </w:rPr>
        <w:t>50</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rPr>
        <w:t>％的；</w:t>
      </w:r>
    </w:p>
    <w:p w14:paraId="142D2F3D">
      <w:pPr>
        <w:pageBreakBefore w:val="0"/>
        <w:kinsoku/>
        <w:wordWrap/>
        <w:overflowPunct/>
        <w:topLinePunct w:val="0"/>
        <w:autoSpaceDE/>
        <w:autoSpaceDN/>
        <w:bidi w:val="0"/>
        <w:snapToGrid w:val="0"/>
        <w:spacing w:line="40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（3）投标报价低于采购项目最高限价</w:t>
      </w:r>
      <w:r>
        <w:rPr>
          <w:rFonts w:hint="eastAsia" w:ascii="宋体" w:hAnsi="宋体" w:eastAsia="宋体" w:cs="宋体"/>
          <w:color w:val="auto"/>
          <w:szCs w:val="21"/>
          <w:highlight w:val="none"/>
          <w:u w:val="single"/>
        </w:rPr>
        <w:t> </w:t>
      </w:r>
      <w:r>
        <w:rPr>
          <w:rFonts w:hint="eastAsia" w:ascii="宋体" w:hAnsi="宋体" w:cs="宋体"/>
          <w:color w:val="auto"/>
          <w:szCs w:val="21"/>
          <w:highlight w:val="none"/>
          <w:u w:val="single"/>
          <w:lang w:val="en-US" w:eastAsia="zh-CN"/>
        </w:rPr>
        <w:t>45</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rPr>
        <w:t>％的；</w:t>
      </w:r>
    </w:p>
    <w:p w14:paraId="17817545">
      <w:pPr>
        <w:pageBreakBefore w:val="0"/>
        <w:kinsoku/>
        <w:wordWrap/>
        <w:overflowPunct/>
        <w:topLinePunct w:val="0"/>
        <w:autoSpaceDE/>
        <w:autoSpaceDN/>
        <w:bidi w:val="0"/>
        <w:snapToGrid w:val="0"/>
        <w:spacing w:line="40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（4）评标委员会基于专业判断，认为供应商报价过低，有可能影响产品质量或者不能诚信履约的其他情形。相关法律法规对供应商报价有规定的，从其规定。</w:t>
      </w:r>
    </w:p>
    <w:p w14:paraId="6FCEE26E">
      <w:pPr>
        <w:pageBreakBefore w:val="0"/>
        <w:kinsoku/>
        <w:wordWrap/>
        <w:overflowPunct/>
        <w:topLinePunct w:val="0"/>
        <w:autoSpaceDE/>
        <w:autoSpaceDN/>
        <w:bidi w:val="0"/>
        <w:snapToGrid w:val="0"/>
        <w:spacing w:line="40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（5）相关法律法规对供应商报价有规定的，从其规定。</w:t>
      </w:r>
    </w:p>
    <w:p w14:paraId="4F49B940">
      <w:pPr>
        <w:pageBreakBefore w:val="0"/>
        <w:kinsoku/>
        <w:wordWrap/>
        <w:overflowPunct/>
        <w:topLinePunct w:val="0"/>
        <w:autoSpaceDE/>
        <w:autoSpaceDN/>
        <w:bidi w:val="0"/>
        <w:snapToGrid w:val="0"/>
        <w:spacing w:line="40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6.2</w:t>
      </w:r>
      <w:r>
        <w:rPr>
          <w:rFonts w:hint="eastAsia" w:ascii="宋体" w:hAnsi="宋体" w:eastAsia="宋体" w:cs="宋体"/>
          <w:color w:val="auto"/>
          <w:szCs w:val="21"/>
          <w:highlight w:val="none"/>
        </w:rPr>
        <w:t>评标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0F63F873">
      <w:pPr>
        <w:pageBreakBefore w:val="0"/>
        <w:kinsoku/>
        <w:wordWrap/>
        <w:overflowPunct/>
        <w:topLinePunct w:val="0"/>
        <w:autoSpaceDE/>
        <w:autoSpaceDN/>
        <w:bidi w:val="0"/>
        <w:snapToGrid w:val="0"/>
        <w:spacing w:line="40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评标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标委员会）应当将其作为无效投标（响应）处理。</w:t>
      </w:r>
    </w:p>
    <w:p w14:paraId="53456D66">
      <w:pPr>
        <w:pageBreakBefore w:val="0"/>
        <w:kinsoku/>
        <w:wordWrap/>
        <w:overflowPunct/>
        <w:topLinePunct w:val="0"/>
        <w:autoSpaceDE/>
        <w:autoSpaceDN/>
        <w:bidi w:val="0"/>
        <w:snapToGrid w:val="0"/>
        <w:spacing w:line="40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评审组织</w:t>
      </w:r>
      <w:r>
        <w:rPr>
          <w:rFonts w:hint="eastAsia" w:ascii="宋体" w:hAnsi="宋体" w:cs="宋体"/>
          <w:color w:val="auto"/>
          <w:szCs w:val="21"/>
          <w:highlight w:val="none"/>
          <w:lang w:eastAsia="zh-CN"/>
        </w:rPr>
        <w:t>：</w:t>
      </w:r>
      <w:r>
        <w:rPr>
          <w:rFonts w:hint="eastAsia" w:ascii="宋体" w:hAnsi="宋体" w:eastAsia="宋体" w:cs="宋体"/>
          <w:color w:val="auto"/>
          <w:szCs w:val="21"/>
          <w:highlight w:val="none"/>
        </w:rPr>
        <w:t>采购人、采购代理机构应当为评审委员会在评审现场及时获取同类项目中标</w:t>
      </w:r>
      <w:r>
        <w:rPr>
          <w:rFonts w:hint="eastAsia" w:ascii="宋体" w:hAnsi="宋体" w:cs="宋体"/>
          <w:color w:val="auto"/>
          <w:szCs w:val="21"/>
          <w:highlight w:val="none"/>
          <w:lang w:eastAsia="zh-CN"/>
        </w:rPr>
        <w:t>（</w:t>
      </w:r>
      <w:r>
        <w:rPr>
          <w:rFonts w:hint="eastAsia" w:ascii="宋体" w:hAnsi="宋体" w:eastAsia="宋体" w:cs="宋体"/>
          <w:color w:val="auto"/>
          <w:szCs w:val="21"/>
          <w:highlight w:val="none"/>
        </w:rPr>
        <w:t>成交</w:t>
      </w:r>
      <w:r>
        <w:rPr>
          <w:rFonts w:hint="eastAsia" w:ascii="宋体" w:hAnsi="宋体" w:cs="宋体"/>
          <w:color w:val="auto"/>
          <w:szCs w:val="21"/>
          <w:highlight w:val="none"/>
          <w:lang w:eastAsia="zh-CN"/>
        </w:rPr>
        <w:t>）</w:t>
      </w:r>
      <w:r>
        <w:rPr>
          <w:rFonts w:hint="eastAsia" w:ascii="宋体" w:hAnsi="宋体" w:eastAsia="宋体" w:cs="宋体"/>
          <w:color w:val="auto"/>
          <w:szCs w:val="21"/>
          <w:highlight w:val="none"/>
        </w:rPr>
        <w:t>价格、类似产品市场价格水平、行业人工费用标准、国家有关部门指导行业协会发布的行业平均成本等相关信息资料提供便利。评审委员会借助互联网等渠道查询相关信息的，应当严格遵守评审工作纪律，不得实施影响评审公正的行为。</w:t>
      </w:r>
    </w:p>
    <w:p w14:paraId="37B1977C">
      <w:pPr>
        <w:pageBreakBefore w:val="0"/>
        <w:kinsoku/>
        <w:wordWrap/>
        <w:overflowPunct/>
        <w:topLinePunct w:val="0"/>
        <w:autoSpaceDE/>
        <w:autoSpaceDN/>
        <w:bidi w:val="0"/>
        <w:snapToGrid w:val="0"/>
        <w:spacing w:line="400" w:lineRule="exact"/>
        <w:ind w:firstLine="420" w:firstLineChars="200"/>
        <w:textAlignment w:val="auto"/>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rPr>
        <w:t>记录及归档</w:t>
      </w:r>
      <w:r>
        <w:rPr>
          <w:rFonts w:hint="eastAsia" w:ascii="宋体" w:hAnsi="宋体" w:cs="宋体"/>
          <w:color w:val="auto"/>
          <w:szCs w:val="21"/>
          <w:highlight w:val="none"/>
          <w:lang w:eastAsia="zh-CN"/>
        </w:rPr>
        <w:t>：</w:t>
      </w:r>
      <w:r>
        <w:rPr>
          <w:rFonts w:hint="eastAsia" w:ascii="宋体" w:hAnsi="宋体" w:eastAsia="宋体" w:cs="宋体"/>
          <w:color w:val="auto"/>
          <w:szCs w:val="21"/>
          <w:highlight w:val="none"/>
        </w:rPr>
        <w:t>异常低价投标审查的启动原因、审查意见和审查结果应当在评审报告中记录，并随供应商提供的相关书面说明及证明材料，以及评审委员会有关互联网浏览、查询历史一并归档。</w:t>
      </w:r>
    </w:p>
    <w:p w14:paraId="1628F5C4">
      <w:pPr>
        <w:pStyle w:val="4"/>
        <w:pageBreakBefore w:val="0"/>
        <w:kinsoku/>
        <w:wordWrap/>
        <w:overflowPunct/>
        <w:topLinePunct w:val="0"/>
        <w:autoSpaceDE/>
        <w:autoSpaceDN/>
        <w:bidi w:val="0"/>
        <w:spacing w:before="0" w:after="0" w:line="400" w:lineRule="exact"/>
        <w:jc w:val="center"/>
        <w:textAlignment w:val="auto"/>
        <w:rPr>
          <w:rFonts w:hint="eastAsia" w:ascii="宋体" w:hAnsi="宋体" w:eastAsia="宋体" w:cs="宋体"/>
          <w:color w:val="auto"/>
          <w:highlight w:val="none"/>
        </w:rPr>
      </w:pPr>
      <w:bookmarkStart w:id="175" w:name="_Toc5924"/>
      <w:bookmarkStart w:id="176" w:name="_Toc4705"/>
      <w:r>
        <w:rPr>
          <w:rFonts w:hint="eastAsia" w:ascii="宋体" w:hAnsi="宋体" w:eastAsia="宋体" w:cs="宋体"/>
          <w:color w:val="auto"/>
          <w:highlight w:val="none"/>
        </w:rPr>
        <w:t>三、评标标准</w:t>
      </w:r>
      <w:bookmarkEnd w:id="175"/>
      <w:bookmarkEnd w:id="176"/>
    </w:p>
    <w:p w14:paraId="16092386">
      <w:pPr>
        <w:pageBreakBefore w:val="0"/>
        <w:widowControl/>
        <w:kinsoku/>
        <w:wordWrap/>
        <w:overflowPunct/>
        <w:topLinePunct w:val="0"/>
        <w:autoSpaceDE/>
        <w:autoSpaceDN/>
        <w:bidi w:val="0"/>
        <w:adjustRightInd w:val="0"/>
        <w:snapToGrid w:val="0"/>
        <w:spacing w:line="400" w:lineRule="exact"/>
        <w:ind w:firstLine="42"/>
        <w:textAlignment w:val="auto"/>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一、评标原则</w:t>
      </w:r>
    </w:p>
    <w:p w14:paraId="2688A638">
      <w:pPr>
        <w:pageBreakBefore w:val="0"/>
        <w:widowControl/>
        <w:kinsoku/>
        <w:wordWrap/>
        <w:overflowPunct/>
        <w:topLinePunct w:val="0"/>
        <w:autoSpaceDE/>
        <w:autoSpaceDN/>
        <w:bidi w:val="0"/>
        <w:adjustRightInd w:val="0"/>
        <w:snapToGrid w:val="0"/>
        <w:spacing w:line="400" w:lineRule="exact"/>
        <w:ind w:firstLine="378" w:firstLineChars="180"/>
        <w:textAlignment w:val="auto"/>
        <w:rPr>
          <w:rFonts w:hint="eastAsia" w:ascii="宋体" w:hAnsi="宋体" w:cs="宋体"/>
          <w:bCs/>
          <w:color w:val="auto"/>
          <w:kern w:val="0"/>
          <w:szCs w:val="21"/>
          <w:highlight w:val="none"/>
        </w:rPr>
      </w:pPr>
      <w:r>
        <w:rPr>
          <w:rFonts w:hint="eastAsia" w:ascii="宋体" w:hAnsi="宋体" w:cs="宋体"/>
          <w:bCs/>
          <w:color w:val="auto"/>
          <w:kern w:val="0"/>
          <w:szCs w:val="21"/>
          <w:highlight w:val="none"/>
        </w:rPr>
        <w:t>（一）评委构成：《政府采购货物和服务招标投标管理办法》第四十七条 评标委员会由采购人代表和评审专家组成，成员人数应当为5人以上单数，其中评审专家不得少于成员总数的三分之二。采购项目符合下列情形之一的，评标委员会成员人数应当为7人以上单数：（1）采购预算金额在1000万元以上；（2）技术复杂；（3）社会影响较大。</w:t>
      </w:r>
    </w:p>
    <w:p w14:paraId="42AC231E">
      <w:pPr>
        <w:pageBreakBefore w:val="0"/>
        <w:widowControl/>
        <w:kinsoku/>
        <w:wordWrap/>
        <w:overflowPunct/>
        <w:topLinePunct w:val="0"/>
        <w:autoSpaceDE/>
        <w:autoSpaceDN/>
        <w:bidi w:val="0"/>
        <w:adjustRightInd w:val="0"/>
        <w:snapToGrid w:val="0"/>
        <w:spacing w:line="400" w:lineRule="exact"/>
        <w:ind w:firstLine="378" w:firstLineChars="180"/>
        <w:textAlignment w:val="auto"/>
        <w:rPr>
          <w:rFonts w:hint="eastAsia" w:ascii="宋体" w:hAnsi="宋体" w:cs="宋体"/>
          <w:bCs/>
          <w:color w:val="auto"/>
          <w:kern w:val="0"/>
          <w:szCs w:val="21"/>
          <w:highlight w:val="none"/>
        </w:rPr>
      </w:pPr>
      <w:r>
        <w:rPr>
          <w:rFonts w:hint="eastAsia" w:ascii="宋体" w:hAnsi="宋体" w:cs="宋体"/>
          <w:bCs/>
          <w:color w:val="auto"/>
          <w:kern w:val="0"/>
          <w:szCs w:val="21"/>
          <w:highlight w:val="none"/>
        </w:rPr>
        <w:t>（二）</w:t>
      </w:r>
      <w:r>
        <w:rPr>
          <w:rFonts w:hint="eastAsia" w:ascii="宋体" w:hAnsi="宋体" w:cs="宋体"/>
          <w:color w:val="auto"/>
          <w:kern w:val="0"/>
          <w:szCs w:val="21"/>
          <w:highlight w:val="none"/>
        </w:rPr>
        <w:t>评标依据：</w:t>
      </w:r>
      <w:r>
        <w:rPr>
          <w:rFonts w:hint="eastAsia" w:ascii="宋体" w:hAnsi="宋体" w:cs="宋体"/>
          <w:bCs/>
          <w:color w:val="auto"/>
          <w:kern w:val="0"/>
          <w:szCs w:val="21"/>
          <w:highlight w:val="none"/>
        </w:rPr>
        <w:t>评委将以招标文件为评标依据，对投标人的内容按百分制打分。</w:t>
      </w:r>
    </w:p>
    <w:p w14:paraId="4820AFEC">
      <w:pPr>
        <w:pageBreakBefore w:val="0"/>
        <w:widowControl/>
        <w:kinsoku/>
        <w:wordWrap/>
        <w:overflowPunct/>
        <w:topLinePunct w:val="0"/>
        <w:autoSpaceDE/>
        <w:autoSpaceDN/>
        <w:bidi w:val="0"/>
        <w:adjustRightInd w:val="0"/>
        <w:snapToGrid w:val="0"/>
        <w:spacing w:line="400" w:lineRule="exact"/>
        <w:ind w:firstLine="378" w:firstLineChars="180"/>
        <w:textAlignment w:val="auto"/>
        <w:rPr>
          <w:rFonts w:hint="eastAsia" w:ascii="宋体" w:hAnsi="宋体" w:cs="宋体"/>
          <w:color w:val="auto"/>
          <w:szCs w:val="21"/>
          <w:highlight w:val="none"/>
        </w:rPr>
      </w:pPr>
      <w:r>
        <w:rPr>
          <w:rFonts w:hint="eastAsia" w:ascii="宋体" w:hAnsi="宋体" w:cs="宋体"/>
          <w:bCs/>
          <w:color w:val="auto"/>
          <w:szCs w:val="21"/>
          <w:highlight w:val="none"/>
        </w:rPr>
        <w:t>（三）评标方式：以封闭方式进行。</w:t>
      </w:r>
    </w:p>
    <w:p w14:paraId="54CFE783">
      <w:pPr>
        <w:pageBreakBefore w:val="0"/>
        <w:kinsoku/>
        <w:wordWrap/>
        <w:overflowPunct/>
        <w:topLinePunct w:val="0"/>
        <w:autoSpaceDE/>
        <w:autoSpaceDN/>
        <w:bidi w:val="0"/>
        <w:adjustRightInd w:val="0"/>
        <w:snapToGrid w:val="0"/>
        <w:spacing w:line="400" w:lineRule="exact"/>
        <w:ind w:firstLine="42" w:firstLineChars="20"/>
        <w:textAlignment w:val="auto"/>
        <w:rPr>
          <w:rFonts w:hint="eastAsia" w:ascii="宋体" w:hAnsi="宋体" w:cs="宋体"/>
          <w:b/>
          <w:color w:val="auto"/>
          <w:szCs w:val="21"/>
          <w:highlight w:val="none"/>
        </w:rPr>
      </w:pPr>
      <w:r>
        <w:rPr>
          <w:rFonts w:hint="eastAsia" w:ascii="宋体" w:hAnsi="宋体" w:cs="宋体"/>
          <w:b/>
          <w:color w:val="auto"/>
          <w:szCs w:val="21"/>
          <w:highlight w:val="none"/>
        </w:rPr>
        <w:t>二、评标方法</w:t>
      </w:r>
    </w:p>
    <w:p w14:paraId="29EFE52F">
      <w:pPr>
        <w:pageBreakBefore w:val="0"/>
        <w:widowControl/>
        <w:kinsoku/>
        <w:wordWrap/>
        <w:overflowPunct/>
        <w:topLinePunct w:val="0"/>
        <w:autoSpaceDE/>
        <w:autoSpaceDN/>
        <w:bidi w:val="0"/>
        <w:adjustRightInd w:val="0"/>
        <w:snapToGrid w:val="0"/>
        <w:spacing w:line="400" w:lineRule="exact"/>
        <w:ind w:firstLine="378" w:firstLineChars="180"/>
        <w:textAlignment w:val="auto"/>
        <w:rPr>
          <w:rFonts w:hint="eastAsia" w:ascii="宋体" w:hAnsi="宋体" w:cs="宋体"/>
          <w:color w:val="auto"/>
          <w:kern w:val="0"/>
          <w:szCs w:val="21"/>
          <w:highlight w:val="none"/>
        </w:rPr>
      </w:pPr>
      <w:r>
        <w:rPr>
          <w:rFonts w:hint="eastAsia" w:ascii="宋体" w:hAnsi="宋体" w:cs="宋体"/>
          <w:color w:val="auto"/>
          <w:kern w:val="0"/>
          <w:szCs w:val="21"/>
          <w:highlight w:val="none"/>
        </w:rPr>
        <w:t>（一）对进入详评的，采用百分制综合评分法。</w:t>
      </w:r>
    </w:p>
    <w:p w14:paraId="68CAB43F">
      <w:pPr>
        <w:pageBreakBefore w:val="0"/>
        <w:widowControl/>
        <w:kinsoku/>
        <w:wordWrap/>
        <w:overflowPunct/>
        <w:topLinePunct w:val="0"/>
        <w:autoSpaceDE/>
        <w:autoSpaceDN/>
        <w:bidi w:val="0"/>
        <w:adjustRightInd w:val="0"/>
        <w:snapToGrid w:val="0"/>
        <w:spacing w:line="400" w:lineRule="exact"/>
        <w:ind w:firstLine="378" w:firstLineChars="180"/>
        <w:textAlignment w:val="auto"/>
        <w:rPr>
          <w:rFonts w:hint="eastAsia" w:ascii="宋体" w:hAnsi="宋体" w:cs="宋体"/>
          <w:color w:val="auto"/>
          <w:kern w:val="0"/>
          <w:szCs w:val="21"/>
          <w:highlight w:val="none"/>
        </w:rPr>
      </w:pPr>
      <w:r>
        <w:rPr>
          <w:rFonts w:hint="eastAsia" w:ascii="宋体" w:hAnsi="宋体" w:cs="宋体"/>
          <w:color w:val="auto"/>
          <w:kern w:val="0"/>
          <w:szCs w:val="21"/>
          <w:highlight w:val="none"/>
        </w:rPr>
        <w:t>（二）计分办法（按四舍五入取至百分位）：</w:t>
      </w:r>
    </w:p>
    <w:p w14:paraId="4122FA69">
      <w:pPr>
        <w:pageBreakBefore w:val="0"/>
        <w:widowControl/>
        <w:kinsoku/>
        <w:wordWrap/>
        <w:overflowPunct/>
        <w:topLinePunct w:val="0"/>
        <w:autoSpaceDE/>
        <w:autoSpaceDN/>
        <w:bidi w:val="0"/>
        <w:adjustRightInd w:val="0"/>
        <w:snapToGrid w:val="0"/>
        <w:spacing w:line="400" w:lineRule="exact"/>
        <w:ind w:firstLine="378" w:firstLineChars="180"/>
        <w:textAlignment w:val="auto"/>
        <w:rPr>
          <w:rFonts w:hint="eastAsia" w:ascii="宋体" w:hAnsi="宋体" w:cs="宋体"/>
          <w:color w:val="auto"/>
          <w:kern w:val="0"/>
          <w:szCs w:val="21"/>
          <w:highlight w:val="none"/>
        </w:rPr>
      </w:pPr>
    </w:p>
    <w:p w14:paraId="11A6A3AA">
      <w:pPr>
        <w:pageBreakBefore w:val="0"/>
        <w:widowControl/>
        <w:kinsoku/>
        <w:wordWrap/>
        <w:overflowPunct/>
        <w:topLinePunct w:val="0"/>
        <w:autoSpaceDE/>
        <w:autoSpaceDN/>
        <w:bidi w:val="0"/>
        <w:adjustRightInd w:val="0"/>
        <w:snapToGrid w:val="0"/>
        <w:spacing w:line="400" w:lineRule="exact"/>
        <w:ind w:firstLine="378" w:firstLineChars="180"/>
        <w:textAlignment w:val="auto"/>
        <w:rPr>
          <w:rFonts w:hint="eastAsia" w:ascii="宋体" w:hAnsi="宋体" w:cs="宋体"/>
          <w:color w:val="auto"/>
          <w:kern w:val="0"/>
          <w:szCs w:val="21"/>
          <w:highlight w:val="none"/>
        </w:rPr>
      </w:pPr>
    </w:p>
    <w:p w14:paraId="32949AC5">
      <w:pPr>
        <w:rPr>
          <w:rFonts w:hint="eastAsia" w:ascii="宋体" w:hAnsi="宋体" w:eastAsia="宋体" w:cs="宋体"/>
          <w:color w:val="auto"/>
          <w:highlight w:val="none"/>
        </w:rPr>
      </w:pPr>
      <w:r>
        <w:rPr>
          <w:rFonts w:hint="eastAsia" w:ascii="宋体" w:hAnsi="宋体" w:cs="宋体"/>
          <w:color w:val="auto"/>
          <w:kern w:val="0"/>
          <w:szCs w:val="21"/>
          <w:highlight w:val="none"/>
        </w:rPr>
        <w:br w:type="page"/>
      </w:r>
      <w:bookmarkStart w:id="177" w:name="_Toc29253"/>
      <w:bookmarkStart w:id="178" w:name="_Toc26687"/>
      <w:bookmarkStart w:id="179" w:name="_Toc1515"/>
    </w:p>
    <w:p w14:paraId="282FF6F4">
      <w:pPr>
        <w:pStyle w:val="4"/>
        <w:pageBreakBefore w:val="0"/>
        <w:kinsoku/>
        <w:wordWrap/>
        <w:overflowPunct/>
        <w:topLinePunct w:val="0"/>
        <w:autoSpaceDE/>
        <w:autoSpaceDN/>
        <w:bidi w:val="0"/>
        <w:spacing w:before="0" w:after="0" w:line="400" w:lineRule="exact"/>
        <w:jc w:val="center"/>
        <w:textAlignment w:val="auto"/>
        <w:rPr>
          <w:rFonts w:hint="eastAsia" w:ascii="宋体" w:hAnsi="宋体" w:eastAsia="宋体" w:cs="宋体"/>
          <w:color w:val="auto"/>
          <w:highlight w:val="none"/>
        </w:rPr>
      </w:pPr>
      <w:r>
        <w:rPr>
          <w:rFonts w:hint="eastAsia" w:ascii="宋体" w:hAnsi="宋体" w:eastAsia="宋体" w:cs="宋体"/>
          <w:color w:val="auto"/>
          <w:highlight w:val="none"/>
        </w:rPr>
        <w:t>评分标准（综合评分法）</w:t>
      </w:r>
      <w:bookmarkEnd w:id="177"/>
      <w:bookmarkEnd w:id="178"/>
      <w:bookmarkEnd w:id="179"/>
    </w:p>
    <w:tbl>
      <w:tblPr>
        <w:tblStyle w:val="39"/>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50"/>
        <w:gridCol w:w="517"/>
        <w:gridCol w:w="661"/>
        <w:gridCol w:w="6888"/>
      </w:tblGrid>
      <w:tr w14:paraId="6DB207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0" w:type="auto"/>
            <w:noWrap w:val="0"/>
            <w:vAlign w:val="center"/>
          </w:tcPr>
          <w:p w14:paraId="1BA82E0A">
            <w:pPr>
              <w:keepNext w:val="0"/>
              <w:keepLines w:val="0"/>
              <w:suppressLineNumbers w:val="0"/>
              <w:spacing w:before="0" w:beforeAutospacing="0" w:after="0" w:afterAutospacing="0"/>
              <w:ind w:left="0" w:right="0"/>
              <w:jc w:val="center"/>
              <w:rPr>
                <w:rFonts w:hint="eastAsia" w:ascii="宋体" w:hAnsi="宋体" w:eastAsia="宋体" w:cs="宋体"/>
                <w:b/>
                <w:bCs/>
                <w:color w:val="auto"/>
                <w:sz w:val="21"/>
                <w:szCs w:val="21"/>
                <w:highlight w:val="none"/>
                <w:lang w:val="en-US" w:eastAsia="zh-CN"/>
              </w:rPr>
            </w:pPr>
            <w:bookmarkStart w:id="180" w:name="_Toc4130"/>
            <w:bookmarkStart w:id="181" w:name="_Toc13030"/>
            <w:r>
              <w:rPr>
                <w:rFonts w:hint="eastAsia" w:ascii="宋体" w:hAnsi="宋体" w:eastAsia="宋体" w:cs="宋体"/>
                <w:b/>
                <w:bCs/>
                <w:color w:val="auto"/>
                <w:sz w:val="21"/>
                <w:szCs w:val="21"/>
                <w:highlight w:val="none"/>
                <w:lang w:val="en-US" w:eastAsia="zh-CN"/>
              </w:rPr>
              <w:t>序号</w:t>
            </w:r>
          </w:p>
        </w:tc>
        <w:tc>
          <w:tcPr>
            <w:tcW w:w="0" w:type="auto"/>
            <w:noWrap w:val="0"/>
            <w:vAlign w:val="center"/>
          </w:tcPr>
          <w:p w14:paraId="74711DE1">
            <w:pPr>
              <w:keepNext w:val="0"/>
              <w:keepLines w:val="0"/>
              <w:suppressLineNumbers w:val="0"/>
              <w:spacing w:before="0" w:beforeAutospacing="0" w:after="0" w:afterAutospacing="0"/>
              <w:ind w:left="0" w:right="0"/>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评标项目</w:t>
            </w:r>
          </w:p>
        </w:tc>
        <w:tc>
          <w:tcPr>
            <w:tcW w:w="661" w:type="dxa"/>
            <w:noWrap w:val="0"/>
            <w:vAlign w:val="center"/>
          </w:tcPr>
          <w:p w14:paraId="66DBF336">
            <w:pPr>
              <w:keepNext w:val="0"/>
              <w:keepLines w:val="0"/>
              <w:suppressLineNumbers w:val="0"/>
              <w:spacing w:before="0" w:beforeAutospacing="0" w:after="0" w:afterAutospacing="0"/>
              <w:ind w:left="0" w:right="0"/>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评标分值</w:t>
            </w:r>
          </w:p>
        </w:tc>
        <w:tc>
          <w:tcPr>
            <w:tcW w:w="6888" w:type="dxa"/>
            <w:noWrap w:val="0"/>
            <w:vAlign w:val="center"/>
          </w:tcPr>
          <w:p w14:paraId="33AC2441">
            <w:pPr>
              <w:keepNext w:val="0"/>
              <w:keepLines w:val="0"/>
              <w:suppressLineNumbers w:val="0"/>
              <w:spacing w:before="0" w:beforeAutospacing="0" w:after="0" w:afterAutospacing="0"/>
              <w:ind w:left="0" w:right="0"/>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评标方法描述</w:t>
            </w:r>
          </w:p>
        </w:tc>
      </w:tr>
      <w:tr w14:paraId="31298A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89" w:hRule="atLeast"/>
          <w:jc w:val="center"/>
        </w:trPr>
        <w:tc>
          <w:tcPr>
            <w:tcW w:w="0" w:type="auto"/>
            <w:noWrap w:val="0"/>
            <w:vAlign w:val="center"/>
          </w:tcPr>
          <w:p w14:paraId="2454988B">
            <w:pPr>
              <w:keepNext w:val="0"/>
              <w:keepLines w:val="0"/>
              <w:widowControl/>
              <w:suppressLineNumbers w:val="0"/>
              <w:spacing w:before="0" w:beforeAutospacing="0" w:after="0" w:afterAutospacing="0" w:line="560" w:lineRule="exact"/>
              <w:ind w:left="0" w:right="0"/>
              <w:jc w:val="center"/>
              <w:rPr>
                <w:rFonts w:hint="default" w:ascii="宋体" w:hAnsi="宋体" w:eastAsia="宋体" w:cs="宋体"/>
                <w:color w:val="auto"/>
                <w:kern w:val="0"/>
                <w:sz w:val="21"/>
                <w:szCs w:val="21"/>
                <w:highlight w:val="none"/>
                <w:lang w:val="en-US" w:eastAsia="zh-CN" w:bidi="ar"/>
              </w:rPr>
            </w:pPr>
            <w:r>
              <w:rPr>
                <w:rFonts w:hint="eastAsia" w:ascii="宋体" w:hAnsi="宋体" w:cs="宋体"/>
                <w:color w:val="auto"/>
                <w:kern w:val="0"/>
                <w:sz w:val="21"/>
                <w:szCs w:val="21"/>
                <w:highlight w:val="none"/>
                <w:lang w:val="en-US" w:eastAsia="zh-CN" w:bidi="ar"/>
              </w:rPr>
              <w:t>1</w:t>
            </w:r>
          </w:p>
        </w:tc>
        <w:tc>
          <w:tcPr>
            <w:tcW w:w="0" w:type="auto"/>
            <w:noWrap w:val="0"/>
            <w:vAlign w:val="center"/>
          </w:tcPr>
          <w:p w14:paraId="3FBC0F68">
            <w:pPr>
              <w:keepNext w:val="0"/>
              <w:keepLines w:val="0"/>
              <w:widowControl/>
              <w:suppressLineNumbers w:val="0"/>
              <w:spacing w:before="0" w:beforeAutospacing="0" w:after="0" w:afterAutospacing="0" w:line="560" w:lineRule="exact"/>
              <w:ind w:left="0" w:right="0"/>
              <w:jc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价格分</w:t>
            </w:r>
          </w:p>
        </w:tc>
        <w:tc>
          <w:tcPr>
            <w:tcW w:w="661" w:type="dxa"/>
            <w:noWrap w:val="0"/>
            <w:vAlign w:val="center"/>
          </w:tcPr>
          <w:p w14:paraId="6CB07A1F">
            <w:pPr>
              <w:keepNext w:val="0"/>
              <w:keepLines w:val="0"/>
              <w:widowControl/>
              <w:suppressLineNumbers w:val="0"/>
              <w:spacing w:before="0" w:beforeAutospacing="0" w:after="0" w:afterAutospacing="0" w:line="560" w:lineRule="exact"/>
              <w:ind w:left="0" w:right="0"/>
              <w:jc w:val="center"/>
              <w:rPr>
                <w:rFonts w:hint="default" w:ascii="宋体" w:hAnsi="宋体" w:eastAsia="宋体" w:cs="宋体"/>
                <w:color w:val="auto"/>
                <w:sz w:val="21"/>
                <w:szCs w:val="21"/>
                <w:highlight w:val="none"/>
                <w:lang w:val="en-US"/>
              </w:rPr>
            </w:pPr>
            <w:r>
              <w:rPr>
                <w:rFonts w:hint="eastAsia" w:ascii="宋体" w:hAnsi="宋体" w:eastAsia="宋体" w:cs="宋体"/>
                <w:color w:val="auto"/>
                <w:kern w:val="0"/>
                <w:sz w:val="21"/>
                <w:szCs w:val="21"/>
                <w:highlight w:val="none"/>
                <w:lang w:val="en-US" w:eastAsia="zh-CN" w:bidi="ar"/>
              </w:rPr>
              <w:t>0</w:t>
            </w:r>
            <w:r>
              <w:rPr>
                <w:rFonts w:hint="eastAsia" w:ascii="宋体" w:hAnsi="宋体" w:cs="宋体"/>
                <w:color w:val="auto"/>
                <w:kern w:val="0"/>
                <w:sz w:val="21"/>
                <w:szCs w:val="21"/>
                <w:highlight w:val="none"/>
                <w:lang w:val="en-US" w:eastAsia="zh-CN" w:bidi="ar"/>
              </w:rPr>
              <w:t>分</w:t>
            </w:r>
          </w:p>
        </w:tc>
        <w:tc>
          <w:tcPr>
            <w:tcW w:w="6888" w:type="dxa"/>
            <w:noWrap w:val="0"/>
            <w:vAlign w:val="center"/>
          </w:tcPr>
          <w:p w14:paraId="446123FD">
            <w:pPr>
              <w:keepNext w:val="0"/>
              <w:keepLines w:val="0"/>
              <w:widowControl/>
              <w:suppressLineNumbers w:val="0"/>
              <w:spacing w:before="0" w:beforeAutospacing="0" w:after="0" w:afterAutospacing="0"/>
              <w:ind w:left="0" w:right="0"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根据《政府采购货物和服务招标投标管理办法》（财政部令第 87 号）第五十五条规定，采用固定价格采购的项目，其价格不列为评审因素。</w:t>
            </w:r>
          </w:p>
        </w:tc>
      </w:tr>
      <w:tr w14:paraId="4B5697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0" w:type="auto"/>
            <w:noWrap w:val="0"/>
            <w:vAlign w:val="center"/>
          </w:tcPr>
          <w:p w14:paraId="45606925">
            <w:pPr>
              <w:keepNext w:val="0"/>
              <w:keepLines w:val="0"/>
              <w:suppressLineNumbers w:val="0"/>
              <w:spacing w:before="0" w:beforeAutospacing="0" w:after="0" w:afterAutospacing="0" w:line="560" w:lineRule="exact"/>
              <w:ind w:left="0" w:right="0"/>
              <w:jc w:val="center"/>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2</w:t>
            </w:r>
          </w:p>
        </w:tc>
        <w:tc>
          <w:tcPr>
            <w:tcW w:w="0" w:type="auto"/>
            <w:noWrap w:val="0"/>
            <w:vAlign w:val="center"/>
          </w:tcPr>
          <w:p w14:paraId="6655D89B">
            <w:pPr>
              <w:keepNext w:val="0"/>
              <w:keepLines w:val="0"/>
              <w:widowControl/>
              <w:suppressLineNumbers w:val="0"/>
              <w:spacing w:before="0" w:beforeAutospacing="0" w:after="0" w:afterAutospacing="0"/>
              <w:ind w:left="0" w:right="0"/>
              <w:jc w:val="center"/>
              <w:rPr>
                <w:rFonts w:hint="eastAsia" w:ascii="宋体" w:hAnsi="宋体" w:cs="宋体"/>
                <w:color w:val="auto"/>
                <w:szCs w:val="21"/>
                <w:highlight w:val="none"/>
              </w:rPr>
            </w:pPr>
            <w:r>
              <w:rPr>
                <w:rFonts w:hint="eastAsia" w:ascii="宋体" w:hAnsi="宋体" w:eastAsia="宋体" w:cs="宋体"/>
                <w:color w:val="auto"/>
                <w:kern w:val="0"/>
                <w:sz w:val="21"/>
                <w:szCs w:val="21"/>
                <w:highlight w:val="none"/>
                <w:lang w:val="en-US" w:eastAsia="zh-CN" w:bidi="ar"/>
              </w:rPr>
              <w:t>服务计划分</w:t>
            </w:r>
          </w:p>
          <w:p w14:paraId="584C0E45">
            <w:pPr>
              <w:keepNext w:val="0"/>
              <w:keepLines w:val="0"/>
              <w:suppressLineNumbers w:val="0"/>
              <w:spacing w:before="0" w:beforeAutospacing="0" w:after="0" w:afterAutospacing="0" w:line="560" w:lineRule="exact"/>
              <w:ind w:left="0" w:right="0"/>
              <w:jc w:val="center"/>
              <w:rPr>
                <w:rFonts w:hint="eastAsia" w:ascii="宋体" w:hAnsi="宋体" w:eastAsia="宋体" w:cs="宋体"/>
                <w:color w:val="auto"/>
                <w:sz w:val="21"/>
                <w:szCs w:val="21"/>
                <w:highlight w:val="none"/>
              </w:rPr>
            </w:pPr>
          </w:p>
        </w:tc>
        <w:tc>
          <w:tcPr>
            <w:tcW w:w="661" w:type="dxa"/>
            <w:noWrap w:val="0"/>
            <w:vAlign w:val="center"/>
          </w:tcPr>
          <w:p w14:paraId="429F18D3">
            <w:pPr>
              <w:keepNext w:val="0"/>
              <w:keepLines w:val="0"/>
              <w:widowControl/>
              <w:suppressLineNumbers w:val="0"/>
              <w:spacing w:before="0" w:beforeAutospacing="0" w:after="0" w:afterAutospacing="0"/>
              <w:ind w:left="0" w:right="0"/>
              <w:jc w:val="center"/>
              <w:rPr>
                <w:rFonts w:hint="default" w:ascii="宋体" w:hAnsi="宋体" w:cs="宋体"/>
                <w:color w:val="auto"/>
                <w:szCs w:val="21"/>
                <w:highlight w:val="none"/>
                <w:lang w:val="en-US"/>
              </w:rPr>
            </w:pPr>
            <w:r>
              <w:rPr>
                <w:rFonts w:hint="eastAsia" w:ascii="宋体" w:hAnsi="宋体" w:eastAsia="宋体" w:cs="宋体"/>
                <w:color w:val="auto"/>
                <w:kern w:val="0"/>
                <w:sz w:val="21"/>
                <w:szCs w:val="21"/>
                <w:highlight w:val="none"/>
                <w:lang w:val="en-US" w:eastAsia="zh-CN" w:bidi="ar"/>
              </w:rPr>
              <w:t>64</w:t>
            </w:r>
            <w:r>
              <w:rPr>
                <w:rFonts w:hint="eastAsia" w:ascii="宋体" w:hAnsi="宋体" w:cs="宋体"/>
                <w:color w:val="auto"/>
                <w:kern w:val="0"/>
                <w:sz w:val="21"/>
                <w:szCs w:val="21"/>
                <w:highlight w:val="none"/>
                <w:lang w:val="en-US" w:eastAsia="zh-CN" w:bidi="ar"/>
              </w:rPr>
              <w:t>分</w:t>
            </w:r>
          </w:p>
          <w:p w14:paraId="05437C82">
            <w:pPr>
              <w:keepNext w:val="0"/>
              <w:keepLines w:val="0"/>
              <w:suppressLineNumbers w:val="0"/>
              <w:spacing w:before="0" w:beforeAutospacing="0" w:after="0" w:afterAutospacing="0" w:line="560" w:lineRule="exact"/>
              <w:ind w:left="0" w:right="0"/>
              <w:jc w:val="center"/>
              <w:rPr>
                <w:rFonts w:hint="eastAsia" w:ascii="宋体" w:hAnsi="宋体" w:eastAsia="宋体" w:cs="宋体"/>
                <w:color w:val="auto"/>
                <w:sz w:val="21"/>
                <w:szCs w:val="21"/>
                <w:highlight w:val="none"/>
              </w:rPr>
            </w:pPr>
          </w:p>
        </w:tc>
        <w:tc>
          <w:tcPr>
            <w:tcW w:w="6888" w:type="dxa"/>
            <w:noWrap w:val="0"/>
            <w:vAlign w:val="center"/>
          </w:tcPr>
          <w:p w14:paraId="74A27C0F">
            <w:pPr>
              <w:keepNext w:val="0"/>
              <w:keepLines w:val="0"/>
              <w:widowControl/>
              <w:suppressLineNumbers w:val="0"/>
              <w:spacing w:before="0" w:beforeAutospacing="0" w:after="0" w:afterAutospacing="0"/>
              <w:ind w:left="0" w:right="0"/>
              <w:jc w:val="both"/>
              <w:rPr>
                <w:rFonts w:hint="eastAsia" w:ascii="宋体" w:hAnsi="宋体" w:cs="宋体"/>
                <w:color w:val="auto"/>
                <w:szCs w:val="21"/>
                <w:highlight w:val="none"/>
              </w:rPr>
            </w:pPr>
            <w:r>
              <w:rPr>
                <w:rFonts w:hint="eastAsia" w:ascii="宋体" w:hAnsi="宋体" w:eastAsia="宋体" w:cs="宋体"/>
                <w:b/>
                <w:bCs/>
                <w:color w:val="auto"/>
                <w:kern w:val="0"/>
                <w:sz w:val="21"/>
                <w:szCs w:val="21"/>
                <w:highlight w:val="none"/>
                <w:lang w:val="en-US" w:eastAsia="zh-CN" w:bidi="ar"/>
              </w:rPr>
              <w:t>（1）基本方案分（满分 20 分）</w:t>
            </w:r>
          </w:p>
          <w:p w14:paraId="7AEB3617">
            <w:pPr>
              <w:keepNext w:val="0"/>
              <w:keepLines w:val="0"/>
              <w:widowControl/>
              <w:suppressLineNumbers w:val="0"/>
              <w:spacing w:before="0" w:beforeAutospacing="0" w:after="0" w:afterAutospacing="0"/>
              <w:ind w:left="0" w:right="0"/>
              <w:jc w:val="both"/>
              <w:rPr>
                <w:rFonts w:hint="eastAsia" w:ascii="宋体" w:hAnsi="宋体" w:cs="宋体"/>
                <w:color w:val="auto"/>
                <w:szCs w:val="21"/>
                <w:highlight w:val="none"/>
              </w:rPr>
            </w:pPr>
            <w:r>
              <w:rPr>
                <w:rFonts w:hint="eastAsia" w:ascii="宋体" w:hAnsi="宋体" w:eastAsia="宋体" w:cs="宋体"/>
                <w:color w:val="auto"/>
                <w:kern w:val="0"/>
                <w:sz w:val="21"/>
                <w:szCs w:val="21"/>
                <w:highlight w:val="none"/>
                <w:lang w:val="en-US" w:eastAsia="zh-CN" w:bidi="ar"/>
              </w:rPr>
              <w:t>满足招标文件所要求响应的基础保险责任、特别约定、赔偿限额及免赔额、赔偿范围与标准的得基本分 20 分。</w:t>
            </w:r>
          </w:p>
          <w:p w14:paraId="2E2B962F">
            <w:pPr>
              <w:keepNext w:val="0"/>
              <w:keepLines w:val="0"/>
              <w:widowControl/>
              <w:numPr>
                <w:ilvl w:val="0"/>
                <w:numId w:val="3"/>
              </w:numPr>
              <w:suppressLineNumbers w:val="0"/>
              <w:spacing w:before="0" w:beforeAutospacing="0" w:after="0" w:afterAutospacing="0"/>
              <w:ind w:left="0" w:right="0"/>
              <w:jc w:val="both"/>
              <w:rPr>
                <w:rFonts w:hint="eastAsia" w:ascii="宋体" w:hAnsi="宋体" w:eastAsia="宋体" w:cs="宋体"/>
                <w:b/>
                <w:bCs/>
                <w:color w:val="auto"/>
                <w:kern w:val="0"/>
                <w:sz w:val="21"/>
                <w:szCs w:val="21"/>
                <w:highlight w:val="none"/>
                <w:lang w:val="en-US" w:eastAsia="zh-CN" w:bidi="ar"/>
              </w:rPr>
            </w:pPr>
            <w:r>
              <w:rPr>
                <w:rFonts w:hint="eastAsia" w:ascii="宋体" w:hAnsi="宋体" w:eastAsia="宋体" w:cs="宋体"/>
                <w:b/>
                <w:bCs/>
                <w:color w:val="auto"/>
                <w:kern w:val="0"/>
                <w:sz w:val="21"/>
                <w:szCs w:val="21"/>
                <w:highlight w:val="none"/>
                <w:lang w:val="en-US" w:eastAsia="zh-CN" w:bidi="ar"/>
              </w:rPr>
              <w:t>承保方案设计分（满分 22 分）</w:t>
            </w:r>
          </w:p>
          <w:p w14:paraId="14A57807">
            <w:pPr>
              <w:keepNext w:val="0"/>
              <w:keepLines w:val="0"/>
              <w:widowControl/>
              <w:numPr>
                <w:ilvl w:val="0"/>
                <w:numId w:val="0"/>
              </w:numPr>
              <w:suppressLineNumbers w:val="0"/>
              <w:spacing w:before="0" w:beforeAutospacing="0" w:after="0" w:afterAutospacing="0"/>
              <w:ind w:left="0" w:right="0"/>
              <w:jc w:val="both"/>
              <w:rPr>
                <w:rFonts w:hint="eastAsia" w:ascii="宋体" w:hAnsi="宋体" w:eastAsia="宋体" w:cs="宋体"/>
                <w:b/>
                <w:bCs/>
                <w:color w:val="auto"/>
                <w:kern w:val="0"/>
                <w:sz w:val="21"/>
                <w:szCs w:val="21"/>
                <w:highlight w:val="none"/>
                <w:lang w:val="en-US" w:eastAsia="zh-CN" w:bidi="ar"/>
              </w:rPr>
            </w:pPr>
            <w:r>
              <w:rPr>
                <w:rFonts w:hint="eastAsia" w:ascii="宋体" w:hAnsi="宋体" w:eastAsia="宋体" w:cs="宋体"/>
                <w:b/>
                <w:bCs/>
                <w:color w:val="auto"/>
                <w:kern w:val="0"/>
                <w:sz w:val="21"/>
                <w:szCs w:val="21"/>
                <w:highlight w:val="none"/>
                <w:lang w:val="en-US" w:eastAsia="zh-CN" w:bidi="ar"/>
              </w:rPr>
              <w:t>1)承保方案的投保设计、保险条款分（满分6分）</w:t>
            </w:r>
          </w:p>
          <w:p w14:paraId="4F65E72C">
            <w:pPr>
              <w:keepNext w:val="0"/>
              <w:keepLines w:val="0"/>
              <w:widowControl/>
              <w:suppressLineNumbers w:val="0"/>
              <w:spacing w:before="0" w:beforeAutospacing="0" w:after="0" w:afterAutospacing="0"/>
              <w:ind w:left="0" w:right="0"/>
              <w:jc w:val="both"/>
              <w:rPr>
                <w:rFonts w:hint="eastAsia" w:ascii="宋体" w:hAnsi="宋体" w:cs="宋体"/>
                <w:color w:val="auto"/>
                <w:szCs w:val="21"/>
                <w:highlight w:val="none"/>
              </w:rPr>
            </w:pPr>
            <w:r>
              <w:rPr>
                <w:rFonts w:hint="eastAsia" w:ascii="宋体" w:hAnsi="宋体" w:eastAsia="宋体" w:cs="宋体"/>
                <w:color w:val="auto"/>
                <w:kern w:val="0"/>
                <w:sz w:val="21"/>
                <w:szCs w:val="21"/>
                <w:highlight w:val="none"/>
                <w:lang w:val="en-US" w:eastAsia="zh-CN" w:bidi="ar"/>
              </w:rPr>
              <w:t>一档（2分）：投保设计、保险条款满足采购</w:t>
            </w:r>
            <w:r>
              <w:rPr>
                <w:rFonts w:hint="eastAsia" w:ascii="宋体" w:hAnsi="宋体" w:cs="宋体"/>
                <w:color w:val="auto"/>
                <w:kern w:val="0"/>
                <w:sz w:val="21"/>
                <w:szCs w:val="21"/>
                <w:highlight w:val="none"/>
                <w:lang w:val="en-US" w:eastAsia="zh-CN" w:bidi="ar"/>
              </w:rPr>
              <w:t>需求</w:t>
            </w:r>
            <w:r>
              <w:rPr>
                <w:rFonts w:hint="eastAsia" w:ascii="宋体" w:hAnsi="宋体" w:eastAsia="宋体" w:cs="宋体"/>
                <w:color w:val="auto"/>
                <w:kern w:val="0"/>
                <w:sz w:val="21"/>
                <w:szCs w:val="21"/>
                <w:highlight w:val="none"/>
                <w:lang w:val="en-US" w:eastAsia="zh-CN" w:bidi="ar"/>
              </w:rPr>
              <w:t>，各项指标无负偏离；</w:t>
            </w:r>
          </w:p>
          <w:p w14:paraId="61B38760">
            <w:pPr>
              <w:keepNext w:val="0"/>
              <w:keepLines w:val="0"/>
              <w:widowControl/>
              <w:suppressLineNumbers w:val="0"/>
              <w:spacing w:before="0" w:beforeAutospacing="0" w:after="0" w:afterAutospacing="0"/>
              <w:ind w:left="0" w:right="0"/>
              <w:jc w:val="both"/>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二档（4 分）：投保设计、保险条款在满足采购</w:t>
            </w:r>
            <w:r>
              <w:rPr>
                <w:rFonts w:hint="eastAsia" w:ascii="宋体" w:hAnsi="宋体" w:cs="宋体"/>
                <w:color w:val="auto"/>
                <w:kern w:val="0"/>
                <w:sz w:val="21"/>
                <w:szCs w:val="21"/>
                <w:highlight w:val="none"/>
                <w:lang w:val="en-US" w:eastAsia="zh-CN" w:bidi="ar"/>
              </w:rPr>
              <w:t>需求</w:t>
            </w:r>
            <w:r>
              <w:rPr>
                <w:rFonts w:hint="eastAsia" w:ascii="宋体" w:hAnsi="宋体" w:eastAsia="宋体" w:cs="宋体"/>
                <w:color w:val="auto"/>
                <w:kern w:val="0"/>
                <w:sz w:val="21"/>
                <w:szCs w:val="21"/>
                <w:highlight w:val="none"/>
                <w:lang w:val="en-US" w:eastAsia="zh-CN" w:bidi="ar"/>
              </w:rPr>
              <w:t>的前提下，保险责任有一项（除</w:t>
            </w:r>
            <w:r>
              <w:rPr>
                <w:rFonts w:hint="eastAsia" w:ascii="宋体" w:hAnsi="宋体" w:cs="宋体"/>
                <w:color w:val="auto"/>
                <w:kern w:val="0"/>
                <w:sz w:val="21"/>
                <w:szCs w:val="21"/>
                <w:highlight w:val="none"/>
                <w:lang w:val="en-US" w:eastAsia="zh-CN" w:bidi="ar"/>
              </w:rPr>
              <w:t>独立打分的</w:t>
            </w:r>
            <w:r>
              <w:rPr>
                <w:rFonts w:hint="eastAsia" w:ascii="宋体" w:hAnsi="宋体" w:eastAsia="宋体" w:cs="宋体"/>
                <w:color w:val="auto"/>
                <w:kern w:val="0"/>
                <w:sz w:val="21"/>
                <w:szCs w:val="21"/>
                <w:highlight w:val="none"/>
                <w:lang w:val="en-US" w:eastAsia="zh-CN" w:bidi="ar"/>
              </w:rPr>
              <w:t>住院津贴项外）优于招标文件要求的且合理可行的；</w:t>
            </w:r>
          </w:p>
          <w:p w14:paraId="4C8AE0C8">
            <w:pPr>
              <w:keepNext w:val="0"/>
              <w:keepLines w:val="0"/>
              <w:widowControl/>
              <w:numPr>
                <w:ilvl w:val="0"/>
                <w:numId w:val="0"/>
              </w:numPr>
              <w:suppressLineNumbers w:val="0"/>
              <w:spacing w:before="0" w:beforeAutospacing="0" w:after="0" w:afterAutospacing="0"/>
              <w:ind w:left="0" w:right="0"/>
              <w:jc w:val="both"/>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三档（6 分）：投保设计、保险条款在满足采购</w:t>
            </w:r>
            <w:r>
              <w:rPr>
                <w:rFonts w:hint="eastAsia" w:ascii="宋体" w:hAnsi="宋体" w:cs="宋体"/>
                <w:color w:val="auto"/>
                <w:kern w:val="0"/>
                <w:sz w:val="21"/>
                <w:szCs w:val="21"/>
                <w:highlight w:val="none"/>
                <w:lang w:val="en-US" w:eastAsia="zh-CN" w:bidi="ar"/>
              </w:rPr>
              <w:t>需求</w:t>
            </w:r>
            <w:r>
              <w:rPr>
                <w:rFonts w:hint="eastAsia" w:ascii="宋体" w:hAnsi="宋体" w:eastAsia="宋体" w:cs="宋体"/>
                <w:color w:val="auto"/>
                <w:kern w:val="0"/>
                <w:sz w:val="21"/>
                <w:szCs w:val="21"/>
                <w:highlight w:val="none"/>
                <w:lang w:val="en-US" w:eastAsia="zh-CN" w:bidi="ar"/>
              </w:rPr>
              <w:t>的前提下，保险责任有二项或以上（除</w:t>
            </w:r>
            <w:r>
              <w:rPr>
                <w:rFonts w:hint="eastAsia" w:ascii="宋体" w:hAnsi="宋体" w:cs="宋体"/>
                <w:color w:val="auto"/>
                <w:kern w:val="0"/>
                <w:sz w:val="21"/>
                <w:szCs w:val="21"/>
                <w:highlight w:val="none"/>
                <w:lang w:val="en-US" w:eastAsia="zh-CN" w:bidi="ar"/>
              </w:rPr>
              <w:t>独立打分的</w:t>
            </w:r>
            <w:r>
              <w:rPr>
                <w:rFonts w:hint="eastAsia" w:ascii="宋体" w:hAnsi="宋体" w:eastAsia="宋体" w:cs="宋体"/>
                <w:color w:val="auto"/>
                <w:kern w:val="0"/>
                <w:sz w:val="21"/>
                <w:szCs w:val="21"/>
                <w:highlight w:val="none"/>
                <w:lang w:val="en-US" w:eastAsia="zh-CN" w:bidi="ar"/>
              </w:rPr>
              <w:t>住院津贴项外）优于招标文件要求的且合理可行的。</w:t>
            </w:r>
          </w:p>
          <w:p w14:paraId="56D17E33">
            <w:pPr>
              <w:keepNext w:val="0"/>
              <w:keepLines w:val="0"/>
              <w:widowControl/>
              <w:suppressLineNumbers w:val="0"/>
              <w:spacing w:before="0" w:beforeAutospacing="0" w:after="0" w:afterAutospacing="0"/>
              <w:ind w:left="0" w:right="0"/>
              <w:jc w:val="both"/>
              <w:rPr>
                <w:rFonts w:hint="eastAsia"/>
                <w:lang w:val="en-US" w:eastAsia="zh-CN"/>
              </w:rPr>
            </w:pPr>
            <w:r>
              <w:rPr>
                <w:rFonts w:hint="eastAsia" w:ascii="宋体" w:hAnsi="宋体" w:eastAsia="宋体" w:cs="宋体"/>
                <w:color w:val="auto"/>
                <w:kern w:val="0"/>
                <w:sz w:val="21"/>
                <w:szCs w:val="21"/>
                <w:highlight w:val="none"/>
                <w:lang w:val="en-US" w:eastAsia="zh-CN" w:bidi="ar"/>
              </w:rPr>
              <w:t>注：未提供不得分。</w:t>
            </w:r>
          </w:p>
          <w:p w14:paraId="2487F593">
            <w:pPr>
              <w:keepNext w:val="0"/>
              <w:keepLines w:val="0"/>
              <w:widowControl/>
              <w:numPr>
                <w:ilvl w:val="0"/>
                <w:numId w:val="0"/>
              </w:numPr>
              <w:suppressLineNumbers w:val="0"/>
              <w:spacing w:before="0" w:beforeAutospacing="0" w:after="0" w:afterAutospacing="0"/>
              <w:ind w:left="0" w:right="0"/>
              <w:jc w:val="both"/>
              <w:rPr>
                <w:rFonts w:hint="eastAsia" w:ascii="宋体" w:hAnsi="宋体" w:eastAsia="宋体" w:cs="宋体"/>
                <w:b/>
                <w:bCs/>
                <w:color w:val="auto"/>
                <w:kern w:val="0"/>
                <w:sz w:val="21"/>
                <w:szCs w:val="21"/>
                <w:highlight w:val="none"/>
                <w:lang w:val="en-US" w:eastAsia="zh-CN" w:bidi="ar"/>
              </w:rPr>
            </w:pPr>
            <w:r>
              <w:rPr>
                <w:rFonts w:hint="eastAsia" w:ascii="宋体" w:hAnsi="宋体" w:eastAsia="宋体" w:cs="宋体"/>
                <w:b/>
                <w:bCs/>
                <w:color w:val="auto"/>
                <w:kern w:val="0"/>
                <w:sz w:val="21"/>
                <w:szCs w:val="21"/>
                <w:highlight w:val="none"/>
                <w:lang w:val="en-US" w:eastAsia="zh-CN" w:bidi="ar"/>
              </w:rPr>
              <w:t>2)承保方案保险责任住院津贴给付</w:t>
            </w:r>
            <w:r>
              <w:rPr>
                <w:rFonts w:hint="eastAsia" w:ascii="宋体" w:hAnsi="宋体" w:eastAsia="宋体" w:cs="宋体"/>
                <w:b/>
                <w:bCs/>
                <w:strike w:val="0"/>
                <w:dstrike w:val="0"/>
                <w:color w:val="auto"/>
                <w:kern w:val="0"/>
                <w:sz w:val="21"/>
                <w:szCs w:val="21"/>
                <w:highlight w:val="none"/>
                <w:lang w:val="en-US" w:eastAsia="zh-CN" w:bidi="ar"/>
              </w:rPr>
              <w:t>保险</w:t>
            </w:r>
            <w:r>
              <w:rPr>
                <w:rFonts w:hint="eastAsia" w:ascii="宋体" w:hAnsi="宋体" w:eastAsia="宋体" w:cs="宋体"/>
                <w:b/>
                <w:bCs/>
                <w:color w:val="auto"/>
                <w:kern w:val="0"/>
                <w:sz w:val="21"/>
                <w:szCs w:val="21"/>
                <w:highlight w:val="none"/>
                <w:lang w:val="en-US" w:eastAsia="zh-CN" w:bidi="ar"/>
              </w:rPr>
              <w:t>金额分（满分16分）</w:t>
            </w:r>
          </w:p>
          <w:tbl>
            <w:tblPr>
              <w:tblStyle w:val="40"/>
              <w:tblW w:w="0" w:type="auto"/>
              <w:tblInd w:w="-3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3"/>
              <w:gridCol w:w="1285"/>
              <w:gridCol w:w="1118"/>
              <w:gridCol w:w="2912"/>
              <w:gridCol w:w="894"/>
            </w:tblGrid>
            <w:tr w14:paraId="7336C4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9" w:hRule="atLeast"/>
              </w:trPr>
              <w:tc>
                <w:tcPr>
                  <w:tcW w:w="0" w:type="auto"/>
                  <w:noWrap w:val="0"/>
                  <w:vAlign w:val="top"/>
                </w:tcPr>
                <w:p w14:paraId="62630E46">
                  <w:pPr>
                    <w:keepNext w:val="0"/>
                    <w:keepLines w:val="0"/>
                    <w:widowControl/>
                    <w:suppressLineNumbers w:val="0"/>
                    <w:spacing w:before="0" w:beforeAutospacing="0" w:after="0" w:afterAutospacing="0"/>
                    <w:ind w:left="0" w:right="0"/>
                    <w:jc w:val="both"/>
                    <w:rPr>
                      <w:rFonts w:hint="eastAsia" w:ascii="宋体" w:hAnsi="宋体" w:eastAsia="宋体" w:cs="宋体"/>
                      <w:strike w:val="0"/>
                      <w:dstrike w:val="0"/>
                      <w:color w:val="auto"/>
                      <w:kern w:val="0"/>
                      <w:sz w:val="21"/>
                      <w:szCs w:val="21"/>
                      <w:highlight w:val="none"/>
                      <w:lang w:val="en-US" w:eastAsia="zh-CN" w:bidi="ar"/>
                    </w:rPr>
                  </w:pPr>
                  <w:r>
                    <w:rPr>
                      <w:rFonts w:hint="eastAsia" w:ascii="宋体" w:hAnsi="宋体" w:eastAsia="宋体" w:cs="宋体"/>
                      <w:strike w:val="0"/>
                      <w:dstrike w:val="0"/>
                      <w:color w:val="auto"/>
                      <w:kern w:val="0"/>
                      <w:sz w:val="21"/>
                      <w:szCs w:val="21"/>
                      <w:highlight w:val="none"/>
                      <w:lang w:val="en-US" w:eastAsia="zh-CN" w:bidi="ar"/>
                    </w:rPr>
                    <w:t>序号</w:t>
                  </w:r>
                </w:p>
              </w:tc>
              <w:tc>
                <w:tcPr>
                  <w:tcW w:w="0" w:type="auto"/>
                  <w:noWrap w:val="0"/>
                  <w:vAlign w:val="top"/>
                </w:tcPr>
                <w:p w14:paraId="0C603F35">
                  <w:pPr>
                    <w:keepNext w:val="0"/>
                    <w:keepLines w:val="0"/>
                    <w:widowControl/>
                    <w:suppressLineNumbers w:val="0"/>
                    <w:spacing w:before="0" w:beforeAutospacing="0" w:after="0" w:afterAutospacing="0"/>
                    <w:ind w:left="0" w:right="0"/>
                    <w:jc w:val="both"/>
                    <w:rPr>
                      <w:rFonts w:hint="eastAsia" w:ascii="宋体" w:hAnsi="宋体" w:eastAsia="宋体" w:cs="宋体"/>
                      <w:strike w:val="0"/>
                      <w:dstrike w:val="0"/>
                      <w:color w:val="auto"/>
                      <w:kern w:val="0"/>
                      <w:sz w:val="21"/>
                      <w:szCs w:val="21"/>
                      <w:highlight w:val="none"/>
                      <w:lang w:val="en-US" w:eastAsia="zh-CN" w:bidi="ar"/>
                    </w:rPr>
                  </w:pPr>
                  <w:r>
                    <w:rPr>
                      <w:rFonts w:hint="eastAsia" w:ascii="宋体" w:hAnsi="宋体" w:eastAsia="宋体" w:cs="宋体"/>
                      <w:strike w:val="0"/>
                      <w:dstrike w:val="0"/>
                      <w:color w:val="auto"/>
                      <w:kern w:val="0"/>
                      <w:sz w:val="21"/>
                      <w:szCs w:val="21"/>
                      <w:highlight w:val="none"/>
                      <w:lang w:val="en-US" w:eastAsia="zh-CN" w:bidi="ar"/>
                    </w:rPr>
                    <w:t>保险责任</w:t>
                  </w:r>
                </w:p>
              </w:tc>
              <w:tc>
                <w:tcPr>
                  <w:tcW w:w="1118" w:type="dxa"/>
                  <w:noWrap w:val="0"/>
                  <w:vAlign w:val="top"/>
                </w:tcPr>
                <w:p w14:paraId="1A3213D5">
                  <w:pPr>
                    <w:keepNext w:val="0"/>
                    <w:keepLines w:val="0"/>
                    <w:widowControl/>
                    <w:suppressLineNumbers w:val="0"/>
                    <w:spacing w:before="0" w:beforeAutospacing="0" w:after="0" w:afterAutospacing="0"/>
                    <w:ind w:left="0" w:right="0"/>
                    <w:jc w:val="both"/>
                    <w:rPr>
                      <w:rFonts w:hint="eastAsia" w:ascii="宋体" w:hAnsi="宋体" w:eastAsia="宋体" w:cs="宋体"/>
                      <w:strike w:val="0"/>
                      <w:dstrike w:val="0"/>
                      <w:color w:val="auto"/>
                      <w:kern w:val="0"/>
                      <w:sz w:val="21"/>
                      <w:szCs w:val="21"/>
                      <w:highlight w:val="none"/>
                      <w:lang w:val="en-US" w:eastAsia="zh-CN" w:bidi="ar"/>
                    </w:rPr>
                  </w:pPr>
                  <w:r>
                    <w:rPr>
                      <w:rFonts w:hint="eastAsia" w:ascii="宋体" w:hAnsi="宋体" w:eastAsia="宋体" w:cs="宋体"/>
                      <w:strike w:val="0"/>
                      <w:dstrike w:val="0"/>
                      <w:color w:val="auto"/>
                      <w:kern w:val="0"/>
                      <w:sz w:val="21"/>
                      <w:szCs w:val="21"/>
                      <w:highlight w:val="none"/>
                      <w:lang w:val="en-US" w:eastAsia="zh-CN" w:bidi="ar"/>
                    </w:rPr>
                    <w:t>招标文件要求的保险金额</w:t>
                  </w:r>
                </w:p>
              </w:tc>
              <w:tc>
                <w:tcPr>
                  <w:tcW w:w="2912" w:type="dxa"/>
                  <w:noWrap w:val="0"/>
                  <w:vAlign w:val="top"/>
                </w:tcPr>
                <w:p w14:paraId="3D1DD508">
                  <w:pPr>
                    <w:keepNext w:val="0"/>
                    <w:keepLines w:val="0"/>
                    <w:widowControl/>
                    <w:suppressLineNumbers w:val="0"/>
                    <w:spacing w:before="0" w:beforeAutospacing="0" w:after="0" w:afterAutospacing="0"/>
                    <w:ind w:left="0" w:right="0"/>
                    <w:jc w:val="both"/>
                    <w:rPr>
                      <w:rFonts w:hint="eastAsia" w:ascii="宋体" w:hAnsi="宋体" w:eastAsia="宋体" w:cs="宋体"/>
                      <w:strike w:val="0"/>
                      <w:dstrike w:val="0"/>
                      <w:color w:val="auto"/>
                      <w:kern w:val="0"/>
                      <w:sz w:val="21"/>
                      <w:szCs w:val="21"/>
                      <w:highlight w:val="none"/>
                      <w:lang w:val="en-US" w:eastAsia="zh-CN" w:bidi="ar"/>
                    </w:rPr>
                  </w:pPr>
                  <w:r>
                    <w:rPr>
                      <w:rFonts w:hint="eastAsia" w:ascii="宋体" w:hAnsi="宋体" w:eastAsia="宋体" w:cs="宋体"/>
                      <w:strike w:val="0"/>
                      <w:dstrike w:val="0"/>
                      <w:color w:val="auto"/>
                      <w:kern w:val="0"/>
                      <w:sz w:val="21"/>
                      <w:szCs w:val="21"/>
                      <w:highlight w:val="none"/>
                      <w:lang w:val="en-US" w:eastAsia="zh-CN" w:bidi="ar"/>
                    </w:rPr>
                    <w:t>投标人承诺给付保险金额</w:t>
                  </w:r>
                </w:p>
              </w:tc>
              <w:tc>
                <w:tcPr>
                  <w:tcW w:w="894" w:type="dxa"/>
                  <w:noWrap w:val="0"/>
                  <w:vAlign w:val="top"/>
                </w:tcPr>
                <w:p w14:paraId="12C5C57A">
                  <w:pPr>
                    <w:keepNext w:val="0"/>
                    <w:keepLines w:val="0"/>
                    <w:widowControl/>
                    <w:suppressLineNumbers w:val="0"/>
                    <w:spacing w:before="0" w:beforeAutospacing="0" w:after="0" w:afterAutospacing="0"/>
                    <w:ind w:left="0" w:right="0"/>
                    <w:jc w:val="both"/>
                    <w:rPr>
                      <w:rFonts w:hint="eastAsia" w:ascii="宋体" w:hAnsi="宋体" w:eastAsia="宋体" w:cs="宋体"/>
                      <w:strike w:val="0"/>
                      <w:dstrike w:val="0"/>
                      <w:color w:val="auto"/>
                      <w:kern w:val="0"/>
                      <w:sz w:val="21"/>
                      <w:szCs w:val="21"/>
                      <w:highlight w:val="none"/>
                      <w:lang w:val="en-US" w:eastAsia="zh-CN" w:bidi="ar"/>
                    </w:rPr>
                  </w:pPr>
                  <w:r>
                    <w:rPr>
                      <w:rFonts w:hint="eastAsia" w:ascii="宋体" w:hAnsi="宋体" w:eastAsia="宋体" w:cs="宋体"/>
                      <w:strike w:val="0"/>
                      <w:dstrike w:val="0"/>
                      <w:color w:val="auto"/>
                      <w:kern w:val="0"/>
                      <w:sz w:val="21"/>
                      <w:szCs w:val="21"/>
                      <w:highlight w:val="none"/>
                      <w:lang w:val="en-US" w:eastAsia="zh-CN" w:bidi="ar"/>
                    </w:rPr>
                    <w:t>得分</w:t>
                  </w:r>
                </w:p>
              </w:tc>
            </w:tr>
            <w:tr w14:paraId="110EC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93" w:hRule="atLeast"/>
              </w:trPr>
              <w:tc>
                <w:tcPr>
                  <w:tcW w:w="0" w:type="auto"/>
                  <w:noWrap w:val="0"/>
                  <w:vAlign w:val="top"/>
                </w:tcPr>
                <w:p w14:paraId="63B223EF">
                  <w:pPr>
                    <w:keepNext w:val="0"/>
                    <w:keepLines w:val="0"/>
                    <w:widowControl/>
                    <w:suppressLineNumbers w:val="0"/>
                    <w:spacing w:before="0" w:beforeAutospacing="0" w:after="0" w:afterAutospacing="0"/>
                    <w:ind w:left="0" w:right="0"/>
                    <w:jc w:val="both"/>
                    <w:rPr>
                      <w:rFonts w:hint="eastAsia" w:ascii="宋体" w:hAnsi="宋体" w:eastAsia="宋体" w:cs="宋体"/>
                      <w:strike w:val="0"/>
                      <w:dstrike w:val="0"/>
                      <w:color w:val="auto"/>
                      <w:kern w:val="0"/>
                      <w:sz w:val="21"/>
                      <w:szCs w:val="21"/>
                      <w:highlight w:val="none"/>
                      <w:lang w:val="en-US" w:eastAsia="zh-CN" w:bidi="ar"/>
                    </w:rPr>
                  </w:pPr>
                  <w:r>
                    <w:rPr>
                      <w:rFonts w:hint="eastAsia" w:ascii="宋体" w:hAnsi="宋体" w:eastAsia="宋体" w:cs="宋体"/>
                      <w:strike w:val="0"/>
                      <w:dstrike w:val="0"/>
                      <w:color w:val="auto"/>
                      <w:kern w:val="0"/>
                      <w:sz w:val="21"/>
                      <w:szCs w:val="21"/>
                      <w:highlight w:val="none"/>
                      <w:lang w:val="en-US" w:eastAsia="zh-CN" w:bidi="ar"/>
                    </w:rPr>
                    <w:t>1</w:t>
                  </w:r>
                </w:p>
              </w:tc>
              <w:tc>
                <w:tcPr>
                  <w:tcW w:w="0" w:type="auto"/>
                  <w:noWrap w:val="0"/>
                  <w:vAlign w:val="top"/>
                </w:tcPr>
                <w:p w14:paraId="2F3BB6B1">
                  <w:pPr>
                    <w:keepNext w:val="0"/>
                    <w:keepLines w:val="0"/>
                    <w:widowControl/>
                    <w:suppressLineNumbers w:val="0"/>
                    <w:spacing w:before="0" w:beforeAutospacing="0" w:after="0" w:afterAutospacing="0"/>
                    <w:ind w:left="0" w:right="0"/>
                    <w:jc w:val="both"/>
                    <w:rPr>
                      <w:rFonts w:hint="eastAsia" w:ascii="宋体" w:hAnsi="宋体" w:eastAsia="宋体" w:cs="宋体"/>
                      <w:strike w:val="0"/>
                      <w:dstrike w:val="0"/>
                      <w:color w:val="auto"/>
                      <w:kern w:val="0"/>
                      <w:sz w:val="21"/>
                      <w:szCs w:val="21"/>
                      <w:highlight w:val="none"/>
                      <w:lang w:val="en-US" w:eastAsia="zh-CN" w:bidi="ar"/>
                    </w:rPr>
                  </w:pPr>
                  <w:r>
                    <w:rPr>
                      <w:rFonts w:hint="eastAsia" w:ascii="仿宋" w:hAnsi="仿宋" w:eastAsia="仿宋" w:cs="仿宋"/>
                      <w:strike w:val="0"/>
                      <w:dstrike w:val="0"/>
                      <w:color w:val="auto"/>
                      <w:kern w:val="0"/>
                      <w:sz w:val="24"/>
                      <w:szCs w:val="24"/>
                      <w:highlight w:val="none"/>
                      <w:lang w:val="en-US" w:eastAsia="zh-CN" w:bidi="ar"/>
                    </w:rPr>
                    <w:t>三级、二级医院的特级护理住院津贴</w:t>
                  </w:r>
                </w:p>
              </w:tc>
              <w:tc>
                <w:tcPr>
                  <w:tcW w:w="1118" w:type="dxa"/>
                  <w:noWrap w:val="0"/>
                  <w:vAlign w:val="top"/>
                </w:tcPr>
                <w:p w14:paraId="6DAA56B6">
                  <w:pPr>
                    <w:keepNext w:val="0"/>
                    <w:keepLines w:val="0"/>
                    <w:widowControl/>
                    <w:suppressLineNumbers w:val="0"/>
                    <w:spacing w:before="0" w:beforeAutospacing="0" w:after="0" w:afterAutospacing="0"/>
                    <w:ind w:left="0" w:right="0"/>
                    <w:jc w:val="both"/>
                    <w:rPr>
                      <w:rFonts w:hint="eastAsia" w:ascii="宋体" w:hAnsi="宋体" w:eastAsia="宋体" w:cs="宋体"/>
                      <w:strike w:val="0"/>
                      <w:dstrike w:val="0"/>
                      <w:color w:val="auto"/>
                      <w:kern w:val="0"/>
                      <w:sz w:val="21"/>
                      <w:szCs w:val="21"/>
                      <w:highlight w:val="none"/>
                      <w:lang w:val="en-US" w:eastAsia="zh-CN" w:bidi="ar"/>
                    </w:rPr>
                  </w:pPr>
                  <w:r>
                    <w:rPr>
                      <w:rFonts w:hint="eastAsia" w:ascii="宋体" w:hAnsi="宋体" w:eastAsia="宋体" w:cs="宋体"/>
                      <w:strike w:val="0"/>
                      <w:dstrike w:val="0"/>
                      <w:color w:val="auto"/>
                      <w:kern w:val="0"/>
                      <w:sz w:val="21"/>
                      <w:szCs w:val="21"/>
                      <w:highlight w:val="none"/>
                      <w:lang w:val="en-US" w:eastAsia="zh-CN" w:bidi="ar"/>
                    </w:rPr>
                    <w:t>190元/天</w:t>
                  </w:r>
                </w:p>
              </w:tc>
              <w:tc>
                <w:tcPr>
                  <w:tcW w:w="2912" w:type="dxa"/>
                  <w:noWrap w:val="0"/>
                  <w:vAlign w:val="top"/>
                </w:tcPr>
                <w:p w14:paraId="43DB2F2D">
                  <w:pPr>
                    <w:keepNext w:val="0"/>
                    <w:keepLines w:val="0"/>
                    <w:widowControl/>
                    <w:suppressLineNumbers w:val="0"/>
                    <w:spacing w:before="0" w:beforeAutospacing="0" w:after="0" w:afterAutospacing="0"/>
                    <w:ind w:left="0" w:right="0"/>
                    <w:jc w:val="both"/>
                    <w:rPr>
                      <w:rFonts w:hint="eastAsia" w:ascii="宋体" w:hAnsi="宋体" w:eastAsia="宋体" w:cs="宋体"/>
                      <w:strike w:val="0"/>
                      <w:dstrike w:val="0"/>
                      <w:color w:val="auto"/>
                      <w:kern w:val="0"/>
                      <w:sz w:val="21"/>
                      <w:szCs w:val="21"/>
                      <w:highlight w:val="none"/>
                      <w:lang w:val="en-US" w:eastAsia="zh-CN" w:bidi="ar"/>
                    </w:rPr>
                  </w:pPr>
                  <w:r>
                    <w:rPr>
                      <w:rFonts w:hint="eastAsia" w:ascii="仿宋" w:hAnsi="仿宋" w:eastAsia="仿宋" w:cs="仿宋"/>
                      <w:strike w:val="0"/>
                      <w:dstrike w:val="0"/>
                      <w:color w:val="auto"/>
                      <w:kern w:val="0"/>
                      <w:sz w:val="24"/>
                      <w:szCs w:val="24"/>
                      <w:highlight w:val="none"/>
                      <w:lang w:val="en-US" w:eastAsia="zh-CN" w:bidi="ar"/>
                    </w:rPr>
                    <w:t>190+X元/份;0≤X≤30，报价为5的倍数递增，高于30按30计，得分为(X</w:t>
                  </w:r>
                  <w:r>
                    <w:rPr>
                      <w:rFonts w:hint="default" w:ascii="仿宋" w:hAnsi="仿宋" w:eastAsia="仿宋" w:cs="仿宋"/>
                      <w:strike w:val="0"/>
                      <w:dstrike w:val="0"/>
                      <w:color w:val="auto"/>
                      <w:kern w:val="0"/>
                      <w:sz w:val="24"/>
                      <w:szCs w:val="24"/>
                      <w:highlight w:val="none"/>
                      <w:lang w:val="en-US" w:eastAsia="zh-CN" w:bidi="ar"/>
                    </w:rPr>
                    <w:t>÷</w:t>
                  </w:r>
                  <w:r>
                    <w:rPr>
                      <w:rFonts w:hint="eastAsia" w:ascii="仿宋" w:hAnsi="仿宋" w:eastAsia="仿宋" w:cs="仿宋"/>
                      <w:strike w:val="0"/>
                      <w:dstrike w:val="0"/>
                      <w:color w:val="auto"/>
                      <w:kern w:val="0"/>
                      <w:sz w:val="24"/>
                      <w:szCs w:val="24"/>
                      <w:highlight w:val="none"/>
                      <w:lang w:val="en-US" w:eastAsia="zh-CN" w:bidi="ar"/>
                    </w:rPr>
                    <w:t>30)</w:t>
                  </w:r>
                  <w:r>
                    <w:rPr>
                      <w:rFonts w:hint="default" w:ascii="仿宋" w:hAnsi="仿宋" w:eastAsia="仿宋" w:cs="仿宋"/>
                      <w:strike w:val="0"/>
                      <w:dstrike w:val="0"/>
                      <w:color w:val="auto"/>
                      <w:kern w:val="0"/>
                      <w:sz w:val="24"/>
                      <w:szCs w:val="24"/>
                      <w:highlight w:val="none"/>
                      <w:lang w:val="en-US" w:eastAsia="zh-CN" w:bidi="ar"/>
                    </w:rPr>
                    <w:t>×</w:t>
                  </w:r>
                  <w:r>
                    <w:rPr>
                      <w:rFonts w:hint="eastAsia" w:ascii="仿宋" w:hAnsi="仿宋" w:eastAsia="仿宋" w:cs="仿宋"/>
                      <w:strike w:val="0"/>
                      <w:dstrike w:val="0"/>
                      <w:color w:val="auto"/>
                      <w:kern w:val="0"/>
                      <w:sz w:val="24"/>
                      <w:szCs w:val="24"/>
                      <w:highlight w:val="none"/>
                      <w:lang w:val="en-US" w:eastAsia="zh-CN" w:bidi="ar"/>
                    </w:rPr>
                    <w:t>6=A</w:t>
                  </w:r>
                </w:p>
              </w:tc>
              <w:tc>
                <w:tcPr>
                  <w:tcW w:w="894" w:type="dxa"/>
                  <w:noWrap w:val="0"/>
                  <w:vAlign w:val="top"/>
                </w:tcPr>
                <w:p w14:paraId="16C81575">
                  <w:pPr>
                    <w:keepNext w:val="0"/>
                    <w:keepLines w:val="0"/>
                    <w:widowControl/>
                    <w:suppressLineNumbers w:val="0"/>
                    <w:spacing w:before="0" w:beforeAutospacing="0" w:after="0" w:afterAutospacing="0"/>
                    <w:ind w:left="0" w:right="0"/>
                    <w:jc w:val="both"/>
                    <w:rPr>
                      <w:rFonts w:hint="eastAsia" w:ascii="宋体" w:hAnsi="宋体" w:eastAsia="宋体" w:cs="宋体"/>
                      <w:strike w:val="0"/>
                      <w:dstrike w:val="0"/>
                      <w:color w:val="auto"/>
                      <w:kern w:val="0"/>
                      <w:sz w:val="21"/>
                      <w:szCs w:val="21"/>
                      <w:highlight w:val="none"/>
                      <w:lang w:val="en-US" w:eastAsia="zh-CN" w:bidi="ar"/>
                    </w:rPr>
                  </w:pPr>
                  <w:r>
                    <w:rPr>
                      <w:rFonts w:hint="eastAsia" w:ascii="宋体" w:hAnsi="宋体" w:eastAsia="宋体" w:cs="宋体"/>
                      <w:strike w:val="0"/>
                      <w:dstrike w:val="0"/>
                      <w:color w:val="auto"/>
                      <w:kern w:val="0"/>
                      <w:sz w:val="21"/>
                      <w:szCs w:val="21"/>
                      <w:highlight w:val="none"/>
                      <w:lang w:val="en-US" w:eastAsia="zh-CN" w:bidi="ar"/>
                    </w:rPr>
                    <w:t>A分(满</w:t>
                  </w:r>
                  <w:r>
                    <w:rPr>
                      <w:rFonts w:hint="eastAsia" w:ascii="宋体" w:hAnsi="宋体" w:cs="宋体"/>
                      <w:strike w:val="0"/>
                      <w:dstrike w:val="0"/>
                      <w:color w:val="auto"/>
                      <w:kern w:val="0"/>
                      <w:sz w:val="21"/>
                      <w:szCs w:val="21"/>
                      <w:highlight w:val="none"/>
                      <w:lang w:val="en-US" w:eastAsia="zh-CN" w:bidi="ar"/>
                    </w:rPr>
                    <w:t>6</w:t>
                  </w:r>
                  <w:r>
                    <w:rPr>
                      <w:rFonts w:hint="eastAsia" w:ascii="宋体" w:hAnsi="宋体" w:eastAsia="宋体" w:cs="宋体"/>
                      <w:strike w:val="0"/>
                      <w:dstrike w:val="0"/>
                      <w:color w:val="auto"/>
                      <w:kern w:val="0"/>
                      <w:sz w:val="21"/>
                      <w:szCs w:val="21"/>
                      <w:highlight w:val="none"/>
                      <w:lang w:val="en-US" w:eastAsia="zh-CN" w:bidi="ar"/>
                    </w:rPr>
                    <w:t>分)</w:t>
                  </w:r>
                </w:p>
              </w:tc>
            </w:tr>
            <w:tr w14:paraId="084880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0" w:type="auto"/>
                  <w:noWrap w:val="0"/>
                  <w:vAlign w:val="top"/>
                </w:tcPr>
                <w:p w14:paraId="38B17D13">
                  <w:pPr>
                    <w:keepNext w:val="0"/>
                    <w:keepLines w:val="0"/>
                    <w:widowControl/>
                    <w:suppressLineNumbers w:val="0"/>
                    <w:spacing w:before="0" w:beforeAutospacing="0" w:after="0" w:afterAutospacing="0"/>
                    <w:ind w:left="0" w:right="0"/>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2</w:t>
                  </w:r>
                </w:p>
              </w:tc>
              <w:tc>
                <w:tcPr>
                  <w:tcW w:w="0" w:type="auto"/>
                  <w:noWrap w:val="0"/>
                  <w:vAlign w:val="top"/>
                </w:tcPr>
                <w:p w14:paraId="700927A5">
                  <w:pPr>
                    <w:keepNext w:val="0"/>
                    <w:keepLines w:val="0"/>
                    <w:widowControl/>
                    <w:suppressLineNumbers w:val="0"/>
                    <w:spacing w:before="0" w:beforeAutospacing="0" w:after="0" w:afterAutospacing="0"/>
                    <w:ind w:left="0" w:right="0"/>
                    <w:jc w:val="left"/>
                    <w:rPr>
                      <w:rFonts w:hint="eastAsia" w:ascii="宋体" w:hAnsi="宋体" w:eastAsia="宋体" w:cs="宋体"/>
                      <w:color w:val="auto"/>
                      <w:kern w:val="0"/>
                      <w:sz w:val="21"/>
                      <w:szCs w:val="21"/>
                      <w:highlight w:val="none"/>
                      <w:lang w:val="en-US" w:eastAsia="zh-CN" w:bidi="ar"/>
                    </w:rPr>
                  </w:pPr>
                  <w:r>
                    <w:rPr>
                      <w:rFonts w:hint="eastAsia" w:ascii="仿宋" w:hAnsi="仿宋" w:eastAsia="仿宋" w:cs="仿宋"/>
                      <w:color w:val="auto"/>
                      <w:kern w:val="0"/>
                      <w:sz w:val="24"/>
                      <w:szCs w:val="24"/>
                      <w:highlight w:val="none"/>
                      <w:lang w:val="en-US" w:eastAsia="zh-CN" w:bidi="ar"/>
                    </w:rPr>
                    <w:t>三级医院的三级护理住院津贴</w:t>
                  </w:r>
                </w:p>
              </w:tc>
              <w:tc>
                <w:tcPr>
                  <w:tcW w:w="1118" w:type="dxa"/>
                  <w:noWrap w:val="0"/>
                  <w:vAlign w:val="top"/>
                </w:tcPr>
                <w:p w14:paraId="26631353">
                  <w:pPr>
                    <w:keepNext w:val="0"/>
                    <w:keepLines w:val="0"/>
                    <w:widowControl/>
                    <w:suppressLineNumbers w:val="0"/>
                    <w:spacing w:before="0" w:beforeAutospacing="0" w:after="0" w:afterAutospacing="0"/>
                    <w:ind w:left="0" w:right="0"/>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50元/天</w:t>
                  </w:r>
                </w:p>
              </w:tc>
              <w:tc>
                <w:tcPr>
                  <w:tcW w:w="2912" w:type="dxa"/>
                  <w:noWrap w:val="0"/>
                  <w:vAlign w:val="top"/>
                </w:tcPr>
                <w:p w14:paraId="44228EB7">
                  <w:pPr>
                    <w:keepNext w:val="0"/>
                    <w:keepLines w:val="0"/>
                    <w:widowControl/>
                    <w:suppressLineNumbers w:val="0"/>
                    <w:spacing w:before="0" w:beforeAutospacing="0" w:after="0" w:afterAutospacing="0"/>
                    <w:ind w:left="0" w:right="0"/>
                    <w:jc w:val="left"/>
                    <w:rPr>
                      <w:rFonts w:hint="default" w:ascii="宋体" w:hAnsi="宋体" w:eastAsia="宋体" w:cs="宋体"/>
                      <w:color w:val="auto"/>
                      <w:kern w:val="0"/>
                      <w:sz w:val="21"/>
                      <w:szCs w:val="21"/>
                      <w:highlight w:val="none"/>
                      <w:lang w:val="en-US" w:eastAsia="zh-CN" w:bidi="ar"/>
                    </w:rPr>
                  </w:pPr>
                  <w:r>
                    <w:rPr>
                      <w:rFonts w:hint="eastAsia" w:ascii="仿宋" w:hAnsi="仿宋" w:eastAsia="仿宋" w:cs="仿宋"/>
                      <w:color w:val="auto"/>
                      <w:kern w:val="0"/>
                      <w:sz w:val="24"/>
                      <w:szCs w:val="24"/>
                      <w:highlight w:val="none"/>
                      <w:lang w:val="en-US" w:eastAsia="zh-CN" w:bidi="ar"/>
                    </w:rPr>
                    <w:t>50+X元/天，总分1分,具体计分规则：X</w:t>
                  </w:r>
                  <w:r>
                    <w:rPr>
                      <w:rFonts w:hint="eastAsia" w:ascii="东文宋体" w:hAnsi="东文宋体" w:eastAsia="东文宋体" w:cs="东文宋体"/>
                      <w:color w:val="auto"/>
                      <w:kern w:val="0"/>
                      <w:sz w:val="24"/>
                      <w:szCs w:val="24"/>
                      <w:highlight w:val="none"/>
                      <w:lang w:val="en-US" w:eastAsia="zh-CN" w:bidi="ar"/>
                    </w:rPr>
                    <w:t>≥</w:t>
                  </w:r>
                  <w:r>
                    <w:rPr>
                      <w:rFonts w:hint="eastAsia" w:ascii="仿宋" w:hAnsi="仿宋" w:eastAsia="仿宋" w:cs="仿宋"/>
                      <w:color w:val="auto"/>
                      <w:kern w:val="0"/>
                      <w:sz w:val="24"/>
                      <w:szCs w:val="24"/>
                      <w:highlight w:val="none"/>
                      <w:lang w:val="en-US" w:eastAsia="zh-CN" w:bidi="ar"/>
                    </w:rPr>
                    <w:t>0得1分；X&lt;0该项不得分；该项不得缺项不响应</w:t>
                  </w:r>
                  <w:r>
                    <w:rPr>
                      <w:rFonts w:hint="eastAsia" w:ascii="宋体" w:hAnsi="宋体" w:eastAsia="宋体" w:cs="宋体"/>
                      <w:color w:val="auto"/>
                      <w:kern w:val="0"/>
                      <w:sz w:val="21"/>
                      <w:szCs w:val="21"/>
                      <w:highlight w:val="none"/>
                      <w:lang w:val="en-US" w:eastAsia="zh-CN" w:bidi="ar"/>
                    </w:rPr>
                    <w:t>。</w:t>
                  </w:r>
                </w:p>
              </w:tc>
              <w:tc>
                <w:tcPr>
                  <w:tcW w:w="894" w:type="dxa"/>
                  <w:noWrap w:val="0"/>
                  <w:vAlign w:val="top"/>
                </w:tcPr>
                <w:p w14:paraId="7CC98DDA">
                  <w:pPr>
                    <w:keepNext w:val="0"/>
                    <w:keepLines w:val="0"/>
                    <w:widowControl/>
                    <w:suppressLineNumbers w:val="0"/>
                    <w:spacing w:before="0" w:beforeAutospacing="0" w:after="0" w:afterAutospacing="0"/>
                    <w:ind w:left="0" w:right="0"/>
                    <w:jc w:val="left"/>
                    <w:rPr>
                      <w:rFonts w:hint="eastAsia" w:ascii="宋体" w:hAnsi="宋体" w:eastAsia="宋体" w:cs="宋体"/>
                      <w:color w:val="auto"/>
                      <w:kern w:val="0"/>
                      <w:sz w:val="21"/>
                      <w:szCs w:val="21"/>
                      <w:highlight w:val="none"/>
                      <w:lang w:val="en-US" w:eastAsia="zh-CN" w:bidi="ar"/>
                    </w:rPr>
                  </w:pPr>
                </w:p>
                <w:p w14:paraId="5A88617C">
                  <w:pPr>
                    <w:keepNext w:val="0"/>
                    <w:keepLines w:val="0"/>
                    <w:widowControl/>
                    <w:suppressLineNumbers w:val="0"/>
                    <w:spacing w:before="0" w:beforeAutospacing="0" w:after="0" w:afterAutospacing="0"/>
                    <w:ind w:left="0" w:right="0"/>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B</w:t>
                  </w:r>
                  <w:r>
                    <w:rPr>
                      <w:rFonts w:hint="eastAsia" w:ascii="宋体" w:hAnsi="宋体" w:cs="宋体"/>
                      <w:color w:val="auto"/>
                      <w:kern w:val="0"/>
                      <w:sz w:val="21"/>
                      <w:szCs w:val="21"/>
                      <w:highlight w:val="none"/>
                      <w:lang w:val="en-US" w:eastAsia="zh-CN" w:bidi="ar"/>
                    </w:rPr>
                    <w:t>1</w:t>
                  </w:r>
                  <w:r>
                    <w:rPr>
                      <w:rFonts w:hint="eastAsia" w:ascii="宋体" w:hAnsi="宋体" w:eastAsia="宋体" w:cs="宋体"/>
                      <w:color w:val="auto"/>
                      <w:kern w:val="0"/>
                      <w:sz w:val="21"/>
                      <w:szCs w:val="21"/>
                      <w:highlight w:val="none"/>
                      <w:lang w:val="en-US" w:eastAsia="zh-CN" w:bidi="ar"/>
                    </w:rPr>
                    <w:t>分(满分</w:t>
                  </w:r>
                  <w:r>
                    <w:rPr>
                      <w:rFonts w:hint="eastAsia" w:ascii="宋体" w:hAnsi="宋体" w:cs="宋体"/>
                      <w:color w:val="auto"/>
                      <w:kern w:val="0"/>
                      <w:sz w:val="21"/>
                      <w:szCs w:val="21"/>
                      <w:highlight w:val="none"/>
                      <w:lang w:val="en-US" w:eastAsia="zh-CN" w:bidi="ar"/>
                    </w:rPr>
                    <w:t>1</w:t>
                  </w:r>
                  <w:r>
                    <w:rPr>
                      <w:rFonts w:hint="eastAsia" w:ascii="宋体" w:hAnsi="宋体" w:eastAsia="宋体" w:cs="宋体"/>
                      <w:color w:val="auto"/>
                      <w:kern w:val="0"/>
                      <w:sz w:val="21"/>
                      <w:szCs w:val="21"/>
                      <w:highlight w:val="none"/>
                      <w:lang w:val="en-US" w:eastAsia="zh-CN" w:bidi="ar"/>
                    </w:rPr>
                    <w:t>分)</w:t>
                  </w:r>
                </w:p>
              </w:tc>
            </w:tr>
            <w:tr w14:paraId="095AD0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3" w:hRule="atLeast"/>
              </w:trPr>
              <w:tc>
                <w:tcPr>
                  <w:tcW w:w="0" w:type="auto"/>
                  <w:noWrap w:val="0"/>
                  <w:vAlign w:val="top"/>
                </w:tcPr>
                <w:p w14:paraId="6E25EDDF">
                  <w:pPr>
                    <w:keepNext w:val="0"/>
                    <w:keepLines w:val="0"/>
                    <w:widowControl/>
                    <w:suppressLineNumbers w:val="0"/>
                    <w:spacing w:before="0" w:beforeAutospacing="0" w:after="0" w:afterAutospacing="0"/>
                    <w:ind w:left="0" w:right="0"/>
                    <w:jc w:val="left"/>
                    <w:rPr>
                      <w:rFonts w:hint="default" w:ascii="宋体" w:hAnsi="宋体" w:eastAsia="宋体" w:cs="宋体"/>
                      <w:color w:val="auto"/>
                      <w:kern w:val="0"/>
                      <w:sz w:val="21"/>
                      <w:szCs w:val="21"/>
                      <w:highlight w:val="none"/>
                      <w:lang w:val="en-US" w:eastAsia="zh-CN" w:bidi="ar"/>
                    </w:rPr>
                  </w:pPr>
                  <w:r>
                    <w:rPr>
                      <w:rFonts w:hint="eastAsia" w:ascii="宋体" w:hAnsi="宋体" w:cs="宋体"/>
                      <w:color w:val="auto"/>
                      <w:kern w:val="0"/>
                      <w:sz w:val="21"/>
                      <w:szCs w:val="21"/>
                      <w:highlight w:val="none"/>
                      <w:lang w:val="en-US" w:eastAsia="zh-CN" w:bidi="ar"/>
                    </w:rPr>
                    <w:t>3</w:t>
                  </w:r>
                </w:p>
              </w:tc>
              <w:tc>
                <w:tcPr>
                  <w:tcW w:w="0" w:type="auto"/>
                  <w:noWrap w:val="0"/>
                  <w:vAlign w:val="top"/>
                </w:tcPr>
                <w:p w14:paraId="10323D4D">
                  <w:pPr>
                    <w:keepNext w:val="0"/>
                    <w:keepLines w:val="0"/>
                    <w:widowControl/>
                    <w:suppressLineNumbers w:val="0"/>
                    <w:spacing w:before="0" w:beforeAutospacing="0" w:after="0" w:afterAutospacing="0"/>
                    <w:ind w:left="0" w:right="0"/>
                    <w:jc w:val="left"/>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val="en-US" w:eastAsia="zh-CN" w:bidi="ar"/>
                    </w:rPr>
                    <w:t>二级医院的三级护理住院津贴</w:t>
                  </w:r>
                </w:p>
              </w:tc>
              <w:tc>
                <w:tcPr>
                  <w:tcW w:w="1118" w:type="dxa"/>
                  <w:noWrap w:val="0"/>
                  <w:vAlign w:val="top"/>
                </w:tcPr>
                <w:p w14:paraId="076B0214">
                  <w:pPr>
                    <w:keepNext w:val="0"/>
                    <w:keepLines w:val="0"/>
                    <w:widowControl/>
                    <w:suppressLineNumbers w:val="0"/>
                    <w:spacing w:before="0" w:beforeAutospacing="0" w:after="0" w:afterAutospacing="0"/>
                    <w:ind w:left="0" w:right="0"/>
                    <w:jc w:val="left"/>
                    <w:rPr>
                      <w:rFonts w:hint="eastAsia" w:ascii="宋体" w:hAnsi="宋体" w:eastAsia="宋体" w:cs="宋体"/>
                      <w:color w:val="auto"/>
                      <w:kern w:val="0"/>
                      <w:sz w:val="21"/>
                      <w:szCs w:val="21"/>
                      <w:highlight w:val="none"/>
                      <w:lang w:val="en-US" w:eastAsia="zh-CN" w:bidi="ar"/>
                    </w:rPr>
                  </w:pPr>
                  <w:r>
                    <w:rPr>
                      <w:rFonts w:hint="eastAsia" w:ascii="仿宋" w:hAnsi="仿宋" w:eastAsia="仿宋" w:cs="仿宋"/>
                      <w:color w:val="auto"/>
                      <w:kern w:val="0"/>
                      <w:sz w:val="24"/>
                      <w:szCs w:val="24"/>
                      <w:highlight w:val="none"/>
                      <w:lang w:val="en-US" w:eastAsia="zh-CN" w:bidi="ar"/>
                    </w:rPr>
                    <w:t>50元/天</w:t>
                  </w:r>
                </w:p>
              </w:tc>
              <w:tc>
                <w:tcPr>
                  <w:tcW w:w="2912" w:type="dxa"/>
                  <w:noWrap w:val="0"/>
                  <w:vAlign w:val="top"/>
                </w:tcPr>
                <w:p w14:paraId="24D27CB3">
                  <w:pPr>
                    <w:keepNext w:val="0"/>
                    <w:keepLines w:val="0"/>
                    <w:widowControl/>
                    <w:suppressLineNumbers w:val="0"/>
                    <w:spacing w:before="0" w:beforeAutospacing="0" w:after="0" w:afterAutospacing="0"/>
                    <w:ind w:left="0" w:right="0"/>
                    <w:jc w:val="left"/>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val="en-US" w:eastAsia="zh-CN" w:bidi="ar"/>
                    </w:rPr>
                    <w:t>50+X元/天;</w:t>
                  </w:r>
                  <w:r>
                    <w:rPr>
                      <w:rFonts w:hint="eastAsia" w:ascii="仿宋" w:hAnsi="仿宋" w:eastAsia="仿宋" w:cs="仿宋"/>
                      <w:strike w:val="0"/>
                      <w:dstrike w:val="0"/>
                      <w:color w:val="auto"/>
                      <w:kern w:val="0"/>
                      <w:sz w:val="24"/>
                      <w:szCs w:val="24"/>
                      <w:highlight w:val="none"/>
                      <w:lang w:val="en-US" w:eastAsia="zh-CN" w:bidi="ar"/>
                    </w:rPr>
                    <w:t>0≤X≤30</w:t>
                  </w:r>
                  <w:r>
                    <w:rPr>
                      <w:rFonts w:hint="eastAsia" w:ascii="仿宋" w:hAnsi="仿宋" w:eastAsia="仿宋" w:cs="仿宋"/>
                      <w:color w:val="auto"/>
                      <w:kern w:val="0"/>
                      <w:sz w:val="24"/>
                      <w:szCs w:val="24"/>
                      <w:highlight w:val="none"/>
                      <w:lang w:val="en-US" w:eastAsia="zh-CN" w:bidi="ar"/>
                    </w:rPr>
                    <w:t>，报价按10的倍数递增，高于30按30计，得分为：总分3分，具体计分规则：(X</w:t>
                  </w:r>
                  <w:r>
                    <w:rPr>
                      <w:rFonts w:hint="default" w:ascii="仿宋" w:hAnsi="仿宋" w:eastAsia="仿宋" w:cs="仿宋"/>
                      <w:color w:val="auto"/>
                      <w:kern w:val="0"/>
                      <w:sz w:val="24"/>
                      <w:szCs w:val="24"/>
                      <w:highlight w:val="none"/>
                      <w:lang w:val="en-US" w:eastAsia="zh-CN" w:bidi="ar"/>
                    </w:rPr>
                    <w:t>÷</w:t>
                  </w:r>
                  <w:r>
                    <w:rPr>
                      <w:rFonts w:hint="eastAsia" w:ascii="仿宋" w:hAnsi="仿宋" w:eastAsia="仿宋" w:cs="仿宋"/>
                      <w:color w:val="auto"/>
                      <w:kern w:val="0"/>
                      <w:sz w:val="24"/>
                      <w:szCs w:val="24"/>
                      <w:highlight w:val="none"/>
                      <w:lang w:val="en-US" w:eastAsia="zh-CN" w:bidi="ar"/>
                    </w:rPr>
                    <w:t>30)</w:t>
                  </w:r>
                  <w:r>
                    <w:rPr>
                      <w:rFonts w:hint="default" w:ascii="仿宋" w:hAnsi="仿宋" w:eastAsia="仿宋" w:cs="仿宋"/>
                      <w:color w:val="auto"/>
                      <w:kern w:val="0"/>
                      <w:sz w:val="24"/>
                      <w:szCs w:val="24"/>
                      <w:highlight w:val="none"/>
                      <w:lang w:val="en-US" w:eastAsia="zh-CN" w:bidi="ar"/>
                    </w:rPr>
                    <w:t>×</w:t>
                  </w:r>
                  <w:r>
                    <w:rPr>
                      <w:rFonts w:hint="eastAsia" w:ascii="仿宋" w:hAnsi="仿宋" w:eastAsia="仿宋" w:cs="仿宋"/>
                      <w:color w:val="auto"/>
                      <w:kern w:val="0"/>
                      <w:sz w:val="24"/>
                      <w:szCs w:val="24"/>
                      <w:highlight w:val="none"/>
                      <w:lang w:val="en-US" w:eastAsia="zh-CN" w:bidi="ar"/>
                    </w:rPr>
                    <w:t>3=B2</w:t>
                  </w:r>
                </w:p>
                <w:p w14:paraId="05235A08">
                  <w:pPr>
                    <w:keepNext w:val="0"/>
                    <w:keepLines w:val="0"/>
                    <w:widowControl/>
                    <w:suppressLineNumbers w:val="0"/>
                    <w:spacing w:before="0" w:beforeAutospacing="0" w:after="0" w:afterAutospacing="0"/>
                    <w:ind w:left="0" w:right="0"/>
                    <w:jc w:val="left"/>
                    <w:rPr>
                      <w:rFonts w:hint="eastAsia" w:ascii="仿宋" w:hAnsi="仿宋" w:eastAsia="仿宋" w:cs="仿宋"/>
                      <w:color w:val="auto"/>
                      <w:kern w:val="0"/>
                      <w:sz w:val="24"/>
                      <w:szCs w:val="24"/>
                      <w:highlight w:val="none"/>
                      <w:lang w:val="en-US" w:eastAsia="zh-CN" w:bidi="ar"/>
                    </w:rPr>
                  </w:pPr>
                </w:p>
              </w:tc>
              <w:tc>
                <w:tcPr>
                  <w:tcW w:w="894" w:type="dxa"/>
                  <w:noWrap w:val="0"/>
                  <w:vAlign w:val="top"/>
                </w:tcPr>
                <w:p w14:paraId="658EAC5B">
                  <w:pPr>
                    <w:keepNext w:val="0"/>
                    <w:keepLines w:val="0"/>
                    <w:widowControl/>
                    <w:suppressLineNumbers w:val="0"/>
                    <w:spacing w:before="0" w:beforeAutospacing="0" w:after="0" w:afterAutospacing="0"/>
                    <w:ind w:left="0" w:right="0"/>
                    <w:jc w:val="left"/>
                    <w:rPr>
                      <w:rFonts w:hint="eastAsia" w:ascii="宋体" w:hAnsi="宋体" w:eastAsia="宋体" w:cs="宋体"/>
                      <w:color w:val="auto"/>
                      <w:kern w:val="0"/>
                      <w:sz w:val="21"/>
                      <w:szCs w:val="21"/>
                      <w:highlight w:val="none"/>
                      <w:lang w:val="en-US" w:eastAsia="zh-CN" w:bidi="ar"/>
                    </w:rPr>
                  </w:pPr>
                  <w:r>
                    <w:rPr>
                      <w:rFonts w:hint="eastAsia" w:ascii="仿宋" w:hAnsi="仿宋" w:eastAsia="仿宋" w:cs="仿宋"/>
                      <w:color w:val="auto"/>
                      <w:kern w:val="0"/>
                      <w:sz w:val="24"/>
                      <w:szCs w:val="24"/>
                      <w:highlight w:val="none"/>
                      <w:lang w:val="en-US" w:eastAsia="zh-CN" w:bidi="ar"/>
                    </w:rPr>
                    <w:t>B2分(满分3分</w:t>
                  </w:r>
                </w:p>
              </w:tc>
            </w:tr>
            <w:tr w14:paraId="29B52E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3" w:hRule="atLeast"/>
              </w:trPr>
              <w:tc>
                <w:tcPr>
                  <w:tcW w:w="0" w:type="auto"/>
                  <w:noWrap w:val="0"/>
                  <w:vAlign w:val="top"/>
                </w:tcPr>
                <w:p w14:paraId="3F7791BB">
                  <w:pPr>
                    <w:keepNext w:val="0"/>
                    <w:keepLines w:val="0"/>
                    <w:widowControl/>
                    <w:suppressLineNumbers w:val="0"/>
                    <w:spacing w:before="0" w:beforeAutospacing="0" w:after="0" w:afterAutospacing="0"/>
                    <w:ind w:left="0" w:right="0"/>
                    <w:jc w:val="left"/>
                    <w:rPr>
                      <w:rFonts w:hint="eastAsia" w:ascii="宋体" w:hAnsi="宋体" w:eastAsia="宋体" w:cs="宋体"/>
                      <w:color w:val="auto"/>
                      <w:kern w:val="0"/>
                      <w:sz w:val="21"/>
                      <w:szCs w:val="21"/>
                      <w:highlight w:val="none"/>
                      <w:lang w:val="en-US" w:eastAsia="zh-CN" w:bidi="ar"/>
                    </w:rPr>
                  </w:pPr>
                  <w:r>
                    <w:rPr>
                      <w:rFonts w:hint="eastAsia" w:ascii="宋体" w:hAnsi="宋体" w:cs="宋体"/>
                      <w:color w:val="auto"/>
                      <w:kern w:val="0"/>
                      <w:sz w:val="21"/>
                      <w:szCs w:val="21"/>
                      <w:highlight w:val="none"/>
                      <w:lang w:val="en-US" w:eastAsia="zh-CN" w:bidi="ar"/>
                    </w:rPr>
                    <w:t>4</w:t>
                  </w:r>
                </w:p>
              </w:tc>
              <w:tc>
                <w:tcPr>
                  <w:tcW w:w="0" w:type="auto"/>
                  <w:noWrap w:val="0"/>
                  <w:vAlign w:val="top"/>
                </w:tcPr>
                <w:p w14:paraId="38D625D7">
                  <w:pPr>
                    <w:keepNext w:val="0"/>
                    <w:keepLines w:val="0"/>
                    <w:widowControl/>
                    <w:suppressLineNumbers w:val="0"/>
                    <w:spacing w:before="0" w:beforeAutospacing="0" w:after="0" w:afterAutospacing="0"/>
                    <w:ind w:left="0" w:right="0"/>
                    <w:jc w:val="left"/>
                    <w:rPr>
                      <w:rFonts w:hint="eastAsia" w:ascii="宋体" w:hAnsi="宋体" w:eastAsia="宋体" w:cs="宋体"/>
                      <w:color w:val="auto"/>
                      <w:kern w:val="0"/>
                      <w:sz w:val="21"/>
                      <w:szCs w:val="21"/>
                      <w:highlight w:val="none"/>
                      <w:lang w:val="en-US" w:eastAsia="zh-CN" w:bidi="ar"/>
                    </w:rPr>
                  </w:pPr>
                  <w:r>
                    <w:rPr>
                      <w:rFonts w:hint="eastAsia" w:ascii="仿宋" w:hAnsi="仿宋" w:eastAsia="仿宋" w:cs="仿宋"/>
                      <w:color w:val="auto"/>
                      <w:kern w:val="0"/>
                      <w:sz w:val="24"/>
                      <w:szCs w:val="24"/>
                      <w:highlight w:val="none"/>
                      <w:lang w:val="en-US" w:eastAsia="zh-CN" w:bidi="ar"/>
                    </w:rPr>
                    <w:t>三级、二级医院的一级护理、二级护理住院津贴</w:t>
                  </w:r>
                </w:p>
              </w:tc>
              <w:tc>
                <w:tcPr>
                  <w:tcW w:w="1118" w:type="dxa"/>
                  <w:noWrap w:val="0"/>
                  <w:vAlign w:val="top"/>
                </w:tcPr>
                <w:p w14:paraId="39F2CC74">
                  <w:pPr>
                    <w:keepNext w:val="0"/>
                    <w:keepLines w:val="0"/>
                    <w:widowControl/>
                    <w:suppressLineNumbers w:val="0"/>
                    <w:spacing w:before="0" w:beforeAutospacing="0" w:after="0" w:afterAutospacing="0"/>
                    <w:ind w:left="0" w:right="0"/>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150元/天</w:t>
                  </w:r>
                </w:p>
              </w:tc>
              <w:tc>
                <w:tcPr>
                  <w:tcW w:w="2912" w:type="dxa"/>
                  <w:noWrap w:val="0"/>
                  <w:vAlign w:val="top"/>
                </w:tcPr>
                <w:p w14:paraId="1F984DCF">
                  <w:pPr>
                    <w:keepNext w:val="0"/>
                    <w:keepLines w:val="0"/>
                    <w:widowControl/>
                    <w:suppressLineNumbers w:val="0"/>
                    <w:spacing w:before="0" w:beforeAutospacing="0" w:after="0" w:afterAutospacing="0"/>
                    <w:ind w:left="0" w:right="0"/>
                    <w:jc w:val="left"/>
                    <w:rPr>
                      <w:rFonts w:hint="eastAsia" w:ascii="宋体" w:hAnsi="宋体" w:eastAsia="宋体" w:cs="宋体"/>
                      <w:color w:val="auto"/>
                      <w:kern w:val="0"/>
                      <w:sz w:val="21"/>
                      <w:szCs w:val="21"/>
                      <w:highlight w:val="none"/>
                      <w:lang w:val="en-US" w:eastAsia="zh-CN" w:bidi="ar"/>
                    </w:rPr>
                  </w:pPr>
                  <w:r>
                    <w:rPr>
                      <w:rFonts w:hint="eastAsia" w:ascii="仿宋" w:hAnsi="仿宋" w:eastAsia="仿宋" w:cs="仿宋"/>
                      <w:color w:val="auto"/>
                      <w:kern w:val="0"/>
                      <w:sz w:val="24"/>
                      <w:szCs w:val="24"/>
                      <w:highlight w:val="none"/>
                      <w:lang w:val="en-US" w:eastAsia="zh-CN" w:bidi="ar"/>
                    </w:rPr>
                    <w:t>150+X元/份;</w:t>
                  </w:r>
                  <w:r>
                    <w:rPr>
                      <w:rFonts w:hint="eastAsia" w:ascii="仿宋" w:hAnsi="仿宋" w:eastAsia="仿宋" w:cs="仿宋"/>
                      <w:strike w:val="0"/>
                      <w:dstrike w:val="0"/>
                      <w:color w:val="auto"/>
                      <w:kern w:val="0"/>
                      <w:sz w:val="24"/>
                      <w:szCs w:val="24"/>
                      <w:highlight w:val="none"/>
                      <w:lang w:val="en-US" w:eastAsia="zh-CN" w:bidi="ar"/>
                    </w:rPr>
                    <w:t>0≤X≤30</w:t>
                  </w:r>
                  <w:r>
                    <w:rPr>
                      <w:rFonts w:hint="eastAsia" w:ascii="仿宋" w:hAnsi="仿宋" w:eastAsia="仿宋" w:cs="仿宋"/>
                      <w:color w:val="auto"/>
                      <w:kern w:val="0"/>
                      <w:sz w:val="24"/>
                      <w:szCs w:val="24"/>
                      <w:highlight w:val="none"/>
                      <w:lang w:val="en-US" w:eastAsia="zh-CN" w:bidi="ar"/>
                    </w:rPr>
                    <w:t>，报价按5的倍数递增，高于30按30计，得分为(X</w:t>
                  </w:r>
                  <w:r>
                    <w:rPr>
                      <w:rFonts w:hint="default" w:ascii="仿宋" w:hAnsi="仿宋" w:eastAsia="仿宋" w:cs="仿宋"/>
                      <w:color w:val="auto"/>
                      <w:kern w:val="0"/>
                      <w:sz w:val="24"/>
                      <w:szCs w:val="24"/>
                      <w:highlight w:val="none"/>
                      <w:lang w:val="en-US" w:eastAsia="zh-CN" w:bidi="ar"/>
                    </w:rPr>
                    <w:t>÷</w:t>
                  </w:r>
                  <w:r>
                    <w:rPr>
                      <w:rFonts w:hint="eastAsia" w:ascii="仿宋" w:hAnsi="仿宋" w:eastAsia="仿宋" w:cs="仿宋"/>
                      <w:color w:val="auto"/>
                      <w:kern w:val="0"/>
                      <w:sz w:val="24"/>
                      <w:szCs w:val="24"/>
                      <w:highlight w:val="none"/>
                      <w:lang w:val="en-US" w:eastAsia="zh-CN" w:bidi="ar"/>
                    </w:rPr>
                    <w:t>30)</w:t>
                  </w:r>
                  <w:r>
                    <w:rPr>
                      <w:rFonts w:hint="default" w:ascii="仿宋" w:hAnsi="仿宋" w:eastAsia="仿宋" w:cs="仿宋"/>
                      <w:color w:val="auto"/>
                      <w:kern w:val="0"/>
                      <w:sz w:val="24"/>
                      <w:szCs w:val="24"/>
                      <w:highlight w:val="none"/>
                      <w:lang w:val="en-US" w:eastAsia="zh-CN" w:bidi="ar"/>
                    </w:rPr>
                    <w:t>×</w:t>
                  </w:r>
                  <w:r>
                    <w:rPr>
                      <w:rFonts w:hint="eastAsia" w:ascii="仿宋" w:hAnsi="仿宋" w:eastAsia="仿宋" w:cs="仿宋"/>
                      <w:color w:val="auto"/>
                      <w:kern w:val="0"/>
                      <w:sz w:val="24"/>
                      <w:szCs w:val="24"/>
                      <w:highlight w:val="none"/>
                      <w:lang w:val="en-US" w:eastAsia="zh-CN" w:bidi="ar"/>
                    </w:rPr>
                    <w:t>4=C</w:t>
                  </w:r>
                </w:p>
              </w:tc>
              <w:tc>
                <w:tcPr>
                  <w:tcW w:w="894" w:type="dxa"/>
                  <w:noWrap w:val="0"/>
                  <w:vAlign w:val="top"/>
                </w:tcPr>
                <w:p w14:paraId="40B46C66">
                  <w:pPr>
                    <w:keepNext w:val="0"/>
                    <w:keepLines w:val="0"/>
                    <w:widowControl/>
                    <w:suppressLineNumbers w:val="0"/>
                    <w:spacing w:before="0" w:beforeAutospacing="0" w:after="0" w:afterAutospacing="0"/>
                    <w:ind w:left="0" w:right="0"/>
                    <w:jc w:val="left"/>
                    <w:rPr>
                      <w:rFonts w:hint="eastAsia" w:ascii="宋体" w:hAnsi="宋体" w:eastAsia="宋体" w:cs="宋体"/>
                      <w:color w:val="auto"/>
                      <w:kern w:val="0"/>
                      <w:sz w:val="21"/>
                      <w:szCs w:val="21"/>
                      <w:highlight w:val="none"/>
                      <w:lang w:val="en-US" w:eastAsia="zh-CN" w:bidi="ar"/>
                    </w:rPr>
                  </w:pPr>
                  <w:r>
                    <w:rPr>
                      <w:rFonts w:hint="eastAsia" w:ascii="仿宋" w:hAnsi="仿宋" w:eastAsia="仿宋" w:cs="仿宋"/>
                      <w:color w:val="auto"/>
                      <w:kern w:val="0"/>
                      <w:sz w:val="24"/>
                      <w:szCs w:val="24"/>
                      <w:highlight w:val="none"/>
                      <w:lang w:val="en-US" w:eastAsia="zh-CN" w:bidi="ar"/>
                    </w:rPr>
                    <w:t>C分（满分4分</w:t>
                  </w:r>
                  <w:r>
                    <w:rPr>
                      <w:rFonts w:hint="eastAsia" w:ascii="宋体" w:hAnsi="宋体" w:eastAsia="宋体" w:cs="宋体"/>
                      <w:color w:val="auto"/>
                      <w:kern w:val="0"/>
                      <w:sz w:val="21"/>
                      <w:szCs w:val="21"/>
                      <w:highlight w:val="none"/>
                      <w:lang w:val="en-US" w:eastAsia="zh-CN" w:bidi="ar"/>
                    </w:rPr>
                    <w:t>）</w:t>
                  </w:r>
                </w:p>
              </w:tc>
            </w:tr>
            <w:tr w14:paraId="05D4ED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3" w:hRule="atLeast"/>
              </w:trPr>
              <w:tc>
                <w:tcPr>
                  <w:tcW w:w="0" w:type="auto"/>
                  <w:noWrap w:val="0"/>
                  <w:vAlign w:val="top"/>
                </w:tcPr>
                <w:p w14:paraId="7FD66FF7">
                  <w:pPr>
                    <w:keepNext w:val="0"/>
                    <w:keepLines w:val="0"/>
                    <w:widowControl/>
                    <w:suppressLineNumbers w:val="0"/>
                    <w:spacing w:before="0" w:beforeAutospacing="0" w:after="0" w:afterAutospacing="0"/>
                    <w:ind w:left="0" w:right="0"/>
                    <w:jc w:val="left"/>
                    <w:rPr>
                      <w:rFonts w:hint="default" w:ascii="宋体" w:hAnsi="宋体" w:eastAsia="宋体" w:cs="宋体"/>
                      <w:color w:val="auto"/>
                      <w:kern w:val="0"/>
                      <w:sz w:val="21"/>
                      <w:szCs w:val="21"/>
                      <w:highlight w:val="none"/>
                      <w:lang w:val="en-US" w:eastAsia="zh-CN" w:bidi="ar"/>
                    </w:rPr>
                  </w:pPr>
                  <w:r>
                    <w:rPr>
                      <w:rFonts w:hint="eastAsia" w:ascii="宋体" w:hAnsi="宋体" w:cs="宋体"/>
                      <w:color w:val="auto"/>
                      <w:kern w:val="0"/>
                      <w:sz w:val="21"/>
                      <w:szCs w:val="21"/>
                      <w:highlight w:val="none"/>
                      <w:lang w:val="en-US" w:eastAsia="zh-CN" w:bidi="ar"/>
                    </w:rPr>
                    <w:t>5</w:t>
                  </w:r>
                </w:p>
              </w:tc>
              <w:tc>
                <w:tcPr>
                  <w:tcW w:w="0" w:type="auto"/>
                  <w:noWrap w:val="0"/>
                  <w:vAlign w:val="top"/>
                </w:tcPr>
                <w:p w14:paraId="0E0FC2E5">
                  <w:pPr>
                    <w:keepNext w:val="0"/>
                    <w:keepLines w:val="0"/>
                    <w:widowControl/>
                    <w:suppressLineNumbers w:val="0"/>
                    <w:spacing w:before="0" w:beforeAutospacing="0" w:after="0" w:afterAutospacing="0"/>
                    <w:ind w:left="0" w:right="0"/>
                    <w:jc w:val="left"/>
                    <w:rPr>
                      <w:rFonts w:hint="eastAsia" w:ascii="宋体" w:hAnsi="宋体" w:eastAsia="宋体" w:cs="宋体"/>
                      <w:color w:val="auto"/>
                      <w:kern w:val="0"/>
                      <w:sz w:val="21"/>
                      <w:szCs w:val="21"/>
                      <w:highlight w:val="none"/>
                      <w:lang w:val="en-US" w:eastAsia="zh-CN" w:bidi="ar"/>
                    </w:rPr>
                  </w:pPr>
                  <w:r>
                    <w:rPr>
                      <w:rFonts w:hint="eastAsia" w:ascii="仿宋" w:hAnsi="仿宋" w:eastAsia="仿宋" w:cs="仿宋"/>
                      <w:color w:val="auto"/>
                      <w:kern w:val="0"/>
                      <w:sz w:val="24"/>
                      <w:szCs w:val="24"/>
                      <w:highlight w:val="none"/>
                      <w:lang w:val="en-US" w:eastAsia="zh-CN" w:bidi="ar"/>
                    </w:rPr>
                    <w:t>北上广深就医的特级、一级、二级护理住院津贴</w:t>
                  </w:r>
                </w:p>
              </w:tc>
              <w:tc>
                <w:tcPr>
                  <w:tcW w:w="1118" w:type="dxa"/>
                  <w:noWrap w:val="0"/>
                  <w:vAlign w:val="top"/>
                </w:tcPr>
                <w:p w14:paraId="44079247">
                  <w:pPr>
                    <w:keepNext w:val="0"/>
                    <w:keepLines w:val="0"/>
                    <w:widowControl/>
                    <w:suppressLineNumbers w:val="0"/>
                    <w:spacing w:before="0" w:beforeAutospacing="0" w:after="0" w:afterAutospacing="0"/>
                    <w:ind w:left="0" w:right="0"/>
                    <w:jc w:val="left"/>
                    <w:rPr>
                      <w:rFonts w:hint="eastAsia" w:ascii="宋体" w:hAnsi="宋体" w:eastAsia="宋体" w:cs="宋体"/>
                      <w:color w:val="auto"/>
                      <w:kern w:val="0"/>
                      <w:sz w:val="21"/>
                      <w:szCs w:val="21"/>
                      <w:highlight w:val="none"/>
                      <w:lang w:val="en-US" w:eastAsia="zh-CN" w:bidi="ar"/>
                    </w:rPr>
                  </w:pPr>
                  <w:r>
                    <w:rPr>
                      <w:rFonts w:hint="eastAsia" w:ascii="仿宋" w:hAnsi="仿宋" w:eastAsia="仿宋" w:cs="仿宋"/>
                      <w:color w:val="auto"/>
                      <w:kern w:val="0"/>
                      <w:sz w:val="24"/>
                      <w:szCs w:val="24"/>
                      <w:highlight w:val="none"/>
                      <w:lang w:val="en-US" w:eastAsia="zh-CN" w:bidi="ar"/>
                    </w:rPr>
                    <w:t>300元/天</w:t>
                  </w:r>
                </w:p>
              </w:tc>
              <w:tc>
                <w:tcPr>
                  <w:tcW w:w="2912" w:type="dxa"/>
                  <w:noWrap w:val="0"/>
                  <w:vAlign w:val="top"/>
                </w:tcPr>
                <w:p w14:paraId="1BD59F79">
                  <w:pPr>
                    <w:keepNext w:val="0"/>
                    <w:keepLines w:val="0"/>
                    <w:widowControl/>
                    <w:suppressLineNumbers w:val="0"/>
                    <w:spacing w:before="0" w:beforeAutospacing="0" w:after="0" w:afterAutospacing="0"/>
                    <w:ind w:left="0" w:right="0"/>
                    <w:jc w:val="left"/>
                    <w:rPr>
                      <w:rFonts w:hint="default" w:ascii="宋体" w:hAnsi="宋体" w:eastAsia="宋体" w:cs="宋体"/>
                      <w:color w:val="auto"/>
                      <w:kern w:val="0"/>
                      <w:sz w:val="21"/>
                      <w:szCs w:val="21"/>
                      <w:highlight w:val="none"/>
                      <w:lang w:val="en-US" w:eastAsia="zh-CN" w:bidi="ar"/>
                    </w:rPr>
                  </w:pPr>
                  <w:r>
                    <w:rPr>
                      <w:rFonts w:hint="eastAsia" w:ascii="仿宋" w:hAnsi="仿宋" w:eastAsia="仿宋" w:cs="仿宋"/>
                      <w:strike w:val="0"/>
                      <w:dstrike w:val="0"/>
                      <w:color w:val="auto"/>
                      <w:kern w:val="0"/>
                      <w:sz w:val="24"/>
                      <w:szCs w:val="24"/>
                      <w:highlight w:val="none"/>
                      <w:lang w:val="en-US" w:eastAsia="zh-CN" w:bidi="ar"/>
                    </w:rPr>
                    <w:t>300+X元/份;X</w:t>
                  </w:r>
                  <w:r>
                    <w:rPr>
                      <w:rFonts w:hint="eastAsia" w:ascii="东文宋体" w:hAnsi="东文宋体" w:eastAsia="东文宋体" w:cs="东文宋体"/>
                      <w:color w:val="auto"/>
                      <w:kern w:val="0"/>
                      <w:sz w:val="24"/>
                      <w:szCs w:val="24"/>
                      <w:highlight w:val="none"/>
                      <w:lang w:val="en-US" w:eastAsia="zh-CN" w:bidi="ar"/>
                    </w:rPr>
                    <w:t>≥</w:t>
                  </w:r>
                  <w:r>
                    <w:rPr>
                      <w:rFonts w:hint="eastAsia" w:ascii="仿宋" w:hAnsi="仿宋" w:eastAsia="仿宋" w:cs="仿宋"/>
                      <w:color w:val="auto"/>
                      <w:kern w:val="0"/>
                      <w:sz w:val="24"/>
                      <w:szCs w:val="24"/>
                      <w:highlight w:val="none"/>
                      <w:lang w:val="en-US" w:eastAsia="zh-CN" w:bidi="ar"/>
                    </w:rPr>
                    <w:t>0得1分，X&lt;0该项不得分,该项可以缺项不响应</w:t>
                  </w:r>
                  <w:r>
                    <w:rPr>
                      <w:rFonts w:hint="eastAsia" w:ascii="宋体" w:hAnsi="宋体" w:eastAsia="宋体" w:cs="宋体"/>
                      <w:color w:val="auto"/>
                      <w:kern w:val="0"/>
                      <w:sz w:val="21"/>
                      <w:szCs w:val="21"/>
                      <w:highlight w:val="none"/>
                      <w:lang w:val="en-US" w:eastAsia="zh-CN" w:bidi="ar"/>
                    </w:rPr>
                    <w:t>。</w:t>
                  </w:r>
                </w:p>
              </w:tc>
              <w:tc>
                <w:tcPr>
                  <w:tcW w:w="894" w:type="dxa"/>
                  <w:noWrap w:val="0"/>
                  <w:vAlign w:val="top"/>
                </w:tcPr>
                <w:p w14:paraId="0DD0FF7E">
                  <w:pPr>
                    <w:keepNext w:val="0"/>
                    <w:keepLines w:val="0"/>
                    <w:widowControl/>
                    <w:suppressLineNumbers w:val="0"/>
                    <w:spacing w:before="0" w:beforeAutospacing="0" w:after="0" w:afterAutospacing="0"/>
                    <w:ind w:left="0" w:right="0"/>
                    <w:jc w:val="left"/>
                    <w:rPr>
                      <w:rFonts w:hint="eastAsia" w:ascii="宋体" w:hAnsi="宋体" w:eastAsia="宋体" w:cs="宋体"/>
                      <w:color w:val="auto"/>
                      <w:kern w:val="0"/>
                      <w:sz w:val="21"/>
                      <w:szCs w:val="21"/>
                      <w:highlight w:val="none"/>
                      <w:lang w:val="en-US" w:eastAsia="zh-CN" w:bidi="ar"/>
                    </w:rPr>
                  </w:pPr>
                  <w:r>
                    <w:rPr>
                      <w:rFonts w:hint="eastAsia" w:ascii="仿宋" w:hAnsi="仿宋" w:eastAsia="仿宋" w:cs="仿宋"/>
                      <w:color w:val="auto"/>
                      <w:kern w:val="0"/>
                      <w:sz w:val="24"/>
                      <w:szCs w:val="24"/>
                      <w:highlight w:val="none"/>
                      <w:lang w:val="en-US" w:eastAsia="zh-CN" w:bidi="ar"/>
                    </w:rPr>
                    <w:t>D1分（满分1分）</w:t>
                  </w:r>
                </w:p>
              </w:tc>
            </w:tr>
            <w:tr w14:paraId="4F5A86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83" w:hRule="atLeast"/>
              </w:trPr>
              <w:tc>
                <w:tcPr>
                  <w:tcW w:w="0" w:type="auto"/>
                  <w:noWrap w:val="0"/>
                  <w:vAlign w:val="top"/>
                </w:tcPr>
                <w:p w14:paraId="715AC3B4">
                  <w:pPr>
                    <w:keepNext w:val="0"/>
                    <w:keepLines w:val="0"/>
                    <w:widowControl/>
                    <w:suppressLineNumbers w:val="0"/>
                    <w:spacing w:before="0" w:beforeAutospacing="0" w:after="0" w:afterAutospacing="0"/>
                    <w:ind w:left="0" w:right="0"/>
                    <w:jc w:val="left"/>
                    <w:rPr>
                      <w:rFonts w:hint="default" w:ascii="宋体" w:hAnsi="宋体" w:eastAsia="宋体" w:cs="宋体"/>
                      <w:color w:val="auto"/>
                      <w:kern w:val="0"/>
                      <w:sz w:val="21"/>
                      <w:szCs w:val="21"/>
                      <w:highlight w:val="none"/>
                      <w:lang w:val="en-US" w:eastAsia="zh-CN" w:bidi="ar"/>
                    </w:rPr>
                  </w:pPr>
                  <w:r>
                    <w:rPr>
                      <w:rFonts w:hint="eastAsia" w:ascii="宋体" w:hAnsi="宋体" w:cs="宋体"/>
                      <w:color w:val="auto"/>
                      <w:kern w:val="0"/>
                      <w:sz w:val="21"/>
                      <w:szCs w:val="21"/>
                      <w:highlight w:val="none"/>
                      <w:lang w:val="en-US" w:eastAsia="zh-CN" w:bidi="ar"/>
                    </w:rPr>
                    <w:t>6</w:t>
                  </w:r>
                </w:p>
              </w:tc>
              <w:tc>
                <w:tcPr>
                  <w:tcW w:w="0" w:type="auto"/>
                  <w:noWrap w:val="0"/>
                  <w:vAlign w:val="top"/>
                </w:tcPr>
                <w:p w14:paraId="1FD280E2">
                  <w:pPr>
                    <w:keepNext w:val="0"/>
                    <w:keepLines w:val="0"/>
                    <w:widowControl/>
                    <w:suppressLineNumbers w:val="0"/>
                    <w:spacing w:before="0" w:beforeAutospacing="0" w:after="0" w:afterAutospacing="0"/>
                    <w:ind w:left="0" w:right="0"/>
                    <w:jc w:val="left"/>
                    <w:rPr>
                      <w:rFonts w:hint="eastAsia" w:ascii="宋体" w:hAnsi="宋体" w:eastAsia="宋体" w:cs="宋体"/>
                      <w:color w:val="auto"/>
                      <w:kern w:val="0"/>
                      <w:sz w:val="21"/>
                      <w:szCs w:val="21"/>
                      <w:highlight w:val="none"/>
                      <w:lang w:val="en-US" w:eastAsia="zh-CN" w:bidi="ar"/>
                    </w:rPr>
                  </w:pPr>
                  <w:r>
                    <w:rPr>
                      <w:rFonts w:hint="eastAsia" w:ascii="仿宋" w:hAnsi="仿宋" w:eastAsia="仿宋" w:cs="仿宋"/>
                      <w:color w:val="auto"/>
                      <w:kern w:val="0"/>
                      <w:sz w:val="24"/>
                      <w:szCs w:val="24"/>
                      <w:highlight w:val="none"/>
                      <w:lang w:val="en-US" w:eastAsia="zh-CN" w:bidi="ar"/>
                    </w:rPr>
                    <w:t>北上广深就医的三级护理住院津贴</w:t>
                  </w:r>
                </w:p>
              </w:tc>
              <w:tc>
                <w:tcPr>
                  <w:tcW w:w="1118" w:type="dxa"/>
                  <w:noWrap w:val="0"/>
                  <w:vAlign w:val="top"/>
                </w:tcPr>
                <w:p w14:paraId="41A94FD8">
                  <w:pPr>
                    <w:keepNext w:val="0"/>
                    <w:keepLines w:val="0"/>
                    <w:widowControl/>
                    <w:suppressLineNumbers w:val="0"/>
                    <w:spacing w:before="0" w:beforeAutospacing="0" w:after="0" w:afterAutospacing="0"/>
                    <w:ind w:left="0" w:right="0"/>
                    <w:jc w:val="left"/>
                    <w:rPr>
                      <w:rFonts w:hint="eastAsia" w:ascii="宋体" w:hAnsi="宋体" w:eastAsia="宋体" w:cs="宋体"/>
                      <w:color w:val="auto"/>
                      <w:kern w:val="0"/>
                      <w:sz w:val="21"/>
                      <w:szCs w:val="21"/>
                      <w:highlight w:val="none"/>
                      <w:lang w:val="en-US" w:eastAsia="zh-CN" w:bidi="ar"/>
                    </w:rPr>
                  </w:pPr>
                  <w:r>
                    <w:rPr>
                      <w:rFonts w:hint="eastAsia" w:ascii="仿宋" w:hAnsi="仿宋" w:eastAsia="仿宋" w:cs="仿宋"/>
                      <w:color w:val="auto"/>
                      <w:kern w:val="0"/>
                      <w:sz w:val="24"/>
                      <w:szCs w:val="24"/>
                      <w:highlight w:val="none"/>
                      <w:lang w:val="en-US" w:eastAsia="zh-CN" w:bidi="ar"/>
                    </w:rPr>
                    <w:t>100元/天</w:t>
                  </w:r>
                </w:p>
              </w:tc>
              <w:tc>
                <w:tcPr>
                  <w:tcW w:w="2912" w:type="dxa"/>
                  <w:noWrap w:val="0"/>
                  <w:vAlign w:val="top"/>
                </w:tcPr>
                <w:p w14:paraId="009245AE">
                  <w:pPr>
                    <w:keepNext w:val="0"/>
                    <w:keepLines w:val="0"/>
                    <w:widowControl/>
                    <w:suppressLineNumbers w:val="0"/>
                    <w:spacing w:before="0" w:beforeAutospacing="0" w:after="0" w:afterAutospacing="0"/>
                    <w:ind w:left="0" w:right="0"/>
                    <w:jc w:val="left"/>
                    <w:rPr>
                      <w:rFonts w:hint="default" w:ascii="宋体" w:hAnsi="宋体" w:eastAsia="宋体" w:cs="宋体"/>
                      <w:color w:val="auto"/>
                      <w:kern w:val="0"/>
                      <w:sz w:val="21"/>
                      <w:szCs w:val="21"/>
                      <w:highlight w:val="none"/>
                      <w:lang w:val="en-US" w:eastAsia="zh-CN" w:bidi="ar"/>
                    </w:rPr>
                  </w:pPr>
                  <w:r>
                    <w:rPr>
                      <w:rFonts w:hint="eastAsia" w:ascii="仿宋" w:hAnsi="仿宋" w:eastAsia="仿宋" w:cs="仿宋"/>
                      <w:strike w:val="0"/>
                      <w:dstrike w:val="0"/>
                      <w:color w:val="auto"/>
                      <w:kern w:val="0"/>
                      <w:sz w:val="24"/>
                      <w:szCs w:val="24"/>
                      <w:highlight w:val="none"/>
                      <w:lang w:val="en-US" w:eastAsia="zh-CN" w:bidi="ar"/>
                    </w:rPr>
                    <w:t>100+X元/份;X</w:t>
                  </w:r>
                  <w:r>
                    <w:rPr>
                      <w:rFonts w:hint="eastAsia" w:ascii="东文宋体" w:hAnsi="东文宋体" w:eastAsia="东文宋体" w:cs="东文宋体"/>
                      <w:color w:val="auto"/>
                      <w:kern w:val="0"/>
                      <w:sz w:val="24"/>
                      <w:szCs w:val="24"/>
                      <w:highlight w:val="none"/>
                      <w:lang w:val="en-US" w:eastAsia="zh-CN" w:bidi="ar"/>
                    </w:rPr>
                    <w:t>≥</w:t>
                  </w:r>
                  <w:r>
                    <w:rPr>
                      <w:rFonts w:hint="eastAsia" w:ascii="仿宋" w:hAnsi="仿宋" w:eastAsia="仿宋" w:cs="仿宋"/>
                      <w:color w:val="auto"/>
                      <w:kern w:val="0"/>
                      <w:sz w:val="24"/>
                      <w:szCs w:val="24"/>
                      <w:highlight w:val="none"/>
                      <w:lang w:val="en-US" w:eastAsia="zh-CN" w:bidi="ar"/>
                    </w:rPr>
                    <w:t>0得1分，X&lt;0该项不得分,该项可以缺项不响应</w:t>
                  </w:r>
                  <w:r>
                    <w:rPr>
                      <w:rFonts w:hint="eastAsia" w:ascii="宋体" w:hAnsi="宋体" w:eastAsia="宋体" w:cs="宋体"/>
                      <w:color w:val="auto"/>
                      <w:kern w:val="0"/>
                      <w:sz w:val="21"/>
                      <w:szCs w:val="21"/>
                      <w:highlight w:val="none"/>
                      <w:lang w:val="en-US" w:eastAsia="zh-CN" w:bidi="ar"/>
                    </w:rPr>
                    <w:t>。</w:t>
                  </w:r>
                </w:p>
              </w:tc>
              <w:tc>
                <w:tcPr>
                  <w:tcW w:w="894" w:type="dxa"/>
                  <w:noWrap w:val="0"/>
                  <w:vAlign w:val="top"/>
                </w:tcPr>
                <w:p w14:paraId="5255115B">
                  <w:pPr>
                    <w:keepNext w:val="0"/>
                    <w:keepLines w:val="0"/>
                    <w:widowControl/>
                    <w:suppressLineNumbers w:val="0"/>
                    <w:spacing w:before="0" w:beforeAutospacing="0" w:after="0" w:afterAutospacing="0"/>
                    <w:ind w:left="0" w:right="0"/>
                    <w:jc w:val="left"/>
                    <w:rPr>
                      <w:rFonts w:hint="eastAsia" w:ascii="宋体" w:hAnsi="宋体" w:eastAsia="宋体" w:cs="宋体"/>
                      <w:color w:val="auto"/>
                      <w:kern w:val="0"/>
                      <w:sz w:val="21"/>
                      <w:szCs w:val="21"/>
                      <w:highlight w:val="none"/>
                      <w:lang w:val="en-US" w:eastAsia="zh-CN" w:bidi="ar"/>
                    </w:rPr>
                  </w:pPr>
                  <w:r>
                    <w:rPr>
                      <w:rFonts w:hint="eastAsia" w:ascii="仿宋" w:hAnsi="仿宋" w:eastAsia="仿宋" w:cs="仿宋"/>
                      <w:color w:val="auto"/>
                      <w:kern w:val="0"/>
                      <w:sz w:val="24"/>
                      <w:szCs w:val="24"/>
                      <w:highlight w:val="none"/>
                      <w:lang w:val="en-US" w:eastAsia="zh-CN" w:bidi="ar"/>
                    </w:rPr>
                    <w:t>D2分（满分1分）</w:t>
                  </w:r>
                </w:p>
              </w:tc>
            </w:tr>
          </w:tbl>
          <w:p w14:paraId="75CE894E">
            <w:pPr>
              <w:keepNext w:val="0"/>
              <w:keepLines w:val="0"/>
              <w:suppressLineNumbers w:val="0"/>
              <w:spacing w:before="0" w:beforeAutospacing="0" w:after="0" w:afterAutospacing="0"/>
              <w:ind w:left="0" w:right="0"/>
              <w:rPr>
                <w:rFonts w:hint="eastAsia" w:ascii="宋体" w:hAnsi="宋体" w:cs="宋体"/>
                <w:color w:val="auto"/>
                <w:szCs w:val="21"/>
                <w:highlight w:val="none"/>
              </w:rPr>
            </w:pPr>
          </w:p>
          <w:p w14:paraId="6BD3C6BF">
            <w:pPr>
              <w:keepNext w:val="0"/>
              <w:keepLines w:val="0"/>
              <w:widowControl/>
              <w:suppressLineNumbers w:val="0"/>
              <w:spacing w:before="0" w:beforeAutospacing="0" w:after="0" w:afterAutospacing="0"/>
              <w:ind w:left="0" w:right="0"/>
              <w:jc w:val="both"/>
              <w:rPr>
                <w:rFonts w:hint="eastAsia" w:ascii="宋体" w:hAnsi="宋体" w:eastAsia="宋体" w:cs="宋体"/>
                <w:b/>
                <w:bCs/>
                <w:color w:val="auto"/>
                <w:kern w:val="0"/>
                <w:sz w:val="21"/>
                <w:szCs w:val="21"/>
                <w:highlight w:val="none"/>
                <w:lang w:val="en-US" w:eastAsia="zh-CN" w:bidi="ar"/>
              </w:rPr>
            </w:pPr>
            <w:r>
              <w:rPr>
                <w:rFonts w:hint="eastAsia" w:ascii="宋体" w:hAnsi="宋体" w:eastAsia="宋体" w:cs="宋体"/>
                <w:b/>
                <w:bCs/>
                <w:color w:val="auto"/>
                <w:kern w:val="0"/>
                <w:sz w:val="21"/>
                <w:szCs w:val="21"/>
                <w:highlight w:val="none"/>
                <w:lang w:val="en-US" w:eastAsia="zh-CN" w:bidi="ar"/>
              </w:rPr>
              <w:t>（3）理赔服务方案分（满分 12 分）</w:t>
            </w:r>
          </w:p>
          <w:p w14:paraId="232E60E9">
            <w:pPr>
              <w:keepNext w:val="0"/>
              <w:keepLines w:val="0"/>
              <w:widowControl/>
              <w:suppressLineNumbers w:val="0"/>
              <w:spacing w:before="0" w:beforeAutospacing="0" w:after="0" w:afterAutospacing="0"/>
              <w:ind w:left="0" w:right="0"/>
              <w:jc w:val="both"/>
              <w:rPr>
                <w:rFonts w:hint="eastAsia" w:ascii="宋体" w:hAnsi="宋体" w:cs="宋体"/>
                <w:color w:val="auto"/>
                <w:szCs w:val="21"/>
                <w:highlight w:val="none"/>
              </w:rPr>
            </w:pPr>
            <w:r>
              <w:rPr>
                <w:rFonts w:hint="eastAsia" w:ascii="宋体" w:hAnsi="宋体" w:eastAsia="宋体" w:cs="宋体"/>
                <w:color w:val="auto"/>
                <w:kern w:val="0"/>
                <w:sz w:val="21"/>
                <w:szCs w:val="21"/>
                <w:highlight w:val="none"/>
                <w:lang w:val="en-US" w:eastAsia="zh-CN" w:bidi="ar"/>
              </w:rPr>
              <w:t>一档（4 分）：理赔服务措施在满足采购</w:t>
            </w:r>
            <w:r>
              <w:rPr>
                <w:rFonts w:hint="eastAsia" w:ascii="宋体" w:hAnsi="宋体" w:cs="宋体"/>
                <w:color w:val="auto"/>
                <w:kern w:val="0"/>
                <w:sz w:val="21"/>
                <w:szCs w:val="21"/>
                <w:highlight w:val="none"/>
                <w:lang w:val="en-US" w:eastAsia="zh-CN" w:bidi="ar"/>
              </w:rPr>
              <w:t>需求</w:t>
            </w:r>
            <w:r>
              <w:rPr>
                <w:rFonts w:hint="eastAsia" w:ascii="宋体" w:hAnsi="宋体" w:eastAsia="宋体" w:cs="宋体"/>
                <w:color w:val="auto"/>
                <w:kern w:val="0"/>
                <w:sz w:val="21"/>
                <w:szCs w:val="21"/>
                <w:highlight w:val="none"/>
                <w:lang w:val="en-US" w:eastAsia="zh-CN" w:bidi="ar"/>
              </w:rPr>
              <w:t>的前提下，对于收到采购人提交的有效齐全的理赔资料后，投标人承诺按：赔付金额在 1 万元以下案件，3 个工作日内支付赔款；赔付金额在 1 万（含）至 5 万元（含）的案件，5 个工作日内支付赔款；</w:t>
            </w:r>
          </w:p>
          <w:p w14:paraId="4153BE3E">
            <w:pPr>
              <w:keepNext w:val="0"/>
              <w:keepLines w:val="0"/>
              <w:widowControl/>
              <w:suppressLineNumbers w:val="0"/>
              <w:spacing w:before="0" w:beforeAutospacing="0" w:after="0" w:afterAutospacing="0"/>
              <w:ind w:left="0" w:right="0"/>
              <w:jc w:val="both"/>
              <w:rPr>
                <w:rFonts w:hint="eastAsia" w:ascii="宋体" w:hAnsi="宋体" w:cs="宋体"/>
                <w:color w:val="auto"/>
                <w:szCs w:val="21"/>
                <w:highlight w:val="none"/>
              </w:rPr>
            </w:pPr>
            <w:r>
              <w:rPr>
                <w:rFonts w:hint="eastAsia" w:ascii="宋体" w:hAnsi="宋体" w:eastAsia="宋体" w:cs="宋体"/>
                <w:color w:val="auto"/>
                <w:kern w:val="0"/>
                <w:sz w:val="21"/>
                <w:szCs w:val="21"/>
                <w:highlight w:val="none"/>
                <w:lang w:val="en-US" w:eastAsia="zh-CN" w:bidi="ar"/>
              </w:rPr>
              <w:t>二档（8 分）：理赔服务措施在满足采购</w:t>
            </w:r>
            <w:r>
              <w:rPr>
                <w:rFonts w:hint="eastAsia" w:ascii="宋体" w:hAnsi="宋体" w:cs="宋体"/>
                <w:color w:val="auto"/>
                <w:kern w:val="0"/>
                <w:sz w:val="21"/>
                <w:szCs w:val="21"/>
                <w:highlight w:val="none"/>
                <w:lang w:val="en-US" w:eastAsia="zh-CN" w:bidi="ar"/>
              </w:rPr>
              <w:t>需求</w:t>
            </w:r>
            <w:r>
              <w:rPr>
                <w:rFonts w:hint="eastAsia" w:ascii="宋体" w:hAnsi="宋体" w:eastAsia="宋体" w:cs="宋体"/>
                <w:color w:val="auto"/>
                <w:kern w:val="0"/>
                <w:sz w:val="21"/>
                <w:szCs w:val="21"/>
                <w:highlight w:val="none"/>
                <w:lang w:val="en-US" w:eastAsia="zh-CN" w:bidi="ar"/>
              </w:rPr>
              <w:t>的前提下，对于收到采购人提交的有效齐全的理赔资料后，投标人承诺按：赔付金额在 1 万元以下案件，2 个工作日内支付赔款；赔付金额在 1 万（含）至 5 万元（含）的案件，4 个工作日内支付赔款。且优化服务措施</w:t>
            </w:r>
            <w:r>
              <w:rPr>
                <w:rFonts w:hint="eastAsia" w:ascii="宋体" w:hAnsi="宋体" w:cs="宋体"/>
                <w:color w:val="auto"/>
                <w:kern w:val="0"/>
                <w:sz w:val="21"/>
                <w:szCs w:val="21"/>
                <w:highlight w:val="none"/>
                <w:lang w:val="en-US" w:eastAsia="zh-CN" w:bidi="ar"/>
              </w:rPr>
              <w:t>满足采购人需求</w:t>
            </w:r>
            <w:r>
              <w:rPr>
                <w:rFonts w:hint="eastAsia" w:ascii="宋体" w:hAnsi="宋体" w:eastAsia="宋体" w:cs="宋体"/>
                <w:color w:val="auto"/>
                <w:kern w:val="0"/>
                <w:sz w:val="21"/>
                <w:szCs w:val="21"/>
                <w:highlight w:val="none"/>
                <w:lang w:val="en-US" w:eastAsia="zh-CN" w:bidi="ar"/>
              </w:rPr>
              <w:t>的；</w:t>
            </w:r>
          </w:p>
          <w:p w14:paraId="2D5C7C08">
            <w:pPr>
              <w:keepNext w:val="0"/>
              <w:keepLines w:val="0"/>
              <w:widowControl/>
              <w:suppressLineNumbers w:val="0"/>
              <w:spacing w:before="0" w:beforeAutospacing="0" w:after="0" w:afterAutospacing="0"/>
              <w:ind w:left="0" w:right="0"/>
              <w:jc w:val="both"/>
              <w:rPr>
                <w:rFonts w:hint="eastAsia" w:ascii="宋体" w:hAnsi="宋体" w:cs="宋体"/>
                <w:color w:val="auto"/>
                <w:szCs w:val="21"/>
                <w:highlight w:val="none"/>
              </w:rPr>
            </w:pPr>
            <w:r>
              <w:rPr>
                <w:rFonts w:hint="eastAsia" w:ascii="宋体" w:hAnsi="宋体" w:eastAsia="宋体" w:cs="宋体"/>
                <w:color w:val="auto"/>
                <w:kern w:val="0"/>
                <w:sz w:val="21"/>
                <w:szCs w:val="21"/>
                <w:highlight w:val="none"/>
                <w:lang w:val="en-US" w:eastAsia="zh-CN" w:bidi="ar"/>
              </w:rPr>
              <w:t>三档（12 分）：在满足二档的基础上，理赔服务措施内容丰富、可行性强，针对性强，理赔权限大，决策链条短，比二档更具有优势的。</w:t>
            </w:r>
          </w:p>
          <w:p w14:paraId="0A517F77">
            <w:pPr>
              <w:keepNext w:val="0"/>
              <w:keepLines w:val="0"/>
              <w:widowControl/>
              <w:suppressLineNumbers w:val="0"/>
              <w:spacing w:before="0" w:beforeAutospacing="0" w:after="0" w:afterAutospacing="0"/>
              <w:ind w:left="0" w:right="0"/>
              <w:jc w:val="both"/>
              <w:rPr>
                <w:rFonts w:hint="eastAsia" w:ascii="宋体" w:hAnsi="宋体" w:cs="宋体"/>
                <w:b/>
                <w:bCs/>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注：未提供不得分。</w:t>
            </w:r>
          </w:p>
          <w:p w14:paraId="620F771A">
            <w:pPr>
              <w:keepNext w:val="0"/>
              <w:keepLines w:val="0"/>
              <w:widowControl/>
              <w:numPr>
                <w:ilvl w:val="0"/>
                <w:numId w:val="0"/>
              </w:numPr>
              <w:suppressLineNumbers w:val="0"/>
              <w:spacing w:before="0" w:beforeAutospacing="0" w:after="0" w:afterAutospacing="0"/>
              <w:ind w:left="0" w:leftChars="0" w:right="0" w:rightChars="0"/>
              <w:jc w:val="both"/>
              <w:rPr>
                <w:rFonts w:hint="eastAsia" w:ascii="宋体" w:hAnsi="宋体" w:eastAsia="宋体" w:cs="宋体"/>
                <w:b/>
                <w:bCs/>
                <w:color w:val="auto"/>
                <w:kern w:val="0"/>
                <w:sz w:val="21"/>
                <w:szCs w:val="21"/>
                <w:highlight w:val="none"/>
                <w:lang w:val="en-US" w:eastAsia="zh-CN" w:bidi="ar"/>
              </w:rPr>
            </w:pPr>
            <w:r>
              <w:rPr>
                <w:rFonts w:hint="eastAsia" w:ascii="宋体" w:hAnsi="宋体" w:cs="宋体"/>
                <w:b/>
                <w:bCs/>
                <w:color w:val="auto"/>
                <w:kern w:val="0"/>
                <w:sz w:val="21"/>
                <w:szCs w:val="21"/>
                <w:highlight w:val="none"/>
                <w:lang w:val="en-US" w:eastAsia="zh-CN" w:bidi="ar"/>
              </w:rPr>
              <w:t>（4）</w:t>
            </w:r>
            <w:r>
              <w:rPr>
                <w:rFonts w:hint="eastAsia" w:ascii="宋体" w:hAnsi="宋体" w:eastAsia="宋体" w:cs="宋体"/>
                <w:b/>
                <w:bCs/>
                <w:color w:val="auto"/>
                <w:kern w:val="0"/>
                <w:sz w:val="21"/>
                <w:szCs w:val="21"/>
                <w:highlight w:val="none"/>
                <w:lang w:val="en-US" w:eastAsia="zh-CN" w:bidi="ar"/>
              </w:rPr>
              <w:t>增值服务分（满分 6 分）</w:t>
            </w:r>
          </w:p>
          <w:p w14:paraId="774C1FB9">
            <w:pPr>
              <w:keepNext w:val="0"/>
              <w:keepLines w:val="0"/>
              <w:widowControl/>
              <w:suppressLineNumbers w:val="0"/>
              <w:spacing w:before="0" w:beforeAutospacing="0" w:after="0" w:afterAutospacing="0"/>
              <w:ind w:left="0" w:right="0"/>
              <w:jc w:val="both"/>
              <w:rPr>
                <w:rFonts w:hint="default"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增值服务</w:t>
            </w:r>
            <w:r>
              <w:rPr>
                <w:rFonts w:hint="eastAsia" w:ascii="宋体" w:hAnsi="宋体" w:cs="宋体"/>
                <w:color w:val="auto"/>
                <w:kern w:val="0"/>
                <w:sz w:val="21"/>
                <w:szCs w:val="21"/>
                <w:highlight w:val="none"/>
                <w:lang w:val="en-US" w:eastAsia="zh-CN" w:bidi="ar"/>
              </w:rPr>
              <w:t>包括但不限于意外身故、疾病身故、赔付额度的提高，补充完善二级以下医院的护理住院津贴，重点赔付上门慰问、便利化的理赔服务等直接与保险对象获益密切相关的服务。</w:t>
            </w:r>
          </w:p>
          <w:p w14:paraId="38EB2D68">
            <w:pPr>
              <w:keepNext w:val="0"/>
              <w:keepLines w:val="0"/>
              <w:widowControl/>
              <w:suppressLineNumbers w:val="0"/>
              <w:spacing w:before="0" w:beforeAutospacing="0" w:after="0" w:afterAutospacing="0"/>
              <w:ind w:left="0" w:right="0"/>
              <w:jc w:val="both"/>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一档（2分）：</w:t>
            </w:r>
            <w:r>
              <w:rPr>
                <w:rFonts w:hint="eastAsia" w:ascii="宋体" w:hAnsi="宋体" w:cs="Arial"/>
                <w:bCs/>
                <w:color w:val="auto"/>
                <w:kern w:val="0"/>
                <w:szCs w:val="21"/>
                <w:highlight w:val="none"/>
              </w:rPr>
              <w:t>投标人提供项目增值服务内容</w:t>
            </w:r>
            <w:r>
              <w:rPr>
                <w:rFonts w:hint="eastAsia" w:ascii="宋体" w:hAnsi="宋体" w:cs="宋体"/>
                <w:color w:val="auto"/>
                <w:kern w:val="0"/>
                <w:sz w:val="21"/>
                <w:szCs w:val="21"/>
                <w:highlight w:val="none"/>
                <w:lang w:val="en-US" w:eastAsia="zh-CN" w:bidi="ar"/>
              </w:rPr>
              <w:t>，</w:t>
            </w:r>
            <w:r>
              <w:rPr>
                <w:rFonts w:hint="eastAsia" w:ascii="宋体" w:hAnsi="宋体" w:eastAsia="宋体" w:cs="宋体"/>
                <w:color w:val="auto"/>
                <w:kern w:val="0"/>
                <w:sz w:val="21"/>
                <w:szCs w:val="21"/>
                <w:highlight w:val="none"/>
                <w:lang w:val="en-US" w:eastAsia="zh-CN" w:bidi="ar"/>
              </w:rPr>
              <w:t>附加增值服务方案小于 5项的；</w:t>
            </w:r>
          </w:p>
          <w:p w14:paraId="76F1CC37">
            <w:pPr>
              <w:keepNext w:val="0"/>
              <w:keepLines w:val="0"/>
              <w:widowControl/>
              <w:suppressLineNumbers w:val="0"/>
              <w:spacing w:before="0" w:beforeAutospacing="0" w:after="0" w:afterAutospacing="0"/>
              <w:ind w:left="0" w:right="0"/>
              <w:jc w:val="both"/>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二档（4分）：增值服务方案合理，可行性、针对性一般即附加增值服务方案达到 5 项的；</w:t>
            </w:r>
          </w:p>
          <w:p w14:paraId="4C5C620A">
            <w:pPr>
              <w:keepNext w:val="0"/>
              <w:keepLines w:val="0"/>
              <w:widowControl/>
              <w:suppressLineNumbers w:val="0"/>
              <w:spacing w:before="0" w:beforeAutospacing="0" w:after="0" w:afterAutospacing="0"/>
              <w:ind w:left="0" w:right="0"/>
              <w:jc w:val="both"/>
              <w:rPr>
                <w:rFonts w:hint="eastAsia" w:ascii="宋体" w:hAnsi="宋体" w:cs="宋体"/>
                <w:color w:val="auto"/>
                <w:szCs w:val="21"/>
                <w:highlight w:val="none"/>
              </w:rPr>
            </w:pPr>
            <w:r>
              <w:rPr>
                <w:rFonts w:hint="eastAsia" w:ascii="宋体" w:hAnsi="宋体" w:eastAsia="宋体" w:cs="宋体"/>
                <w:color w:val="auto"/>
                <w:kern w:val="0"/>
                <w:sz w:val="21"/>
                <w:szCs w:val="21"/>
                <w:highlight w:val="none"/>
                <w:lang w:val="en-US" w:eastAsia="zh-CN" w:bidi="ar"/>
              </w:rPr>
              <w:t>三档（6 分）：增值服务方案内容丰富、可行性强，针对性强，内容丰富，比二档更具有优势的，附加增值服务方案达到 6 项或以上的。</w:t>
            </w:r>
          </w:p>
          <w:p w14:paraId="35F7DDD4">
            <w:pPr>
              <w:keepNext w:val="0"/>
              <w:keepLines w:val="0"/>
              <w:widowControl/>
              <w:suppressLineNumbers w:val="0"/>
              <w:spacing w:before="0" w:beforeAutospacing="0" w:after="0" w:afterAutospacing="0"/>
              <w:ind w:left="0" w:right="0"/>
              <w:jc w:val="both"/>
              <w:rPr>
                <w:rFonts w:hint="eastAsia" w:ascii="宋体" w:hAnsi="宋体" w:cs="宋体"/>
                <w:color w:val="auto"/>
                <w:szCs w:val="21"/>
                <w:highlight w:val="none"/>
              </w:rPr>
            </w:pPr>
            <w:r>
              <w:rPr>
                <w:rFonts w:hint="eastAsia" w:ascii="宋体" w:hAnsi="宋体" w:eastAsia="宋体" w:cs="宋体"/>
                <w:color w:val="auto"/>
                <w:kern w:val="0"/>
                <w:sz w:val="21"/>
                <w:szCs w:val="21"/>
                <w:highlight w:val="none"/>
                <w:lang w:val="en-US" w:eastAsia="zh-CN" w:bidi="ar"/>
              </w:rPr>
              <w:t>注：未提供增值服务不得分。</w:t>
            </w:r>
          </w:p>
          <w:p w14:paraId="19D5C669">
            <w:pPr>
              <w:keepNext w:val="0"/>
              <w:keepLines w:val="0"/>
              <w:widowControl/>
              <w:suppressLineNumbers w:val="0"/>
              <w:spacing w:before="0" w:beforeAutospacing="0" w:after="0" w:afterAutospacing="0"/>
              <w:ind w:left="0" w:right="0"/>
              <w:jc w:val="both"/>
              <w:rPr>
                <w:rFonts w:hint="eastAsia" w:ascii="宋体" w:hAnsi="宋体" w:eastAsia="宋体" w:cs="宋体"/>
                <w:b/>
                <w:bCs/>
                <w:color w:val="auto"/>
                <w:kern w:val="0"/>
                <w:sz w:val="21"/>
                <w:szCs w:val="21"/>
                <w:highlight w:val="none"/>
                <w:lang w:val="en-US" w:eastAsia="zh-CN" w:bidi="ar"/>
              </w:rPr>
            </w:pPr>
            <w:r>
              <w:rPr>
                <w:rFonts w:hint="eastAsia" w:ascii="宋体" w:hAnsi="宋体" w:eastAsia="宋体" w:cs="宋体"/>
                <w:b/>
                <w:bCs/>
                <w:color w:val="auto"/>
                <w:kern w:val="0"/>
                <w:sz w:val="21"/>
                <w:szCs w:val="21"/>
                <w:highlight w:val="none"/>
                <w:lang w:val="en-US" w:eastAsia="zh-CN" w:bidi="ar"/>
              </w:rPr>
              <w:t>（5）保险培训服务分（满分 4分）</w:t>
            </w:r>
          </w:p>
          <w:p w14:paraId="5E7A43F1">
            <w:pPr>
              <w:keepNext w:val="0"/>
              <w:keepLines w:val="0"/>
              <w:widowControl/>
              <w:suppressLineNumbers w:val="0"/>
              <w:spacing w:before="0" w:beforeAutospacing="0" w:after="0" w:afterAutospacing="0"/>
              <w:ind w:left="0" w:right="0"/>
              <w:jc w:val="both"/>
              <w:rPr>
                <w:rFonts w:hint="eastAsia" w:ascii="宋体" w:hAnsi="宋体" w:cs="宋体"/>
                <w:color w:val="auto"/>
                <w:szCs w:val="21"/>
                <w:highlight w:val="none"/>
              </w:rPr>
            </w:pPr>
            <w:r>
              <w:rPr>
                <w:rFonts w:hint="eastAsia" w:ascii="宋体" w:hAnsi="宋体" w:eastAsia="宋体" w:cs="宋体"/>
                <w:color w:val="auto"/>
                <w:kern w:val="0"/>
                <w:sz w:val="21"/>
                <w:szCs w:val="21"/>
                <w:highlight w:val="none"/>
                <w:lang w:val="en-US" w:eastAsia="zh-CN" w:bidi="ar"/>
              </w:rPr>
              <w:t>一档（2 分）：有保险培训服务方案；</w:t>
            </w:r>
          </w:p>
          <w:p w14:paraId="131DD952">
            <w:pPr>
              <w:keepNext w:val="0"/>
              <w:keepLines w:val="0"/>
              <w:widowControl/>
              <w:suppressLineNumbers w:val="0"/>
              <w:spacing w:before="0" w:beforeAutospacing="0" w:after="0" w:afterAutospacing="0"/>
              <w:ind w:left="0" w:right="0"/>
              <w:jc w:val="both"/>
              <w:rPr>
                <w:rFonts w:hint="eastAsia" w:ascii="宋体" w:hAnsi="宋体" w:cs="宋体"/>
                <w:color w:val="auto"/>
                <w:szCs w:val="21"/>
                <w:highlight w:val="none"/>
              </w:rPr>
            </w:pPr>
            <w:r>
              <w:rPr>
                <w:rFonts w:hint="eastAsia" w:ascii="宋体" w:hAnsi="宋体" w:eastAsia="宋体" w:cs="宋体"/>
                <w:color w:val="auto"/>
                <w:kern w:val="0"/>
                <w:sz w:val="21"/>
                <w:szCs w:val="21"/>
                <w:highlight w:val="none"/>
                <w:lang w:val="en-US" w:eastAsia="zh-CN" w:bidi="ar"/>
              </w:rPr>
              <w:t>二档（4 分）：有保险培训服务方案，方案包括有课程安排计划，课程有针对性，有</w:t>
            </w:r>
            <w:r>
              <w:rPr>
                <w:rFonts w:hint="eastAsia" w:ascii="宋体" w:hAnsi="宋体" w:cs="宋体"/>
                <w:color w:val="auto"/>
                <w:kern w:val="0"/>
                <w:sz w:val="21"/>
                <w:szCs w:val="21"/>
                <w:highlight w:val="none"/>
                <w:lang w:val="en-US" w:eastAsia="zh-CN" w:bidi="ar"/>
              </w:rPr>
              <w:t>培训经验</w:t>
            </w:r>
            <w:r>
              <w:rPr>
                <w:rFonts w:hint="eastAsia" w:ascii="宋体" w:hAnsi="宋体" w:eastAsia="宋体" w:cs="宋体"/>
                <w:color w:val="auto"/>
                <w:kern w:val="0"/>
                <w:sz w:val="21"/>
                <w:szCs w:val="21"/>
                <w:highlight w:val="none"/>
                <w:lang w:val="en-US" w:eastAsia="zh-CN" w:bidi="ar"/>
              </w:rPr>
              <w:t>，在</w:t>
            </w:r>
            <w:r>
              <w:rPr>
                <w:rFonts w:hint="eastAsia" w:ascii="宋体" w:hAnsi="宋体" w:cs="宋体"/>
                <w:color w:val="auto"/>
                <w:kern w:val="0"/>
                <w:sz w:val="21"/>
                <w:szCs w:val="21"/>
                <w:highlight w:val="none"/>
                <w:lang w:val="en-US" w:eastAsia="zh-CN" w:bidi="ar"/>
              </w:rPr>
              <w:t>当地</w:t>
            </w:r>
            <w:r>
              <w:rPr>
                <w:rFonts w:hint="eastAsia" w:ascii="宋体" w:hAnsi="宋体" w:eastAsia="宋体" w:cs="宋体"/>
                <w:color w:val="auto"/>
                <w:kern w:val="0"/>
                <w:sz w:val="21"/>
                <w:szCs w:val="21"/>
                <w:highlight w:val="none"/>
                <w:lang w:val="en-US" w:eastAsia="zh-CN" w:bidi="ar"/>
              </w:rPr>
              <w:t>拥有培训基地（教室场地）（</w:t>
            </w:r>
            <w:r>
              <w:rPr>
                <w:rFonts w:hint="eastAsia" w:ascii="宋体" w:hAnsi="宋体" w:cs="宋体"/>
                <w:color w:val="auto"/>
                <w:kern w:val="0"/>
                <w:sz w:val="21"/>
                <w:szCs w:val="21"/>
                <w:highlight w:val="none"/>
                <w:lang w:val="en-US" w:eastAsia="zh-CN" w:bidi="ar"/>
              </w:rPr>
              <w:t>提供培训案例</w:t>
            </w:r>
            <w:r>
              <w:rPr>
                <w:rFonts w:hint="eastAsia" w:ascii="宋体" w:hAnsi="宋体" w:eastAsia="宋体" w:cs="宋体"/>
                <w:color w:val="auto"/>
                <w:kern w:val="0"/>
                <w:sz w:val="21"/>
                <w:szCs w:val="21"/>
                <w:highlight w:val="none"/>
                <w:lang w:val="en-US" w:eastAsia="zh-CN" w:bidi="ar"/>
              </w:rPr>
              <w:t>和培训基地</w:t>
            </w:r>
            <w:r>
              <w:rPr>
                <w:rFonts w:hint="eastAsia" w:ascii="宋体" w:hAnsi="宋体" w:cs="宋体"/>
                <w:color w:val="auto"/>
                <w:kern w:val="0"/>
                <w:sz w:val="21"/>
                <w:szCs w:val="21"/>
                <w:highlight w:val="none"/>
                <w:lang w:val="en-US" w:eastAsia="zh-CN" w:bidi="ar"/>
              </w:rPr>
              <w:t>的相关</w:t>
            </w:r>
            <w:r>
              <w:rPr>
                <w:rFonts w:hint="eastAsia" w:ascii="宋体" w:hAnsi="宋体" w:eastAsia="宋体" w:cs="宋体"/>
                <w:color w:val="auto"/>
                <w:kern w:val="0"/>
                <w:sz w:val="21"/>
                <w:szCs w:val="21"/>
                <w:highlight w:val="none"/>
                <w:lang w:val="en-US" w:eastAsia="zh-CN" w:bidi="ar"/>
              </w:rPr>
              <w:t>证明材料）。</w:t>
            </w:r>
          </w:p>
          <w:p w14:paraId="0FF94826">
            <w:pPr>
              <w:keepNext w:val="0"/>
              <w:keepLines w:val="0"/>
              <w:widowControl/>
              <w:suppressLineNumbers w:val="0"/>
              <w:spacing w:before="0" w:beforeAutospacing="0" w:after="0" w:afterAutospacing="0"/>
              <w:ind w:left="0" w:right="0"/>
              <w:jc w:val="both"/>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注：未提供保险培训服务</w:t>
            </w:r>
            <w:r>
              <w:rPr>
                <w:rFonts w:hint="eastAsia" w:ascii="宋体" w:hAnsi="宋体" w:cs="宋体"/>
                <w:color w:val="auto"/>
                <w:kern w:val="0"/>
                <w:sz w:val="21"/>
                <w:szCs w:val="21"/>
                <w:highlight w:val="none"/>
                <w:lang w:val="en-US" w:eastAsia="zh-CN" w:bidi="ar"/>
              </w:rPr>
              <w:t>方案的</w:t>
            </w:r>
            <w:r>
              <w:rPr>
                <w:rFonts w:hint="eastAsia" w:ascii="宋体" w:hAnsi="宋体" w:eastAsia="宋体" w:cs="宋体"/>
                <w:color w:val="auto"/>
                <w:kern w:val="0"/>
                <w:sz w:val="21"/>
                <w:szCs w:val="21"/>
                <w:highlight w:val="none"/>
                <w:lang w:val="en-US" w:eastAsia="zh-CN" w:bidi="ar"/>
              </w:rPr>
              <w:t>不得分。</w:t>
            </w:r>
          </w:p>
        </w:tc>
      </w:tr>
      <w:tr w14:paraId="3894F7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0" w:type="auto"/>
            <w:noWrap w:val="0"/>
            <w:vAlign w:val="center"/>
          </w:tcPr>
          <w:p w14:paraId="254CC3F4">
            <w:pPr>
              <w:keepNext w:val="0"/>
              <w:keepLines w:val="0"/>
              <w:suppressLineNumbers w:val="0"/>
              <w:spacing w:before="0" w:beforeAutospacing="0" w:after="0" w:afterAutospacing="0" w:line="560" w:lineRule="exact"/>
              <w:ind w:left="0" w:right="0"/>
              <w:jc w:val="center"/>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3</w:t>
            </w:r>
          </w:p>
        </w:tc>
        <w:tc>
          <w:tcPr>
            <w:tcW w:w="0" w:type="auto"/>
            <w:noWrap w:val="0"/>
            <w:vAlign w:val="center"/>
          </w:tcPr>
          <w:p w14:paraId="2477A0E3">
            <w:pPr>
              <w:keepNext w:val="0"/>
              <w:keepLines w:val="0"/>
              <w:widowControl/>
              <w:suppressLineNumbers w:val="0"/>
              <w:spacing w:before="0" w:beforeAutospacing="0" w:after="0" w:afterAutospacing="0"/>
              <w:ind w:left="0" w:right="0"/>
              <w:jc w:val="center"/>
              <w:rPr>
                <w:rFonts w:hint="eastAsia" w:ascii="宋体" w:hAnsi="宋体" w:cs="宋体"/>
                <w:color w:val="auto"/>
                <w:szCs w:val="21"/>
                <w:highlight w:val="none"/>
              </w:rPr>
            </w:pPr>
            <w:r>
              <w:rPr>
                <w:rFonts w:hint="eastAsia" w:ascii="宋体" w:hAnsi="宋体" w:eastAsia="宋体" w:cs="宋体"/>
                <w:color w:val="auto"/>
                <w:kern w:val="0"/>
                <w:sz w:val="21"/>
                <w:szCs w:val="21"/>
                <w:highlight w:val="none"/>
                <w:lang w:val="en-US" w:eastAsia="zh-CN" w:bidi="ar"/>
              </w:rPr>
              <w:t>保险业务管</w:t>
            </w:r>
          </w:p>
          <w:p w14:paraId="4914D0C3">
            <w:pPr>
              <w:keepNext w:val="0"/>
              <w:keepLines w:val="0"/>
              <w:widowControl/>
              <w:suppressLineNumbers w:val="0"/>
              <w:spacing w:before="0" w:beforeAutospacing="0" w:after="0" w:afterAutospacing="0"/>
              <w:ind w:left="0" w:right="0"/>
              <w:jc w:val="center"/>
              <w:rPr>
                <w:rFonts w:hint="eastAsia" w:ascii="宋体" w:hAnsi="宋体" w:cs="宋体"/>
                <w:color w:val="auto"/>
                <w:szCs w:val="21"/>
                <w:highlight w:val="none"/>
              </w:rPr>
            </w:pPr>
            <w:r>
              <w:rPr>
                <w:rFonts w:hint="eastAsia" w:ascii="宋体" w:hAnsi="宋体" w:eastAsia="宋体" w:cs="宋体"/>
                <w:color w:val="auto"/>
                <w:kern w:val="0"/>
                <w:sz w:val="21"/>
                <w:szCs w:val="21"/>
                <w:highlight w:val="none"/>
                <w:lang w:val="en-US" w:eastAsia="zh-CN" w:bidi="ar"/>
              </w:rPr>
              <w:t>理规章制度</w:t>
            </w:r>
          </w:p>
          <w:p w14:paraId="1445D63A">
            <w:pPr>
              <w:keepNext w:val="0"/>
              <w:keepLines w:val="0"/>
              <w:widowControl/>
              <w:suppressLineNumbers w:val="0"/>
              <w:spacing w:before="0" w:beforeAutospacing="0" w:after="0" w:afterAutospacing="0"/>
              <w:ind w:left="0" w:right="0"/>
              <w:jc w:val="center"/>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
              </w:rPr>
              <w:t>分</w:t>
            </w:r>
          </w:p>
        </w:tc>
        <w:tc>
          <w:tcPr>
            <w:tcW w:w="661" w:type="dxa"/>
            <w:noWrap w:val="0"/>
            <w:vAlign w:val="center"/>
          </w:tcPr>
          <w:p w14:paraId="2C35457B">
            <w:pPr>
              <w:keepNext w:val="0"/>
              <w:keepLines w:val="0"/>
              <w:suppressLineNumbers w:val="0"/>
              <w:spacing w:before="0" w:beforeAutospacing="0" w:after="0" w:afterAutospacing="0" w:line="560" w:lineRule="exact"/>
              <w:ind w:left="0" w:right="0"/>
              <w:jc w:val="center"/>
              <w:rPr>
                <w:rFonts w:hint="default" w:ascii="宋体" w:hAnsi="宋体" w:eastAsia="宋体" w:cs="宋体"/>
                <w:color w:val="auto"/>
                <w:sz w:val="21"/>
                <w:szCs w:val="21"/>
                <w:highlight w:val="none"/>
                <w:lang w:val="en-US"/>
              </w:rPr>
            </w:pPr>
            <w:r>
              <w:rPr>
                <w:rFonts w:hint="eastAsia" w:ascii="宋体" w:hAnsi="宋体" w:eastAsia="宋体" w:cs="宋体"/>
                <w:color w:val="auto"/>
                <w:kern w:val="0"/>
                <w:sz w:val="21"/>
                <w:szCs w:val="21"/>
                <w:highlight w:val="none"/>
                <w:lang w:val="en-US" w:eastAsia="zh-CN" w:bidi="ar"/>
              </w:rPr>
              <w:t>8</w:t>
            </w:r>
            <w:r>
              <w:rPr>
                <w:rFonts w:hint="eastAsia" w:ascii="宋体" w:hAnsi="宋体" w:cs="宋体"/>
                <w:color w:val="auto"/>
                <w:kern w:val="0"/>
                <w:sz w:val="21"/>
                <w:szCs w:val="21"/>
                <w:highlight w:val="none"/>
                <w:lang w:val="en-US" w:eastAsia="zh-CN" w:bidi="ar"/>
              </w:rPr>
              <w:t>分</w:t>
            </w:r>
          </w:p>
        </w:tc>
        <w:tc>
          <w:tcPr>
            <w:tcW w:w="6888" w:type="dxa"/>
            <w:noWrap w:val="0"/>
            <w:vAlign w:val="center"/>
          </w:tcPr>
          <w:p w14:paraId="4A2A001A">
            <w:pPr>
              <w:keepNext w:val="0"/>
              <w:keepLines w:val="0"/>
              <w:widowControl/>
              <w:suppressLineNumbers w:val="0"/>
              <w:spacing w:before="0" w:beforeAutospacing="0" w:after="0" w:afterAutospacing="0"/>
              <w:ind w:left="0" w:right="0"/>
              <w:jc w:val="left"/>
              <w:rPr>
                <w:rFonts w:hint="eastAsia" w:ascii="宋体" w:hAnsi="宋体" w:cs="宋体"/>
                <w:color w:val="auto"/>
                <w:szCs w:val="21"/>
                <w:highlight w:val="none"/>
              </w:rPr>
            </w:pPr>
            <w:r>
              <w:rPr>
                <w:rFonts w:hint="eastAsia" w:ascii="宋体" w:hAnsi="宋体" w:eastAsia="宋体" w:cs="宋体"/>
                <w:color w:val="auto"/>
                <w:kern w:val="0"/>
                <w:sz w:val="21"/>
                <w:szCs w:val="21"/>
                <w:highlight w:val="none"/>
                <w:lang w:val="en-US" w:eastAsia="zh-CN" w:bidi="ar"/>
              </w:rPr>
              <w:t xml:space="preserve">根据投标文件中提供的计划生育特殊家庭综合保险业务管理规章制度的完备性与可行性等内容分为三档（以投标文件提供的相关业务管理规章制度为准）： </w:t>
            </w:r>
          </w:p>
          <w:p w14:paraId="25348945">
            <w:pPr>
              <w:keepNext w:val="0"/>
              <w:keepLines w:val="0"/>
              <w:widowControl/>
              <w:suppressLineNumbers w:val="0"/>
              <w:spacing w:before="0" w:beforeAutospacing="0" w:after="0" w:afterAutospacing="0"/>
              <w:ind w:left="0" w:right="0"/>
              <w:jc w:val="left"/>
              <w:rPr>
                <w:rFonts w:hint="eastAsia" w:ascii="宋体" w:hAnsi="宋体" w:cs="宋体"/>
                <w:color w:val="auto"/>
                <w:szCs w:val="21"/>
                <w:highlight w:val="none"/>
              </w:rPr>
            </w:pPr>
            <w:r>
              <w:rPr>
                <w:rFonts w:hint="eastAsia" w:ascii="宋体" w:hAnsi="宋体" w:eastAsia="宋体" w:cs="宋体"/>
                <w:color w:val="auto"/>
                <w:kern w:val="0"/>
                <w:sz w:val="21"/>
                <w:szCs w:val="21"/>
                <w:highlight w:val="none"/>
                <w:lang w:val="en-US" w:eastAsia="zh-CN" w:bidi="ar"/>
              </w:rPr>
              <w:t>一档（2 分）：投标人</w:t>
            </w:r>
            <w:r>
              <w:rPr>
                <w:rFonts w:hint="eastAsia" w:ascii="宋体" w:hAnsi="宋体" w:cs="宋体"/>
                <w:color w:val="auto"/>
                <w:kern w:val="0"/>
                <w:sz w:val="21"/>
                <w:szCs w:val="21"/>
                <w:highlight w:val="none"/>
                <w:lang w:val="en-US" w:eastAsia="zh-CN" w:bidi="ar"/>
              </w:rPr>
              <w:t>提供的</w:t>
            </w:r>
            <w:r>
              <w:rPr>
                <w:rFonts w:hint="eastAsia" w:ascii="宋体" w:hAnsi="宋体" w:eastAsia="宋体" w:cs="宋体"/>
                <w:color w:val="auto"/>
                <w:kern w:val="0"/>
                <w:sz w:val="21"/>
                <w:szCs w:val="21"/>
                <w:highlight w:val="none"/>
                <w:lang w:val="en-US" w:eastAsia="zh-CN" w:bidi="ar"/>
              </w:rPr>
              <w:t>计划生育特殊家庭综合保险业务管理规章制度中有承保管理、理赔管理办法的；</w:t>
            </w:r>
          </w:p>
          <w:p w14:paraId="029678BE">
            <w:pPr>
              <w:keepNext w:val="0"/>
              <w:keepLines w:val="0"/>
              <w:widowControl/>
              <w:suppressLineNumbers w:val="0"/>
              <w:spacing w:before="0" w:beforeAutospacing="0" w:after="0" w:afterAutospacing="0"/>
              <w:ind w:left="0" w:right="0"/>
              <w:jc w:val="left"/>
              <w:rPr>
                <w:rFonts w:hint="eastAsia" w:ascii="宋体" w:hAnsi="宋体" w:cs="宋体"/>
                <w:color w:val="auto"/>
                <w:szCs w:val="21"/>
                <w:highlight w:val="none"/>
              </w:rPr>
            </w:pPr>
            <w:r>
              <w:rPr>
                <w:rFonts w:hint="eastAsia" w:ascii="宋体" w:hAnsi="宋体" w:eastAsia="宋体" w:cs="宋体"/>
                <w:color w:val="auto"/>
                <w:kern w:val="0"/>
                <w:sz w:val="21"/>
                <w:szCs w:val="21"/>
                <w:highlight w:val="none"/>
                <w:lang w:val="en-US" w:eastAsia="zh-CN" w:bidi="ar"/>
              </w:rPr>
              <w:t xml:space="preserve">二档（5分）：投标人提供的计划生育特殊家庭综合保险业务管理规章制度完备，涵盖业务管理、信息管理、单证管理、风险管理、客户服务的。 </w:t>
            </w:r>
          </w:p>
          <w:p w14:paraId="006CADF6">
            <w:pPr>
              <w:keepNext w:val="0"/>
              <w:keepLines w:val="0"/>
              <w:widowControl/>
              <w:suppressLineNumbers w:val="0"/>
              <w:spacing w:before="0" w:beforeAutospacing="0" w:after="0" w:afterAutospacing="0"/>
              <w:ind w:left="0" w:right="0"/>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三档（8 分）：投标人提供的计划生育特殊家庭综合保险业务管理规章制度完备，涵盖业务管理、信息管理、单证管理、风险管理、客户服务的，且有计划生育特殊家庭综合保险业务专项管理办法的。</w:t>
            </w:r>
          </w:p>
          <w:p w14:paraId="4026AFB3">
            <w:pPr>
              <w:keepNext w:val="0"/>
              <w:keepLines w:val="0"/>
              <w:widowControl/>
              <w:suppressLineNumbers w:val="0"/>
              <w:spacing w:before="0" w:beforeAutospacing="0" w:after="0" w:afterAutospacing="0"/>
              <w:ind w:left="0" w:right="0"/>
              <w:jc w:val="both"/>
              <w:rPr>
                <w:rFonts w:hint="eastAsia"/>
              </w:rPr>
            </w:pPr>
            <w:r>
              <w:rPr>
                <w:rFonts w:hint="eastAsia" w:ascii="宋体" w:hAnsi="宋体" w:eastAsia="宋体" w:cs="宋体"/>
                <w:color w:val="auto"/>
                <w:kern w:val="0"/>
                <w:sz w:val="21"/>
                <w:szCs w:val="21"/>
                <w:highlight w:val="none"/>
                <w:lang w:val="en-US" w:eastAsia="zh-CN" w:bidi="ar"/>
              </w:rPr>
              <w:t>注：未提供不得分。</w:t>
            </w:r>
          </w:p>
        </w:tc>
      </w:tr>
      <w:tr w14:paraId="31C402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69" w:hRule="atLeast"/>
          <w:jc w:val="center"/>
        </w:trPr>
        <w:tc>
          <w:tcPr>
            <w:tcW w:w="0" w:type="auto"/>
            <w:noWrap w:val="0"/>
            <w:vAlign w:val="center"/>
          </w:tcPr>
          <w:p w14:paraId="09B4D340">
            <w:pPr>
              <w:keepNext w:val="0"/>
              <w:keepLines w:val="0"/>
              <w:suppressLineNumbers w:val="0"/>
              <w:spacing w:before="0" w:beforeAutospacing="0" w:after="0" w:afterAutospacing="0" w:line="560" w:lineRule="exact"/>
              <w:ind w:left="0" w:right="0"/>
              <w:jc w:val="center"/>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4</w:t>
            </w:r>
          </w:p>
        </w:tc>
        <w:tc>
          <w:tcPr>
            <w:tcW w:w="0" w:type="auto"/>
            <w:noWrap w:val="0"/>
            <w:vAlign w:val="center"/>
          </w:tcPr>
          <w:p w14:paraId="518612A3">
            <w:pPr>
              <w:keepNext w:val="0"/>
              <w:keepLines w:val="0"/>
              <w:widowControl/>
              <w:suppressLineNumbers w:val="0"/>
              <w:spacing w:before="0" w:beforeAutospacing="0" w:after="0" w:afterAutospacing="0"/>
              <w:ind w:left="0" w:right="0"/>
              <w:jc w:val="center"/>
              <w:rPr>
                <w:rFonts w:hint="eastAsia" w:ascii="宋体" w:hAnsi="宋体" w:cs="宋体"/>
                <w:color w:val="auto"/>
                <w:szCs w:val="21"/>
                <w:highlight w:val="none"/>
              </w:rPr>
            </w:pPr>
            <w:r>
              <w:rPr>
                <w:rFonts w:hint="eastAsia" w:ascii="宋体" w:hAnsi="宋体" w:cs="宋体"/>
                <w:color w:val="auto"/>
                <w:kern w:val="0"/>
                <w:sz w:val="21"/>
                <w:szCs w:val="21"/>
                <w:highlight w:val="none"/>
                <w:lang w:val="en-US" w:eastAsia="zh-CN" w:bidi="ar"/>
              </w:rPr>
              <w:t>经营网点</w:t>
            </w:r>
            <w:r>
              <w:rPr>
                <w:rFonts w:hint="eastAsia" w:ascii="宋体" w:hAnsi="宋体" w:eastAsia="宋体" w:cs="宋体"/>
                <w:color w:val="auto"/>
                <w:kern w:val="0"/>
                <w:sz w:val="21"/>
                <w:szCs w:val="21"/>
                <w:highlight w:val="none"/>
                <w:lang w:val="en-US" w:eastAsia="zh-CN" w:bidi="ar"/>
              </w:rPr>
              <w:t>分</w:t>
            </w:r>
          </w:p>
          <w:p w14:paraId="4177C5D2">
            <w:pPr>
              <w:keepNext w:val="0"/>
              <w:keepLines w:val="0"/>
              <w:suppressLineNumbers w:val="0"/>
              <w:spacing w:before="0" w:beforeAutospacing="0" w:after="0" w:afterAutospacing="0" w:line="560" w:lineRule="exact"/>
              <w:ind w:left="0" w:right="0"/>
              <w:jc w:val="center"/>
              <w:rPr>
                <w:rFonts w:hint="eastAsia" w:ascii="宋体" w:hAnsi="宋体" w:eastAsia="宋体" w:cs="宋体"/>
                <w:color w:val="auto"/>
                <w:sz w:val="21"/>
                <w:szCs w:val="21"/>
                <w:highlight w:val="none"/>
              </w:rPr>
            </w:pPr>
          </w:p>
        </w:tc>
        <w:tc>
          <w:tcPr>
            <w:tcW w:w="661" w:type="dxa"/>
            <w:noWrap w:val="0"/>
            <w:vAlign w:val="center"/>
          </w:tcPr>
          <w:p w14:paraId="6A792715">
            <w:pPr>
              <w:keepNext w:val="0"/>
              <w:keepLines w:val="0"/>
              <w:widowControl/>
              <w:suppressLineNumbers w:val="0"/>
              <w:spacing w:before="0" w:beforeAutospacing="0" w:after="0" w:afterAutospacing="0"/>
              <w:ind w:left="0" w:right="0"/>
              <w:jc w:val="center"/>
              <w:rPr>
                <w:rFonts w:hint="default"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16</w:t>
            </w:r>
            <w:r>
              <w:rPr>
                <w:rFonts w:hint="eastAsia" w:ascii="宋体" w:hAnsi="宋体" w:cs="宋体"/>
                <w:color w:val="auto"/>
                <w:kern w:val="0"/>
                <w:sz w:val="21"/>
                <w:szCs w:val="21"/>
                <w:highlight w:val="none"/>
                <w:lang w:val="en-US" w:eastAsia="zh-CN" w:bidi="ar"/>
              </w:rPr>
              <w:t>分</w:t>
            </w:r>
          </w:p>
          <w:p w14:paraId="5B7CF115">
            <w:pPr>
              <w:keepNext w:val="0"/>
              <w:keepLines w:val="0"/>
              <w:widowControl/>
              <w:suppressLineNumbers w:val="0"/>
              <w:spacing w:before="0" w:beforeAutospacing="0" w:after="0" w:afterAutospacing="0"/>
              <w:ind w:left="0" w:right="0"/>
              <w:jc w:val="center"/>
              <w:rPr>
                <w:rFonts w:hint="eastAsia" w:ascii="宋体" w:hAnsi="宋体" w:eastAsia="宋体" w:cs="宋体"/>
                <w:color w:val="auto"/>
                <w:kern w:val="0"/>
                <w:sz w:val="21"/>
                <w:szCs w:val="21"/>
                <w:highlight w:val="none"/>
                <w:lang w:val="en-US" w:eastAsia="zh-CN" w:bidi="ar"/>
              </w:rPr>
            </w:pPr>
          </w:p>
        </w:tc>
        <w:tc>
          <w:tcPr>
            <w:tcW w:w="6888" w:type="dxa"/>
            <w:noWrap w:val="0"/>
            <w:vAlign w:val="center"/>
          </w:tcPr>
          <w:p w14:paraId="7597DFB7">
            <w:pPr>
              <w:keepNext w:val="0"/>
              <w:keepLines w:val="0"/>
              <w:widowControl/>
              <w:suppressLineNumbers w:val="0"/>
              <w:tabs>
                <w:tab w:val="left" w:pos="1440"/>
              </w:tabs>
              <w:spacing w:before="0" w:beforeAutospacing="0" w:after="0" w:afterAutospacing="0" w:line="360" w:lineRule="exact"/>
              <w:ind w:left="0" w:right="0" w:firstLine="420" w:firstLineChars="200"/>
              <w:jc w:val="left"/>
              <w:rPr>
                <w:rFonts w:hint="eastAsia" w:ascii="宋体" w:hAnsi="宋体" w:cs="Arial"/>
                <w:bCs/>
                <w:color w:val="auto"/>
                <w:kern w:val="0"/>
                <w:szCs w:val="21"/>
                <w:highlight w:val="none"/>
                <w:lang w:val="en-US" w:eastAsia="zh-CN"/>
              </w:rPr>
            </w:pPr>
            <w:r>
              <w:rPr>
                <w:rFonts w:hint="eastAsia" w:ascii="宋体" w:hAnsi="宋体" w:cs="Arial"/>
                <w:bCs/>
                <w:color w:val="auto"/>
                <w:kern w:val="0"/>
                <w:szCs w:val="21"/>
                <w:highlight w:val="none"/>
                <w:lang w:val="en-US" w:eastAsia="zh-CN"/>
              </w:rPr>
              <w:t>在满足采购需求的前提下，评标委员会根据投标人全区经营网点布局完整性、网点持证合规情况综合评审。</w:t>
            </w:r>
          </w:p>
          <w:p w14:paraId="2B2E4A7E">
            <w:pPr>
              <w:keepNext w:val="0"/>
              <w:keepLines w:val="0"/>
              <w:widowControl/>
              <w:suppressLineNumbers w:val="0"/>
              <w:spacing w:before="0" w:beforeAutospacing="0" w:after="0" w:afterAutospacing="0"/>
              <w:ind w:left="0" w:right="0"/>
              <w:jc w:val="left"/>
              <w:rPr>
                <w:rFonts w:hint="eastAsia" w:ascii="宋体" w:hAnsi="宋体" w:eastAsia="宋体" w:cs="宋体"/>
                <w:color w:val="auto"/>
                <w:kern w:val="0"/>
                <w:sz w:val="21"/>
                <w:szCs w:val="21"/>
                <w:highlight w:val="none"/>
                <w:lang w:val="en-US" w:eastAsia="zh-CN" w:bidi="ar"/>
              </w:rPr>
            </w:pPr>
            <w:r>
              <w:rPr>
                <w:rFonts w:hint="eastAsia" w:ascii="宋体" w:hAnsi="宋体" w:cs="宋体"/>
                <w:color w:val="auto"/>
                <w:kern w:val="0"/>
                <w:sz w:val="21"/>
                <w:szCs w:val="21"/>
                <w:highlight w:val="none"/>
                <w:lang w:val="en-US" w:eastAsia="zh-CN" w:bidi="ar"/>
              </w:rPr>
              <w:t xml:space="preserve">  经营网点</w:t>
            </w:r>
            <w:r>
              <w:rPr>
                <w:rFonts w:hint="eastAsia" w:ascii="宋体" w:hAnsi="宋体" w:eastAsia="宋体" w:cs="宋体"/>
                <w:color w:val="auto"/>
                <w:kern w:val="0"/>
                <w:sz w:val="21"/>
                <w:szCs w:val="21"/>
                <w:highlight w:val="none"/>
                <w:lang w:val="en-US" w:eastAsia="zh-CN" w:bidi="ar"/>
              </w:rPr>
              <w:t xml:space="preserve">是指投标人所辖的分公司、中心支公司、支公司、营业部、营销服务部，投标人需提供监管下发的经营保险业务许可证复印件(不包括中介代理机构、远程出单点或服务点)。 </w:t>
            </w:r>
          </w:p>
          <w:p w14:paraId="76584EE3">
            <w:pPr>
              <w:keepNext w:val="0"/>
              <w:keepLines w:val="0"/>
              <w:widowControl/>
              <w:suppressLineNumbers w:val="0"/>
              <w:spacing w:before="0" w:beforeAutospacing="0" w:after="0" w:afterAutospacing="0"/>
              <w:ind w:left="0" w:right="0"/>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一档（7 分）：投标人设区市设</w:t>
            </w:r>
            <w:r>
              <w:rPr>
                <w:rFonts w:hint="eastAsia" w:ascii="宋体" w:hAnsi="宋体" w:cs="宋体"/>
                <w:color w:val="auto"/>
                <w:kern w:val="0"/>
                <w:sz w:val="21"/>
                <w:szCs w:val="21"/>
                <w:highlight w:val="none"/>
                <w:lang w:val="en-US" w:eastAsia="zh-CN" w:bidi="ar"/>
              </w:rPr>
              <w:t>经营网点</w:t>
            </w:r>
            <w:r>
              <w:rPr>
                <w:rFonts w:hint="eastAsia" w:ascii="宋体" w:hAnsi="宋体" w:eastAsia="宋体" w:cs="宋体"/>
                <w:color w:val="auto"/>
                <w:kern w:val="0"/>
                <w:sz w:val="21"/>
                <w:szCs w:val="21"/>
                <w:highlight w:val="none"/>
                <w:lang w:val="en-US" w:eastAsia="zh-CN" w:bidi="ar"/>
              </w:rPr>
              <w:t>数量达到 14 个，县（市、区）设</w:t>
            </w:r>
            <w:r>
              <w:rPr>
                <w:rFonts w:hint="eastAsia" w:ascii="宋体" w:hAnsi="宋体" w:cs="宋体"/>
                <w:color w:val="auto"/>
                <w:kern w:val="0"/>
                <w:sz w:val="21"/>
                <w:szCs w:val="21"/>
                <w:highlight w:val="none"/>
                <w:lang w:val="en-US" w:eastAsia="zh-CN" w:bidi="ar"/>
              </w:rPr>
              <w:t>经营网点</w:t>
            </w:r>
            <w:r>
              <w:rPr>
                <w:rFonts w:hint="eastAsia" w:ascii="宋体" w:hAnsi="宋体" w:eastAsia="宋体" w:cs="宋体"/>
                <w:color w:val="auto"/>
                <w:kern w:val="0"/>
                <w:sz w:val="21"/>
                <w:szCs w:val="21"/>
                <w:highlight w:val="none"/>
                <w:lang w:val="en-US" w:eastAsia="zh-CN" w:bidi="ar"/>
              </w:rPr>
              <w:t>（含营销部）数量在 1-70 个之间【其中县（市、区）（不含市辖区和开发区）设</w:t>
            </w:r>
            <w:r>
              <w:rPr>
                <w:rFonts w:hint="eastAsia" w:ascii="宋体" w:hAnsi="宋体" w:cs="宋体"/>
                <w:color w:val="auto"/>
                <w:kern w:val="0"/>
                <w:sz w:val="21"/>
                <w:szCs w:val="21"/>
                <w:highlight w:val="none"/>
                <w:lang w:val="en-US" w:eastAsia="zh-CN" w:bidi="ar"/>
              </w:rPr>
              <w:t>经营网点</w:t>
            </w:r>
            <w:r>
              <w:rPr>
                <w:rFonts w:hint="eastAsia" w:ascii="宋体" w:hAnsi="宋体" w:eastAsia="宋体" w:cs="宋体"/>
                <w:color w:val="auto"/>
                <w:kern w:val="0"/>
                <w:sz w:val="21"/>
                <w:szCs w:val="21"/>
                <w:highlight w:val="none"/>
                <w:lang w:val="en-US" w:eastAsia="zh-CN" w:bidi="ar"/>
              </w:rPr>
              <w:t xml:space="preserve">1-50个之间】）的。 </w:t>
            </w:r>
          </w:p>
          <w:p w14:paraId="4C37AB30">
            <w:pPr>
              <w:keepNext w:val="0"/>
              <w:keepLines w:val="0"/>
              <w:widowControl/>
              <w:suppressLineNumbers w:val="0"/>
              <w:spacing w:before="0" w:beforeAutospacing="0" w:after="0" w:afterAutospacing="0"/>
              <w:ind w:left="0" w:right="0"/>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二档（10 分）：投标人设区市设</w:t>
            </w:r>
            <w:r>
              <w:rPr>
                <w:rFonts w:hint="eastAsia" w:ascii="宋体" w:hAnsi="宋体" w:cs="宋体"/>
                <w:color w:val="auto"/>
                <w:kern w:val="0"/>
                <w:sz w:val="21"/>
                <w:szCs w:val="21"/>
                <w:highlight w:val="none"/>
                <w:lang w:val="en-US" w:eastAsia="zh-CN" w:bidi="ar"/>
              </w:rPr>
              <w:t>经营网点</w:t>
            </w:r>
            <w:r>
              <w:rPr>
                <w:rFonts w:hint="eastAsia" w:ascii="宋体" w:hAnsi="宋体" w:eastAsia="宋体" w:cs="宋体"/>
                <w:color w:val="auto"/>
                <w:kern w:val="0"/>
                <w:sz w:val="21"/>
                <w:szCs w:val="21"/>
                <w:highlight w:val="none"/>
                <w:lang w:val="en-US" w:eastAsia="zh-CN" w:bidi="ar"/>
              </w:rPr>
              <w:t>数量达到 14 个，县（市、区）设</w:t>
            </w:r>
            <w:r>
              <w:rPr>
                <w:rFonts w:hint="eastAsia" w:ascii="宋体" w:hAnsi="宋体" w:cs="宋体"/>
                <w:color w:val="auto"/>
                <w:kern w:val="0"/>
                <w:sz w:val="21"/>
                <w:szCs w:val="21"/>
                <w:highlight w:val="none"/>
                <w:lang w:val="en-US" w:eastAsia="zh-CN" w:bidi="ar"/>
              </w:rPr>
              <w:t>经营网点</w:t>
            </w:r>
            <w:r>
              <w:rPr>
                <w:rFonts w:hint="eastAsia" w:ascii="宋体" w:hAnsi="宋体" w:eastAsia="宋体" w:cs="宋体"/>
                <w:color w:val="auto"/>
                <w:kern w:val="0"/>
                <w:sz w:val="21"/>
                <w:szCs w:val="21"/>
                <w:highlight w:val="none"/>
                <w:lang w:val="en-US" w:eastAsia="zh-CN" w:bidi="ar"/>
              </w:rPr>
              <w:t>（含营销部）数量在 71-80 个之间【其中县（市、区）（不含市辖区和开发区）设</w:t>
            </w:r>
            <w:r>
              <w:rPr>
                <w:rFonts w:hint="eastAsia" w:ascii="宋体" w:hAnsi="宋体" w:cs="宋体"/>
                <w:color w:val="auto"/>
                <w:kern w:val="0"/>
                <w:sz w:val="21"/>
                <w:szCs w:val="21"/>
                <w:highlight w:val="none"/>
                <w:lang w:val="en-US" w:eastAsia="zh-CN" w:bidi="ar"/>
              </w:rPr>
              <w:t>经营网点</w:t>
            </w:r>
            <w:r>
              <w:rPr>
                <w:rFonts w:hint="eastAsia" w:ascii="宋体" w:hAnsi="宋体" w:eastAsia="宋体" w:cs="宋体"/>
                <w:color w:val="auto"/>
                <w:kern w:val="0"/>
                <w:sz w:val="21"/>
                <w:szCs w:val="21"/>
                <w:highlight w:val="none"/>
                <w:lang w:val="en-US" w:eastAsia="zh-CN" w:bidi="ar"/>
              </w:rPr>
              <w:t xml:space="preserve">51-60个之间】的。 </w:t>
            </w:r>
          </w:p>
          <w:p w14:paraId="204CE0FA">
            <w:pPr>
              <w:keepNext w:val="0"/>
              <w:keepLines w:val="0"/>
              <w:widowControl/>
              <w:suppressLineNumbers w:val="0"/>
              <w:spacing w:before="0" w:beforeAutospacing="0" w:after="0" w:afterAutospacing="0"/>
              <w:ind w:left="0" w:right="0"/>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三档（14 分）：投标人设区市设</w:t>
            </w:r>
            <w:r>
              <w:rPr>
                <w:rFonts w:hint="eastAsia" w:ascii="宋体" w:hAnsi="宋体" w:cs="宋体"/>
                <w:color w:val="auto"/>
                <w:kern w:val="0"/>
                <w:sz w:val="21"/>
                <w:szCs w:val="21"/>
                <w:highlight w:val="none"/>
                <w:lang w:val="en-US" w:eastAsia="zh-CN" w:bidi="ar"/>
              </w:rPr>
              <w:t>经营网点</w:t>
            </w:r>
            <w:r>
              <w:rPr>
                <w:rFonts w:hint="eastAsia" w:ascii="宋体" w:hAnsi="宋体" w:eastAsia="宋体" w:cs="宋体"/>
                <w:color w:val="auto"/>
                <w:kern w:val="0"/>
                <w:sz w:val="21"/>
                <w:szCs w:val="21"/>
                <w:highlight w:val="none"/>
                <w:lang w:val="en-US" w:eastAsia="zh-CN" w:bidi="ar"/>
              </w:rPr>
              <w:t>数量达到 14 个，县（市、区）设</w:t>
            </w:r>
            <w:r>
              <w:rPr>
                <w:rFonts w:hint="eastAsia" w:ascii="宋体" w:hAnsi="宋体" w:cs="宋体"/>
                <w:color w:val="auto"/>
                <w:kern w:val="0"/>
                <w:sz w:val="21"/>
                <w:szCs w:val="21"/>
                <w:highlight w:val="none"/>
                <w:lang w:val="en-US" w:eastAsia="zh-CN" w:bidi="ar"/>
              </w:rPr>
              <w:t>经营网点</w:t>
            </w:r>
            <w:r>
              <w:rPr>
                <w:rFonts w:hint="eastAsia" w:ascii="宋体" w:hAnsi="宋体" w:eastAsia="宋体" w:cs="宋体"/>
                <w:color w:val="auto"/>
                <w:kern w:val="0"/>
                <w:sz w:val="21"/>
                <w:szCs w:val="21"/>
                <w:highlight w:val="none"/>
                <w:lang w:val="en-US" w:eastAsia="zh-CN" w:bidi="ar"/>
              </w:rPr>
              <w:t>（含营销部）数量在 81-90 个之间【其中县（市、区）（不含市辖区和开发区）设</w:t>
            </w:r>
            <w:r>
              <w:rPr>
                <w:rFonts w:hint="eastAsia" w:ascii="宋体" w:hAnsi="宋体" w:cs="宋体"/>
                <w:color w:val="auto"/>
                <w:kern w:val="0"/>
                <w:sz w:val="21"/>
                <w:szCs w:val="21"/>
                <w:highlight w:val="none"/>
                <w:lang w:val="en-US" w:eastAsia="zh-CN" w:bidi="ar"/>
              </w:rPr>
              <w:t>经营网点</w:t>
            </w:r>
            <w:r>
              <w:rPr>
                <w:rFonts w:hint="eastAsia" w:ascii="宋体" w:hAnsi="宋体" w:eastAsia="宋体" w:cs="宋体"/>
                <w:color w:val="auto"/>
                <w:kern w:val="0"/>
                <w:sz w:val="21"/>
                <w:szCs w:val="21"/>
                <w:highlight w:val="none"/>
                <w:lang w:val="en-US" w:eastAsia="zh-CN" w:bidi="ar"/>
              </w:rPr>
              <w:t xml:space="preserve">61-65个之间】的。 </w:t>
            </w:r>
          </w:p>
          <w:p w14:paraId="01045E98">
            <w:pPr>
              <w:keepNext w:val="0"/>
              <w:keepLines w:val="0"/>
              <w:widowControl/>
              <w:suppressLineNumbers w:val="0"/>
              <w:spacing w:before="0" w:beforeAutospacing="0" w:after="0" w:afterAutospacing="0"/>
              <w:ind w:left="0" w:right="0"/>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四档（16 分）：投标人设区市设</w:t>
            </w:r>
            <w:r>
              <w:rPr>
                <w:rFonts w:hint="eastAsia" w:ascii="宋体" w:hAnsi="宋体" w:cs="宋体"/>
                <w:color w:val="auto"/>
                <w:kern w:val="0"/>
                <w:sz w:val="21"/>
                <w:szCs w:val="21"/>
                <w:highlight w:val="none"/>
                <w:lang w:val="en-US" w:eastAsia="zh-CN" w:bidi="ar"/>
              </w:rPr>
              <w:t>经营网点</w:t>
            </w:r>
            <w:r>
              <w:rPr>
                <w:rFonts w:hint="eastAsia" w:ascii="宋体" w:hAnsi="宋体" w:eastAsia="宋体" w:cs="宋体"/>
                <w:color w:val="auto"/>
                <w:kern w:val="0"/>
                <w:sz w:val="21"/>
                <w:szCs w:val="21"/>
                <w:highlight w:val="none"/>
                <w:lang w:val="en-US" w:eastAsia="zh-CN" w:bidi="ar"/>
              </w:rPr>
              <w:t>数量达到 14 个，县（市、区）设</w:t>
            </w:r>
            <w:r>
              <w:rPr>
                <w:rFonts w:hint="eastAsia" w:ascii="宋体" w:hAnsi="宋体" w:cs="宋体"/>
                <w:color w:val="auto"/>
                <w:kern w:val="0"/>
                <w:sz w:val="21"/>
                <w:szCs w:val="21"/>
                <w:highlight w:val="none"/>
                <w:lang w:val="en-US" w:eastAsia="zh-CN" w:bidi="ar"/>
              </w:rPr>
              <w:t>经营网点</w:t>
            </w:r>
            <w:r>
              <w:rPr>
                <w:rFonts w:hint="eastAsia" w:ascii="宋体" w:hAnsi="宋体" w:eastAsia="宋体" w:cs="宋体"/>
                <w:color w:val="auto"/>
                <w:kern w:val="0"/>
                <w:sz w:val="21"/>
                <w:szCs w:val="21"/>
                <w:highlight w:val="none"/>
                <w:lang w:val="en-US" w:eastAsia="zh-CN" w:bidi="ar"/>
              </w:rPr>
              <w:t>（含营销部）数量在 91 个及以上【其中县（市、区）（不含市辖区和开发区）设</w:t>
            </w:r>
            <w:r>
              <w:rPr>
                <w:rFonts w:hint="eastAsia" w:ascii="宋体" w:hAnsi="宋体" w:cs="宋体"/>
                <w:color w:val="auto"/>
                <w:kern w:val="0"/>
                <w:sz w:val="21"/>
                <w:szCs w:val="21"/>
                <w:highlight w:val="none"/>
                <w:lang w:val="en-US" w:eastAsia="zh-CN" w:bidi="ar"/>
              </w:rPr>
              <w:t>经营网点</w:t>
            </w:r>
            <w:r>
              <w:rPr>
                <w:rFonts w:hint="eastAsia" w:ascii="宋体" w:hAnsi="宋体" w:eastAsia="宋体" w:cs="宋体"/>
                <w:color w:val="auto"/>
                <w:kern w:val="0"/>
                <w:sz w:val="21"/>
                <w:szCs w:val="21"/>
                <w:highlight w:val="none"/>
                <w:lang w:val="en-US" w:eastAsia="zh-CN" w:bidi="ar"/>
              </w:rPr>
              <w:t>66-70个之间】的。</w:t>
            </w:r>
          </w:p>
          <w:p w14:paraId="0ABDAA6A">
            <w:pPr>
              <w:keepNext w:val="0"/>
              <w:keepLines w:val="0"/>
              <w:widowControl/>
              <w:suppressLineNumbers w:val="0"/>
              <w:spacing w:before="0" w:beforeAutospacing="0" w:after="0" w:afterAutospacing="0"/>
              <w:ind w:left="0" w:right="0"/>
              <w:jc w:val="left"/>
              <w:rPr>
                <w:rFonts w:hint="default" w:ascii="宋体" w:hAnsi="宋体" w:eastAsia="宋体" w:cs="宋体"/>
                <w:color w:val="auto"/>
                <w:kern w:val="0"/>
                <w:sz w:val="21"/>
                <w:szCs w:val="21"/>
                <w:highlight w:val="none"/>
                <w:lang w:val="en-US" w:eastAsia="zh-CN" w:bidi="ar"/>
              </w:rPr>
            </w:pPr>
            <w:r>
              <w:rPr>
                <w:rFonts w:hint="eastAsia" w:ascii="宋体" w:hAnsi="宋体" w:cs="宋体"/>
                <w:color w:val="auto"/>
                <w:kern w:val="0"/>
                <w:sz w:val="21"/>
                <w:szCs w:val="21"/>
                <w:highlight w:val="none"/>
                <w:lang w:val="en-US" w:eastAsia="zh-CN" w:bidi="ar"/>
              </w:rPr>
              <w:t xml:space="preserve">  备注：同一</w:t>
            </w:r>
            <w:r>
              <w:rPr>
                <w:rFonts w:hint="eastAsia" w:ascii="宋体" w:hAnsi="宋体" w:eastAsia="宋体" w:cs="宋体"/>
                <w:color w:val="auto"/>
                <w:kern w:val="0"/>
                <w:sz w:val="21"/>
                <w:szCs w:val="21"/>
                <w:highlight w:val="none"/>
                <w:lang w:val="en-US" w:eastAsia="zh-CN" w:bidi="ar"/>
              </w:rPr>
              <w:t>县（市、区）（不含市辖区和开发区）</w:t>
            </w:r>
            <w:r>
              <w:rPr>
                <w:rFonts w:hint="eastAsia" w:ascii="宋体" w:hAnsi="宋体" w:cs="宋体"/>
                <w:color w:val="auto"/>
                <w:kern w:val="0"/>
                <w:sz w:val="21"/>
                <w:szCs w:val="21"/>
                <w:highlight w:val="none"/>
                <w:lang w:val="en-US" w:eastAsia="zh-CN" w:bidi="ar"/>
              </w:rPr>
              <w:t>范围内设有多处经营网点的，仅按 1 个网点计分，不重复累加。</w:t>
            </w:r>
          </w:p>
        </w:tc>
      </w:tr>
      <w:tr w14:paraId="6BD613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169" w:hRule="atLeast"/>
          <w:jc w:val="center"/>
        </w:trPr>
        <w:tc>
          <w:tcPr>
            <w:tcW w:w="0" w:type="auto"/>
            <w:noWrap w:val="0"/>
            <w:vAlign w:val="center"/>
          </w:tcPr>
          <w:p w14:paraId="69644024">
            <w:pPr>
              <w:keepNext w:val="0"/>
              <w:keepLines w:val="0"/>
              <w:suppressLineNumbers w:val="0"/>
              <w:spacing w:before="0" w:beforeAutospacing="0" w:after="0" w:afterAutospacing="0" w:line="560" w:lineRule="exact"/>
              <w:ind w:left="0" w:right="0"/>
              <w:jc w:val="center"/>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5</w:t>
            </w:r>
          </w:p>
        </w:tc>
        <w:tc>
          <w:tcPr>
            <w:tcW w:w="0" w:type="auto"/>
            <w:noWrap w:val="0"/>
            <w:vAlign w:val="center"/>
          </w:tcPr>
          <w:p w14:paraId="1FA6721F">
            <w:pPr>
              <w:keepNext w:val="0"/>
              <w:keepLines w:val="0"/>
              <w:widowControl/>
              <w:suppressLineNumbers w:val="0"/>
              <w:spacing w:before="0" w:beforeAutospacing="0" w:after="0" w:afterAutospacing="0"/>
              <w:ind w:left="0" w:right="0"/>
              <w:jc w:val="center"/>
              <w:rPr>
                <w:rFonts w:hint="eastAsia" w:ascii="宋体" w:hAnsi="宋体" w:cs="宋体"/>
                <w:color w:val="auto"/>
                <w:szCs w:val="21"/>
                <w:highlight w:val="none"/>
              </w:rPr>
            </w:pPr>
            <w:r>
              <w:rPr>
                <w:rFonts w:hint="eastAsia" w:ascii="宋体" w:hAnsi="宋体" w:eastAsia="宋体" w:cs="宋体"/>
                <w:color w:val="auto"/>
                <w:kern w:val="0"/>
                <w:sz w:val="21"/>
                <w:szCs w:val="21"/>
                <w:highlight w:val="none"/>
                <w:lang w:val="en-US" w:eastAsia="zh-CN" w:bidi="ar"/>
              </w:rPr>
              <w:t>综合能力分</w:t>
            </w:r>
          </w:p>
          <w:p w14:paraId="310EF41A">
            <w:pPr>
              <w:keepNext w:val="0"/>
              <w:keepLines w:val="0"/>
              <w:suppressLineNumbers w:val="0"/>
              <w:spacing w:before="0" w:beforeAutospacing="0" w:after="0" w:afterAutospacing="0" w:line="560" w:lineRule="exact"/>
              <w:ind w:left="0" w:right="0"/>
              <w:jc w:val="center"/>
              <w:rPr>
                <w:rFonts w:hint="eastAsia" w:ascii="宋体" w:hAnsi="宋体" w:eastAsia="宋体" w:cs="宋体"/>
                <w:color w:val="auto"/>
                <w:sz w:val="21"/>
                <w:szCs w:val="21"/>
                <w:highlight w:val="none"/>
              </w:rPr>
            </w:pPr>
          </w:p>
        </w:tc>
        <w:tc>
          <w:tcPr>
            <w:tcW w:w="661" w:type="dxa"/>
            <w:noWrap w:val="0"/>
            <w:vAlign w:val="center"/>
          </w:tcPr>
          <w:p w14:paraId="470BCEAA">
            <w:pPr>
              <w:keepNext w:val="0"/>
              <w:keepLines w:val="0"/>
              <w:widowControl/>
              <w:suppressLineNumbers w:val="0"/>
              <w:spacing w:before="0" w:beforeAutospacing="0" w:after="0" w:afterAutospacing="0"/>
              <w:ind w:left="0" w:right="0"/>
              <w:jc w:val="center"/>
              <w:rPr>
                <w:rFonts w:hint="default" w:ascii="宋体" w:hAnsi="宋体" w:eastAsia="宋体" w:cs="宋体"/>
                <w:color w:val="auto"/>
                <w:sz w:val="21"/>
                <w:szCs w:val="21"/>
                <w:highlight w:val="none"/>
                <w:lang w:val="en-US"/>
              </w:rPr>
            </w:pPr>
            <w:r>
              <w:rPr>
                <w:rFonts w:hint="eastAsia" w:ascii="宋体" w:hAnsi="宋体" w:eastAsia="宋体" w:cs="宋体"/>
                <w:color w:val="auto"/>
                <w:kern w:val="0"/>
                <w:sz w:val="21"/>
                <w:szCs w:val="21"/>
                <w:highlight w:val="none"/>
                <w:lang w:val="en-US" w:eastAsia="zh-CN" w:bidi="ar"/>
              </w:rPr>
              <w:t>12</w:t>
            </w:r>
            <w:r>
              <w:rPr>
                <w:rFonts w:hint="eastAsia" w:ascii="宋体" w:hAnsi="宋体" w:cs="宋体"/>
                <w:color w:val="auto"/>
                <w:kern w:val="0"/>
                <w:sz w:val="21"/>
                <w:szCs w:val="21"/>
                <w:highlight w:val="none"/>
                <w:lang w:val="en-US" w:eastAsia="zh-CN" w:bidi="ar"/>
              </w:rPr>
              <w:t>分</w:t>
            </w:r>
          </w:p>
        </w:tc>
        <w:tc>
          <w:tcPr>
            <w:tcW w:w="6888" w:type="dxa"/>
            <w:noWrap w:val="0"/>
            <w:vAlign w:val="center"/>
          </w:tcPr>
          <w:p w14:paraId="1FE7952C">
            <w:pPr>
              <w:keepNext w:val="0"/>
              <w:keepLines w:val="0"/>
              <w:widowControl/>
              <w:suppressLineNumbers w:val="0"/>
              <w:spacing w:before="0" w:beforeAutospacing="0" w:after="0" w:afterAutospacing="0"/>
              <w:ind w:left="0" w:right="0"/>
              <w:jc w:val="left"/>
              <w:rPr>
                <w:rFonts w:hint="eastAsia" w:ascii="宋体" w:hAnsi="宋体" w:cs="宋体"/>
                <w:color w:val="auto"/>
                <w:szCs w:val="21"/>
                <w:highlight w:val="none"/>
              </w:rPr>
            </w:pPr>
            <w:r>
              <w:rPr>
                <w:rFonts w:hint="eastAsia" w:ascii="宋体" w:hAnsi="宋体" w:eastAsia="宋体" w:cs="宋体"/>
                <w:b/>
                <w:bCs/>
                <w:color w:val="auto"/>
                <w:kern w:val="0"/>
                <w:sz w:val="21"/>
                <w:szCs w:val="21"/>
                <w:highlight w:val="none"/>
                <w:lang w:val="en-US" w:eastAsia="zh-CN" w:bidi="ar"/>
              </w:rPr>
              <w:t xml:space="preserve">（1）综合偿付能力充足率（满分 6 分) </w:t>
            </w:r>
          </w:p>
          <w:p w14:paraId="31C3EBE3">
            <w:pPr>
              <w:keepNext w:val="0"/>
              <w:keepLines w:val="0"/>
              <w:widowControl/>
              <w:suppressLineNumbers w:val="0"/>
              <w:spacing w:before="0" w:beforeAutospacing="0" w:after="0" w:afterAutospacing="0"/>
              <w:ind w:left="0" w:right="0"/>
              <w:jc w:val="left"/>
              <w:rPr>
                <w:rFonts w:hint="eastAsia" w:ascii="宋体" w:hAnsi="宋体" w:cs="宋体"/>
                <w:color w:val="auto"/>
                <w:szCs w:val="21"/>
                <w:highlight w:val="none"/>
              </w:rPr>
            </w:pPr>
            <w:r>
              <w:rPr>
                <w:rFonts w:hint="eastAsia" w:ascii="宋体" w:hAnsi="宋体" w:eastAsia="宋体" w:cs="宋体"/>
                <w:color w:val="auto"/>
                <w:kern w:val="0"/>
                <w:sz w:val="21"/>
                <w:szCs w:val="21"/>
                <w:highlight w:val="none"/>
                <w:lang w:val="en-US" w:eastAsia="zh-CN" w:bidi="ar"/>
              </w:rPr>
              <w:t xml:space="preserve">1）投标人法人机构（总公司）2026 年第 1 季度的综合偿付能力充足率高于保监委监管指标即 200%（不含）的得满分 6 分； </w:t>
            </w:r>
          </w:p>
          <w:p w14:paraId="27BD43E4">
            <w:pPr>
              <w:keepNext w:val="0"/>
              <w:keepLines w:val="0"/>
              <w:widowControl/>
              <w:suppressLineNumbers w:val="0"/>
              <w:spacing w:before="0" w:beforeAutospacing="0" w:after="0" w:afterAutospacing="0"/>
              <w:ind w:left="0" w:right="0"/>
              <w:jc w:val="left"/>
              <w:rPr>
                <w:rFonts w:hint="eastAsia" w:ascii="宋体" w:hAnsi="宋体" w:cs="宋体"/>
                <w:color w:val="auto"/>
                <w:szCs w:val="21"/>
                <w:highlight w:val="none"/>
              </w:rPr>
            </w:pPr>
            <w:r>
              <w:rPr>
                <w:rFonts w:hint="eastAsia" w:ascii="宋体" w:hAnsi="宋体" w:eastAsia="宋体" w:cs="宋体"/>
                <w:color w:val="auto"/>
                <w:kern w:val="0"/>
                <w:sz w:val="21"/>
                <w:szCs w:val="21"/>
                <w:highlight w:val="none"/>
                <w:lang w:val="en-US" w:eastAsia="zh-CN" w:bidi="ar"/>
              </w:rPr>
              <w:t xml:space="preserve">2）2026 年第 1 季度综合偿付能力充足率在（不含）150%-200%（含）的得 5 分； </w:t>
            </w:r>
          </w:p>
          <w:p w14:paraId="5D151F76">
            <w:pPr>
              <w:keepNext w:val="0"/>
              <w:keepLines w:val="0"/>
              <w:widowControl/>
              <w:suppressLineNumbers w:val="0"/>
              <w:spacing w:before="0" w:beforeAutospacing="0" w:after="0" w:afterAutospacing="0"/>
              <w:ind w:left="0" w:right="0"/>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 xml:space="preserve">3）2026 年第 1 季度综合偿付能力充足率在 </w:t>
            </w:r>
          </w:p>
          <w:p w14:paraId="1F7FC8B1">
            <w:pPr>
              <w:keepNext w:val="0"/>
              <w:keepLines w:val="0"/>
              <w:widowControl/>
              <w:suppressLineNumbers w:val="0"/>
              <w:spacing w:before="0" w:beforeAutospacing="0" w:after="0" w:afterAutospacing="0"/>
              <w:ind w:left="0" w:right="0"/>
              <w:jc w:val="left"/>
              <w:rPr>
                <w:rFonts w:hint="eastAsia" w:ascii="宋体" w:hAnsi="宋体" w:cs="宋体"/>
                <w:color w:val="auto"/>
                <w:szCs w:val="21"/>
                <w:highlight w:val="none"/>
              </w:rPr>
            </w:pPr>
            <w:r>
              <w:rPr>
                <w:rFonts w:hint="eastAsia" w:ascii="宋体" w:hAnsi="宋体" w:eastAsia="宋体" w:cs="宋体"/>
                <w:color w:val="auto"/>
                <w:kern w:val="0"/>
                <w:sz w:val="21"/>
                <w:szCs w:val="21"/>
                <w:highlight w:val="none"/>
                <w:lang w:val="en-US" w:eastAsia="zh-CN" w:bidi="ar"/>
              </w:rPr>
              <w:t xml:space="preserve">（不含）100%-150%（含）的得 4 分； </w:t>
            </w:r>
          </w:p>
          <w:p w14:paraId="3F4219E8">
            <w:pPr>
              <w:keepNext w:val="0"/>
              <w:keepLines w:val="0"/>
              <w:widowControl/>
              <w:suppressLineNumbers w:val="0"/>
              <w:spacing w:before="0" w:beforeAutospacing="0" w:after="0" w:afterAutospacing="0"/>
              <w:ind w:left="0" w:right="0"/>
              <w:jc w:val="left"/>
              <w:rPr>
                <w:rFonts w:hint="eastAsia" w:ascii="宋体" w:hAnsi="宋体" w:cs="宋体"/>
                <w:color w:val="auto"/>
                <w:szCs w:val="21"/>
                <w:highlight w:val="none"/>
              </w:rPr>
            </w:pPr>
            <w:r>
              <w:rPr>
                <w:rFonts w:hint="eastAsia" w:ascii="宋体" w:hAnsi="宋体" w:eastAsia="宋体" w:cs="宋体"/>
                <w:color w:val="auto"/>
                <w:kern w:val="0"/>
                <w:sz w:val="21"/>
                <w:szCs w:val="21"/>
                <w:highlight w:val="none"/>
                <w:lang w:val="en-US" w:eastAsia="zh-CN" w:bidi="ar"/>
              </w:rPr>
              <w:t xml:space="preserve">4）2026年第1季度综合偿付能力充足率在100%（含）的以下的得0分。 </w:t>
            </w:r>
          </w:p>
          <w:p w14:paraId="7180E1E5">
            <w:pPr>
              <w:keepNext w:val="0"/>
              <w:keepLines w:val="0"/>
              <w:widowControl/>
              <w:suppressLineNumbers w:val="0"/>
              <w:spacing w:before="0" w:beforeAutospacing="0" w:after="0" w:afterAutospacing="0"/>
              <w:ind w:left="0" w:right="0"/>
              <w:jc w:val="left"/>
              <w:rPr>
                <w:rFonts w:hint="eastAsia" w:ascii="宋体" w:hAnsi="宋体" w:cs="宋体"/>
                <w:color w:val="auto"/>
                <w:szCs w:val="21"/>
                <w:highlight w:val="none"/>
              </w:rPr>
            </w:pPr>
            <w:r>
              <w:rPr>
                <w:rFonts w:hint="eastAsia" w:ascii="宋体" w:hAnsi="宋体" w:eastAsia="宋体" w:cs="宋体"/>
                <w:color w:val="auto"/>
                <w:kern w:val="0"/>
                <w:sz w:val="21"/>
                <w:szCs w:val="21"/>
                <w:highlight w:val="none"/>
                <w:lang w:val="en-US" w:eastAsia="zh-CN" w:bidi="ar"/>
              </w:rPr>
              <w:t xml:space="preserve">（提供投标人总公司 2026 年第 1 季度保险公司综合偿付能力季度报告摘要或证明文件，须加盖总公司公章为准。） </w:t>
            </w:r>
          </w:p>
          <w:p w14:paraId="482EA8B5">
            <w:pPr>
              <w:keepNext w:val="0"/>
              <w:keepLines w:val="0"/>
              <w:widowControl/>
              <w:suppressLineNumbers w:val="0"/>
              <w:spacing w:before="0" w:beforeAutospacing="0" w:after="0" w:afterAutospacing="0"/>
              <w:ind w:left="0" w:right="0"/>
              <w:jc w:val="left"/>
              <w:rPr>
                <w:rFonts w:hint="eastAsia" w:ascii="宋体" w:hAnsi="宋体" w:cs="宋体"/>
                <w:color w:val="auto"/>
                <w:szCs w:val="21"/>
                <w:highlight w:val="none"/>
              </w:rPr>
            </w:pPr>
            <w:r>
              <w:rPr>
                <w:rFonts w:hint="eastAsia" w:ascii="宋体" w:hAnsi="宋体" w:eastAsia="宋体" w:cs="宋体"/>
                <w:b/>
                <w:bCs/>
                <w:color w:val="auto"/>
                <w:kern w:val="0"/>
                <w:sz w:val="21"/>
                <w:szCs w:val="21"/>
                <w:highlight w:val="none"/>
                <w:lang w:val="en-US" w:eastAsia="zh-CN" w:bidi="ar"/>
              </w:rPr>
              <w:t xml:space="preserve">（2）承保业绩(满分 3 分) </w:t>
            </w:r>
          </w:p>
          <w:p w14:paraId="2BFF9627">
            <w:pPr>
              <w:keepNext w:val="0"/>
              <w:keepLines w:val="0"/>
              <w:widowControl/>
              <w:suppressLineNumbers w:val="0"/>
              <w:spacing w:before="0" w:beforeAutospacing="0" w:after="0" w:afterAutospacing="0"/>
              <w:ind w:left="0" w:right="0"/>
              <w:jc w:val="left"/>
              <w:rPr>
                <w:rFonts w:hint="eastAsia" w:ascii="宋体" w:hAnsi="宋体" w:cs="宋体"/>
                <w:color w:val="auto"/>
                <w:szCs w:val="21"/>
                <w:highlight w:val="none"/>
              </w:rPr>
            </w:pPr>
            <w:r>
              <w:rPr>
                <w:rFonts w:hint="eastAsia" w:ascii="宋体" w:hAnsi="宋体" w:eastAsia="宋体" w:cs="宋体"/>
                <w:color w:val="auto"/>
                <w:kern w:val="0"/>
                <w:sz w:val="21"/>
                <w:szCs w:val="21"/>
                <w:highlight w:val="none"/>
                <w:lang w:val="en-US" w:eastAsia="zh-CN" w:bidi="ar"/>
              </w:rPr>
              <w:t>2023年至今</w:t>
            </w:r>
            <w:r>
              <w:rPr>
                <w:rFonts w:hint="eastAsia" w:ascii="宋体" w:hAnsi="宋体" w:cs="宋体"/>
                <w:color w:val="auto"/>
                <w:kern w:val="0"/>
                <w:sz w:val="21"/>
                <w:szCs w:val="21"/>
                <w:highlight w:val="none"/>
                <w:lang w:val="en-US" w:eastAsia="zh-CN" w:bidi="ar"/>
              </w:rPr>
              <w:t>（</w:t>
            </w:r>
            <w:r>
              <w:rPr>
                <w:rFonts w:hint="eastAsia" w:ascii="宋体" w:hAnsi="宋体" w:eastAsia="宋体" w:cs="宋体"/>
                <w:color w:val="auto"/>
                <w:kern w:val="0"/>
                <w:sz w:val="21"/>
                <w:szCs w:val="21"/>
                <w:highlight w:val="none"/>
                <w:lang w:val="en-US" w:eastAsia="zh-CN" w:bidi="ar"/>
              </w:rPr>
              <w:t>以合同签订日期为准</w:t>
            </w:r>
            <w:r>
              <w:rPr>
                <w:rFonts w:hint="eastAsia" w:ascii="宋体" w:hAnsi="宋体" w:cs="宋体"/>
                <w:color w:val="auto"/>
                <w:kern w:val="0"/>
                <w:sz w:val="21"/>
                <w:szCs w:val="21"/>
                <w:highlight w:val="none"/>
                <w:lang w:val="en-US" w:eastAsia="zh-CN" w:bidi="ar"/>
              </w:rPr>
              <w:t>）</w:t>
            </w:r>
            <w:r>
              <w:rPr>
                <w:rFonts w:hint="eastAsia" w:ascii="宋体" w:hAnsi="宋体" w:eastAsia="宋体" w:cs="宋体"/>
                <w:color w:val="auto"/>
                <w:kern w:val="0"/>
                <w:sz w:val="21"/>
                <w:szCs w:val="21"/>
                <w:highlight w:val="none"/>
                <w:lang w:val="en-US" w:eastAsia="zh-CN" w:bidi="ar"/>
              </w:rPr>
              <w:t>，投标人有类似业绩的（指团体保险），每有一项得 1 分，满分3分。（投标时应提供相关有效业绩证明文件，如有效的中标（成交）通知书、承保协议等能证明投标人业绩的材料的复印件并加盖公章。），特别提醒：分支机构投标的，总公司的非广西区域的业绩不能作为本项目的业绩。</w:t>
            </w:r>
          </w:p>
          <w:p w14:paraId="15EAA67A">
            <w:pPr>
              <w:keepNext w:val="0"/>
              <w:keepLines w:val="0"/>
              <w:widowControl/>
              <w:suppressLineNumbers w:val="0"/>
              <w:spacing w:before="0" w:beforeAutospacing="0" w:after="0" w:afterAutospacing="0"/>
              <w:ind w:left="0" w:right="0"/>
              <w:jc w:val="left"/>
              <w:rPr>
                <w:rFonts w:hint="eastAsia" w:ascii="宋体" w:hAnsi="宋体" w:eastAsia="宋体" w:cs="宋体"/>
                <w:b/>
                <w:bCs/>
                <w:color w:val="auto"/>
                <w:kern w:val="0"/>
                <w:sz w:val="21"/>
                <w:szCs w:val="21"/>
                <w:highlight w:val="none"/>
                <w:lang w:val="en-US" w:eastAsia="zh-CN" w:bidi="ar"/>
              </w:rPr>
            </w:pPr>
            <w:r>
              <w:rPr>
                <w:rFonts w:hint="eastAsia" w:ascii="宋体" w:hAnsi="宋体" w:eastAsia="宋体" w:cs="宋体"/>
                <w:b/>
                <w:bCs/>
                <w:color w:val="auto"/>
                <w:kern w:val="0"/>
                <w:sz w:val="21"/>
                <w:szCs w:val="21"/>
                <w:highlight w:val="none"/>
                <w:lang w:val="en-US" w:eastAsia="zh-CN" w:bidi="ar"/>
              </w:rPr>
              <w:t>（</w:t>
            </w:r>
            <w:r>
              <w:rPr>
                <w:rFonts w:hint="eastAsia" w:ascii="宋体" w:hAnsi="宋体" w:cs="宋体"/>
                <w:b/>
                <w:bCs/>
                <w:color w:val="auto"/>
                <w:kern w:val="0"/>
                <w:sz w:val="21"/>
                <w:szCs w:val="21"/>
                <w:highlight w:val="none"/>
                <w:lang w:val="en-US" w:eastAsia="zh-CN" w:bidi="ar"/>
              </w:rPr>
              <w:t>3</w:t>
            </w:r>
            <w:r>
              <w:rPr>
                <w:rFonts w:hint="eastAsia" w:ascii="宋体" w:hAnsi="宋体" w:eastAsia="宋体" w:cs="宋体"/>
                <w:b/>
                <w:bCs/>
                <w:color w:val="auto"/>
                <w:kern w:val="0"/>
                <w:sz w:val="21"/>
                <w:szCs w:val="21"/>
                <w:highlight w:val="none"/>
                <w:lang w:val="en-US" w:eastAsia="zh-CN" w:bidi="ar"/>
              </w:rPr>
              <w:t>）履约承诺分(满分</w:t>
            </w:r>
            <w:r>
              <w:rPr>
                <w:rFonts w:hint="eastAsia" w:ascii="宋体" w:hAnsi="宋体" w:cs="宋体"/>
                <w:b/>
                <w:bCs/>
                <w:color w:val="auto"/>
                <w:kern w:val="0"/>
                <w:sz w:val="21"/>
                <w:szCs w:val="21"/>
                <w:highlight w:val="none"/>
                <w:lang w:val="en-US" w:eastAsia="zh-CN" w:bidi="ar"/>
              </w:rPr>
              <w:t>3</w:t>
            </w:r>
            <w:r>
              <w:rPr>
                <w:rFonts w:hint="eastAsia" w:ascii="宋体" w:hAnsi="宋体" w:eastAsia="宋体" w:cs="宋体"/>
                <w:b/>
                <w:bCs/>
                <w:color w:val="auto"/>
                <w:kern w:val="0"/>
                <w:sz w:val="21"/>
                <w:szCs w:val="21"/>
                <w:highlight w:val="none"/>
                <w:lang w:val="en-US" w:eastAsia="zh-CN" w:bidi="ar"/>
              </w:rPr>
              <w:t xml:space="preserve"> 分)</w:t>
            </w:r>
          </w:p>
          <w:p w14:paraId="03E39361">
            <w:pPr>
              <w:keepNext w:val="0"/>
              <w:keepLines w:val="0"/>
              <w:widowControl/>
              <w:numPr>
                <w:ilvl w:val="0"/>
                <w:numId w:val="0"/>
              </w:numPr>
              <w:suppressLineNumbers w:val="0"/>
              <w:spacing w:before="0" w:beforeAutospacing="0" w:after="0" w:afterAutospacing="0"/>
              <w:ind w:left="0" w:leftChars="0" w:right="0"/>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kern w:val="0"/>
                <w:sz w:val="21"/>
                <w:szCs w:val="21"/>
                <w:highlight w:val="none"/>
                <w:lang w:val="en-US" w:eastAsia="zh-CN" w:bidi="ar"/>
              </w:rPr>
              <w:t>提供履约保证承诺，并承诺对服务期内的服务实施情况进行考核，合同期结束，对接单、理赔、投诉处理进行考核验收。违约的以合同约定为准扣除相应比例违约金,考核合格无息退回履约保证金</w:t>
            </w:r>
            <w:r>
              <w:rPr>
                <w:rFonts w:hint="eastAsia" w:ascii="宋体" w:hAnsi="宋体" w:cs="宋体"/>
                <w:color w:val="auto"/>
                <w:kern w:val="0"/>
                <w:sz w:val="21"/>
                <w:szCs w:val="21"/>
                <w:highlight w:val="none"/>
                <w:lang w:val="en-US" w:eastAsia="zh-CN" w:bidi="ar"/>
              </w:rPr>
              <w:t>。</w:t>
            </w:r>
            <w:r>
              <w:rPr>
                <w:rFonts w:hint="eastAsia" w:ascii="宋体" w:hAnsi="宋体" w:eastAsia="宋体" w:cs="宋体"/>
                <w:color w:val="auto"/>
                <w:kern w:val="0"/>
                <w:sz w:val="21"/>
                <w:szCs w:val="21"/>
                <w:highlight w:val="none"/>
                <w:lang w:val="en-US" w:eastAsia="zh-CN" w:bidi="ar"/>
              </w:rPr>
              <w:t>得</w:t>
            </w:r>
            <w:r>
              <w:rPr>
                <w:rFonts w:hint="eastAsia" w:ascii="宋体" w:hAnsi="宋体" w:cs="宋体"/>
                <w:color w:val="auto"/>
                <w:kern w:val="0"/>
                <w:sz w:val="21"/>
                <w:szCs w:val="21"/>
                <w:highlight w:val="none"/>
                <w:lang w:val="en-US" w:eastAsia="zh-CN" w:bidi="ar"/>
              </w:rPr>
              <w:t>3</w:t>
            </w:r>
            <w:r>
              <w:rPr>
                <w:rFonts w:hint="eastAsia" w:ascii="宋体" w:hAnsi="宋体" w:eastAsia="宋体" w:cs="宋体"/>
                <w:color w:val="auto"/>
                <w:kern w:val="0"/>
                <w:sz w:val="21"/>
                <w:szCs w:val="21"/>
                <w:highlight w:val="none"/>
                <w:lang w:val="en-US" w:eastAsia="zh-CN" w:bidi="ar"/>
              </w:rPr>
              <w:t>分</w:t>
            </w:r>
          </w:p>
        </w:tc>
      </w:tr>
      <w:tr w14:paraId="1717CB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5" w:hRule="atLeast"/>
          <w:jc w:val="center"/>
        </w:trPr>
        <w:tc>
          <w:tcPr>
            <w:tcW w:w="8516" w:type="dxa"/>
            <w:gridSpan w:val="4"/>
            <w:noWrap w:val="0"/>
            <w:vAlign w:val="center"/>
          </w:tcPr>
          <w:p w14:paraId="0A0A2CEE">
            <w:pPr>
              <w:keepNext w:val="0"/>
              <w:keepLines w:val="0"/>
              <w:widowControl/>
              <w:numPr>
                <w:ilvl w:val="0"/>
                <w:numId w:val="0"/>
              </w:numPr>
              <w:suppressLineNumbers w:val="0"/>
              <w:spacing w:before="0" w:beforeAutospacing="0" w:after="0" w:afterAutospacing="0"/>
              <w:ind w:left="0" w:leftChars="0" w:right="0"/>
              <w:jc w:val="left"/>
              <w:rPr>
                <w:rFonts w:hint="default"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总得分：</w:t>
            </w:r>
            <w:r>
              <w:rPr>
                <w:rFonts w:hint="eastAsia" w:ascii="宋体" w:hAnsi="宋体" w:cs="宋体"/>
                <w:color w:val="auto"/>
                <w:kern w:val="0"/>
                <w:sz w:val="21"/>
                <w:szCs w:val="21"/>
                <w:highlight w:val="none"/>
                <w:lang w:val="en-US" w:eastAsia="zh-CN" w:bidi="ar"/>
              </w:rPr>
              <w:t>1+2+3+4+5</w:t>
            </w:r>
          </w:p>
        </w:tc>
      </w:tr>
    </w:tbl>
    <w:p w14:paraId="328722EB">
      <w:pPr>
        <w:pStyle w:val="20"/>
        <w:keepNext w:val="0"/>
        <w:keepLines w:val="0"/>
        <w:suppressLineNumbers w:val="0"/>
        <w:snapToGrid w:val="0"/>
        <w:spacing w:before="0" w:beforeAutospacing="0" w:after="0" w:afterAutospacing="0" w:line="360" w:lineRule="atLeast"/>
        <w:ind w:left="0" w:right="0"/>
        <w:jc w:val="left"/>
        <w:rPr>
          <w:rFonts w:hint="eastAsia" w:hAnsi="宋体"/>
          <w:b/>
          <w:bCs w:val="0"/>
          <w:color w:val="auto"/>
          <w:sz w:val="21"/>
          <w:highlight w:val="none"/>
        </w:rPr>
      </w:pPr>
    </w:p>
    <w:p w14:paraId="4A8F9AE1">
      <w:pPr>
        <w:pStyle w:val="20"/>
        <w:keepNext w:val="0"/>
        <w:keepLines w:val="0"/>
        <w:suppressLineNumbers w:val="0"/>
        <w:snapToGrid w:val="0"/>
        <w:spacing w:before="0" w:beforeAutospacing="0" w:after="0" w:afterAutospacing="0" w:line="360" w:lineRule="atLeast"/>
        <w:ind w:left="0" w:right="0"/>
        <w:jc w:val="left"/>
        <w:rPr>
          <w:rFonts w:hint="default" w:hAnsi="宋体"/>
          <w:b/>
          <w:bCs w:val="0"/>
          <w:color w:val="auto"/>
          <w:sz w:val="21"/>
          <w:highlight w:val="none"/>
        </w:rPr>
      </w:pPr>
      <w:r>
        <w:rPr>
          <w:rFonts w:hint="eastAsia" w:hAnsi="宋体"/>
          <w:b/>
          <w:bCs w:val="0"/>
          <w:color w:val="auto"/>
          <w:sz w:val="21"/>
          <w:highlight w:val="none"/>
        </w:rPr>
        <w:t>注：1</w:t>
      </w:r>
      <w:r>
        <w:rPr>
          <w:rFonts w:hint="default" w:hAnsi="宋体"/>
          <w:b/>
          <w:bCs w:val="0"/>
          <w:color w:val="auto"/>
          <w:sz w:val="21"/>
          <w:highlight w:val="none"/>
        </w:rPr>
        <w:t>.</w:t>
      </w:r>
      <w:r>
        <w:rPr>
          <w:rFonts w:hint="eastAsia" w:hAnsi="宋体"/>
          <w:b/>
          <w:bCs w:val="0"/>
          <w:color w:val="auto"/>
          <w:sz w:val="21"/>
          <w:highlight w:val="none"/>
        </w:rPr>
        <w:t>本项目为服务项目，不适用节能、环保、区内产品政策功能加分。</w:t>
      </w:r>
    </w:p>
    <w:p w14:paraId="24270B6C">
      <w:pPr>
        <w:rPr>
          <w:rFonts w:hint="eastAsia" w:ascii="宋体" w:hAnsi="宋体" w:eastAsia="宋体" w:cs="宋体"/>
          <w:color w:val="auto"/>
          <w:highlight w:val="none"/>
        </w:rPr>
      </w:pPr>
      <w:r>
        <w:rPr>
          <w:rFonts w:hint="eastAsia" w:hAnsi="宋体"/>
          <w:b/>
          <w:bCs w:val="0"/>
          <w:color w:val="auto"/>
          <w:sz w:val="21"/>
          <w:highlight w:val="none"/>
        </w:rPr>
        <w:t>2</w:t>
      </w:r>
      <w:r>
        <w:rPr>
          <w:rFonts w:hint="default" w:hAnsi="宋体"/>
          <w:b/>
          <w:bCs w:val="0"/>
          <w:color w:val="auto"/>
          <w:sz w:val="21"/>
          <w:highlight w:val="none"/>
        </w:rPr>
        <w:t>.因</w:t>
      </w:r>
      <w:r>
        <w:rPr>
          <w:rFonts w:hint="eastAsia" w:hAnsi="宋体"/>
          <w:b/>
          <w:bCs w:val="0"/>
          <w:color w:val="auto"/>
          <w:sz w:val="21"/>
          <w:highlight w:val="none"/>
        </w:rPr>
        <w:t>本次项目价格不列为评审因素，因此对中小企业价格不进行政府采购政策性扣除。</w:t>
      </w:r>
      <w:r>
        <w:rPr>
          <w:rFonts w:hint="eastAsia" w:ascii="宋体" w:hAnsi="宋体" w:eastAsia="宋体" w:cs="宋体"/>
          <w:color w:val="auto"/>
          <w:highlight w:val="none"/>
        </w:rPr>
        <w:br w:type="page"/>
      </w:r>
    </w:p>
    <w:p w14:paraId="3DFD34F9">
      <w:pPr>
        <w:keepNext/>
        <w:keepLines/>
        <w:spacing w:before="260" w:after="260" w:line="413" w:lineRule="auto"/>
        <w:jc w:val="center"/>
        <w:outlineLvl w:val="1"/>
        <w:rPr>
          <w:rFonts w:hint="eastAsia" w:ascii="宋体" w:hAnsi="宋体" w:eastAsia="宋体" w:cs="宋体"/>
          <w:b/>
          <w:bCs w:val="0"/>
          <w:color w:val="auto"/>
          <w:sz w:val="30"/>
          <w:szCs w:val="30"/>
          <w:highlight w:val="none"/>
        </w:rPr>
      </w:pPr>
      <w:bookmarkStart w:id="182" w:name="_Toc3222"/>
      <w:r>
        <w:rPr>
          <w:rFonts w:hint="eastAsia" w:ascii="宋体" w:hAnsi="宋体" w:eastAsia="宋体" w:cs="宋体"/>
          <w:b/>
          <w:bCs w:val="0"/>
          <w:color w:val="auto"/>
          <w:sz w:val="30"/>
          <w:szCs w:val="30"/>
          <w:highlight w:val="none"/>
        </w:rPr>
        <w:t>四</w:t>
      </w:r>
      <w:r>
        <w:rPr>
          <w:rFonts w:hint="eastAsia" w:ascii="宋体" w:hAnsi="宋体" w:cs="宋体"/>
          <w:b/>
          <w:bCs w:val="0"/>
          <w:color w:val="auto"/>
          <w:sz w:val="30"/>
          <w:szCs w:val="30"/>
          <w:highlight w:val="none"/>
          <w:lang w:eastAsia="zh-CN"/>
        </w:rPr>
        <w:t>、</w:t>
      </w:r>
      <w:r>
        <w:rPr>
          <w:rFonts w:hint="eastAsia" w:ascii="宋体" w:hAnsi="宋体" w:eastAsia="宋体" w:cs="宋体"/>
          <w:b/>
          <w:bCs w:val="0"/>
          <w:color w:val="auto"/>
          <w:sz w:val="30"/>
          <w:szCs w:val="30"/>
          <w:highlight w:val="none"/>
        </w:rPr>
        <w:t>中标候选人推荐原则</w:t>
      </w:r>
      <w:bookmarkEnd w:id="182"/>
    </w:p>
    <w:p w14:paraId="07C5EE67">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1237" w:leftChars="0" w:hanging="765" w:firstLineChars="0"/>
        <w:contextualSpacing/>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kern w:val="2"/>
          <w:sz w:val="21"/>
          <w:szCs w:val="21"/>
          <w:highlight w:val="none"/>
          <w:lang w:val="en-US" w:eastAsia="zh-CN" w:bidi="ar-SA"/>
        </w:rPr>
        <w:t>（一）</w:t>
      </w:r>
      <w:r>
        <w:rPr>
          <w:rFonts w:hint="eastAsia" w:ascii="宋体" w:hAnsi="宋体" w:eastAsia="宋体" w:cs="宋体"/>
          <w:b/>
          <w:bCs/>
          <w:color w:val="auto"/>
          <w:sz w:val="21"/>
          <w:szCs w:val="21"/>
          <w:highlight w:val="none"/>
        </w:rPr>
        <w:t>综合评分法</w:t>
      </w:r>
    </w:p>
    <w:p w14:paraId="18134E7F">
      <w:pPr>
        <w:keepNext w:val="0"/>
        <w:keepLines w:val="0"/>
        <w:pageBreakBefore w:val="0"/>
        <w:tabs>
          <w:tab w:val="left" w:pos="2472"/>
        </w:tabs>
        <w:kinsoku/>
        <w:wordWrap/>
        <w:overflowPunct/>
        <w:topLinePunct w:val="0"/>
        <w:autoSpaceDE/>
        <w:autoSpaceDN/>
        <w:bidi w:val="0"/>
        <w:snapToGrid/>
        <w:spacing w:line="48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评标委员会将根据得分由高到低排列次序（得分相同的，依次</w:t>
      </w:r>
      <w:r>
        <w:rPr>
          <w:rFonts w:hint="eastAsia" w:ascii="宋体" w:hAnsi="宋体" w:eastAsia="宋体" w:cs="宋体"/>
          <w:color w:val="auto"/>
          <w:sz w:val="21"/>
          <w:szCs w:val="21"/>
          <w:highlight w:val="none"/>
          <w:lang w:val="en-US" w:eastAsia="zh-CN"/>
        </w:rPr>
        <w:t>按</w:t>
      </w:r>
      <w:r>
        <w:rPr>
          <w:rFonts w:hint="eastAsia" w:ascii="宋体" w:hAnsi="宋体" w:cs="宋体"/>
          <w:color w:val="auto"/>
          <w:sz w:val="21"/>
          <w:szCs w:val="21"/>
          <w:highlight w:val="none"/>
          <w:lang w:eastAsia="zh-CN"/>
        </w:rPr>
        <w:t>：经营网点</w:t>
      </w:r>
      <w:r>
        <w:rPr>
          <w:rFonts w:hint="eastAsia" w:ascii="宋体" w:hAnsi="宋体" w:eastAsia="宋体" w:cs="宋体"/>
          <w:color w:val="auto"/>
          <w:sz w:val="21"/>
          <w:szCs w:val="21"/>
          <w:highlight w:val="none"/>
        </w:rPr>
        <w:t>分</w:t>
      </w:r>
      <w:r>
        <w:rPr>
          <w:rFonts w:hint="eastAsia" w:ascii="宋体" w:hAnsi="宋体" w:eastAsia="宋体" w:cs="宋体"/>
          <w:b w:val="0"/>
          <w:bCs w:val="0"/>
          <w:color w:val="auto"/>
          <w:sz w:val="21"/>
          <w:szCs w:val="21"/>
          <w:highlight w:val="none"/>
        </w:rPr>
        <w:t>→承保方案设计分→理赔服务方案分→增值服务分→保险业务管理规章制度分→保险培训服务分→</w:t>
      </w:r>
      <w:r>
        <w:rPr>
          <w:rFonts w:hint="eastAsia" w:ascii="宋体" w:hAnsi="宋体" w:eastAsia="宋体" w:cs="宋体"/>
          <w:color w:val="auto"/>
          <w:sz w:val="21"/>
          <w:szCs w:val="21"/>
          <w:highlight w:val="none"/>
        </w:rPr>
        <w:t>综合能力分顺序排列</w:t>
      </w:r>
      <w:r>
        <w:rPr>
          <w:rFonts w:hint="eastAsia" w:ascii="宋体" w:hAnsi="宋体" w:cs="宋体"/>
          <w:color w:val="auto"/>
          <w:szCs w:val="21"/>
          <w:highlight w:val="none"/>
        </w:rPr>
        <w:t>，评分高的顺序确定；</w:t>
      </w:r>
      <w:r>
        <w:rPr>
          <w:rFonts w:hint="eastAsia" w:ascii="宋体" w:hAnsi="宋体" w:eastAsia="宋体" w:cs="宋体"/>
          <w:color w:val="auto"/>
          <w:sz w:val="21"/>
          <w:szCs w:val="21"/>
          <w:highlight w:val="none"/>
        </w:rPr>
        <w:t>顺序排列</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如以上都一致时则由评标委员会推荐代表随机抽取</w:t>
      </w:r>
      <w:r>
        <w:rPr>
          <w:rFonts w:hint="eastAsia" w:ascii="宋体" w:hAnsi="宋体" w:eastAsia="宋体" w:cs="宋体"/>
          <w:color w:val="auto"/>
          <w:sz w:val="21"/>
          <w:szCs w:val="21"/>
          <w:highlight w:val="none"/>
        </w:rPr>
        <w:t>）并推荐中标候选人。采购人应当确定评</w:t>
      </w:r>
      <w:r>
        <w:rPr>
          <w:rFonts w:hint="eastAsia" w:ascii="宋体" w:hAnsi="宋体" w:eastAsia="宋体" w:cs="宋体"/>
          <w:color w:val="auto"/>
          <w:sz w:val="21"/>
          <w:szCs w:val="21"/>
          <w:highlight w:val="none"/>
          <w:lang w:val="en-US" w:eastAsia="zh-CN"/>
        </w:rPr>
        <w:t>标</w:t>
      </w:r>
      <w:r>
        <w:rPr>
          <w:rFonts w:hint="eastAsia" w:ascii="宋体" w:hAnsi="宋体" w:eastAsia="宋体" w:cs="宋体"/>
          <w:color w:val="auto"/>
          <w:sz w:val="21"/>
          <w:szCs w:val="21"/>
          <w:highlight w:val="none"/>
        </w:rPr>
        <w:t>委员会推荐排名第一的中标候选人为中标人。排名第一的中标候选人放弃中标、因不可抗力提出不能履行合同，</w:t>
      </w:r>
      <w:r>
        <w:rPr>
          <w:rFonts w:hint="eastAsia" w:ascii="宋体" w:hAnsi="宋体" w:eastAsia="宋体" w:cs="宋体"/>
          <w:color w:val="auto"/>
          <w:sz w:val="21"/>
          <w:szCs w:val="21"/>
          <w:highlight w:val="none"/>
          <w:lang w:val="en-US" w:eastAsia="zh-CN"/>
        </w:rPr>
        <w:t>采购人</w:t>
      </w:r>
      <w:r>
        <w:rPr>
          <w:rFonts w:hint="eastAsia" w:ascii="宋体" w:hAnsi="宋体" w:eastAsia="宋体" w:cs="宋体"/>
          <w:color w:val="auto"/>
          <w:sz w:val="21"/>
          <w:szCs w:val="21"/>
          <w:highlight w:val="none"/>
        </w:rPr>
        <w:t>可以确定排名第二的中标候选人为中标人。排名第二的中标候选人因前款规定的同样原因不能签订合同的，</w:t>
      </w:r>
      <w:r>
        <w:rPr>
          <w:rFonts w:hint="eastAsia" w:ascii="宋体" w:hAnsi="宋体" w:eastAsia="宋体" w:cs="宋体"/>
          <w:color w:val="auto"/>
          <w:sz w:val="21"/>
          <w:szCs w:val="21"/>
          <w:highlight w:val="none"/>
          <w:lang w:val="en-US" w:eastAsia="zh-CN"/>
        </w:rPr>
        <w:t>采购人</w:t>
      </w:r>
      <w:r>
        <w:rPr>
          <w:rFonts w:hint="eastAsia" w:ascii="宋体" w:hAnsi="宋体" w:eastAsia="宋体" w:cs="宋体"/>
          <w:color w:val="auto"/>
          <w:sz w:val="21"/>
          <w:szCs w:val="21"/>
          <w:highlight w:val="none"/>
        </w:rPr>
        <w:t>可以确定排名第三的中标候选人为中标人，其余以此类推。采购人也可以决定重新采购。</w:t>
      </w:r>
    </w:p>
    <w:p w14:paraId="363AC369">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1237" w:leftChars="0" w:hanging="765" w:firstLineChars="0"/>
        <w:contextualSpacing/>
        <w:textAlignment w:val="auto"/>
        <w:rPr>
          <w:rFonts w:hint="eastAsia" w:ascii="宋体" w:hAnsi="宋体" w:eastAsia="宋体" w:cs="宋体"/>
          <w:b/>
          <w:bCs/>
          <w:color w:val="auto"/>
          <w:sz w:val="21"/>
          <w:szCs w:val="21"/>
          <w:highlight w:val="none"/>
        </w:rPr>
      </w:pPr>
    </w:p>
    <w:p w14:paraId="259A2ADE">
      <w:pPr>
        <w:keepNext/>
        <w:keepLines/>
        <w:spacing w:before="260" w:after="260" w:line="413" w:lineRule="auto"/>
        <w:ind w:firstLine="0" w:firstLineChars="0"/>
        <w:jc w:val="center"/>
        <w:outlineLvl w:val="1"/>
        <w:rPr>
          <w:rFonts w:hint="eastAsia" w:ascii="宋体" w:hAnsi="宋体" w:eastAsia="宋体" w:cs="宋体"/>
          <w:b/>
          <w:bCs w:val="0"/>
          <w:color w:val="auto"/>
          <w:sz w:val="30"/>
          <w:szCs w:val="30"/>
          <w:highlight w:val="none"/>
        </w:rPr>
      </w:pPr>
      <w:bookmarkStart w:id="183" w:name="_Toc16783"/>
      <w:r>
        <w:rPr>
          <w:rFonts w:hint="eastAsia" w:ascii="宋体" w:hAnsi="宋体" w:eastAsia="宋体" w:cs="宋体"/>
          <w:b/>
          <w:bCs w:val="0"/>
          <w:color w:val="auto"/>
          <w:sz w:val="30"/>
          <w:szCs w:val="30"/>
          <w:highlight w:val="none"/>
        </w:rPr>
        <w:t>五</w:t>
      </w:r>
      <w:r>
        <w:rPr>
          <w:rFonts w:hint="eastAsia" w:ascii="宋体" w:hAnsi="宋体" w:cs="宋体"/>
          <w:b/>
          <w:bCs w:val="0"/>
          <w:color w:val="auto"/>
          <w:sz w:val="30"/>
          <w:szCs w:val="30"/>
          <w:highlight w:val="none"/>
          <w:lang w:eastAsia="zh-CN"/>
        </w:rPr>
        <w:t>、</w:t>
      </w:r>
      <w:r>
        <w:rPr>
          <w:rFonts w:hint="eastAsia" w:ascii="宋体" w:hAnsi="宋体" w:eastAsia="宋体" w:cs="宋体"/>
          <w:b/>
          <w:bCs w:val="0"/>
          <w:color w:val="auto"/>
          <w:sz w:val="30"/>
          <w:szCs w:val="30"/>
          <w:highlight w:val="none"/>
        </w:rPr>
        <w:t>评标报告</w:t>
      </w:r>
      <w:bookmarkEnd w:id="183"/>
    </w:p>
    <w:p w14:paraId="00D17581">
      <w:pPr>
        <w:keepNext w:val="0"/>
        <w:keepLines w:val="0"/>
        <w:pageBreakBefore w:val="0"/>
        <w:kinsoku/>
        <w:wordWrap/>
        <w:overflowPunct/>
        <w:topLinePunct w:val="0"/>
        <w:autoSpaceDE/>
        <w:autoSpaceDN/>
        <w:bidi w:val="0"/>
        <w:adjustRightInd w:val="0"/>
        <w:snapToGrid/>
        <w:spacing w:line="480" w:lineRule="exact"/>
        <w:ind w:firstLine="422" w:firstLineChars="200"/>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（一）评标报告与推荐中标候选人</w:t>
      </w:r>
    </w:p>
    <w:p w14:paraId="5AFBC598">
      <w:pPr>
        <w:keepNext w:val="0"/>
        <w:keepLines w:val="0"/>
        <w:pageBreakBefore w:val="0"/>
        <w:tabs>
          <w:tab w:val="left" w:pos="2472"/>
        </w:tabs>
        <w:kinsoku/>
        <w:wordWrap/>
        <w:overflowPunct/>
        <w:topLinePunct w:val="0"/>
        <w:autoSpaceDE/>
        <w:autoSpaceDN/>
        <w:bidi w:val="0"/>
        <w:snapToGrid/>
        <w:spacing w:line="48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评标委员会根据原始评标记录和评标结果编写评标报告，并通过电子交易平台向采购人、采购代理机构提交。</w:t>
      </w:r>
    </w:p>
    <w:p w14:paraId="3A0F4AFC">
      <w:pPr>
        <w:keepNext w:val="0"/>
        <w:keepLines w:val="0"/>
        <w:pageBreakBefore w:val="0"/>
        <w:widowControl/>
        <w:kinsoku/>
        <w:wordWrap/>
        <w:overflowPunct/>
        <w:topLinePunct w:val="0"/>
        <w:autoSpaceDE/>
        <w:autoSpaceDN/>
        <w:bidi w:val="0"/>
        <w:snapToGrid/>
        <w:spacing w:line="480" w:lineRule="exact"/>
        <w:ind w:firstLine="422" w:firstLineChars="200"/>
        <w:jc w:val="left"/>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（二）评标争议事项处理</w:t>
      </w:r>
    </w:p>
    <w:p w14:paraId="1E9F3BEF">
      <w:pPr>
        <w:keepNext w:val="0"/>
        <w:keepLines w:val="0"/>
        <w:pageBreakBefore w:val="0"/>
        <w:tabs>
          <w:tab w:val="left" w:pos="2472"/>
        </w:tabs>
        <w:kinsoku/>
        <w:wordWrap/>
        <w:overflowPunct/>
        <w:topLinePunct w:val="0"/>
        <w:autoSpaceDE/>
        <w:autoSpaceDN/>
        <w:bidi w:val="0"/>
        <w:snapToGrid/>
        <w:spacing w:line="48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评标委员会成员对需要共同认定的事项存在争议的，应当按照少数服从多数的原则作出结论。持不同意见的评标委员会成员应当在评标报告上签署不同意见及理由，否则视为同意评标报告。</w:t>
      </w:r>
    </w:p>
    <w:bookmarkEnd w:id="180"/>
    <w:bookmarkEnd w:id="181"/>
    <w:p w14:paraId="1942C4C7">
      <w:pPr>
        <w:jc w:val="center"/>
        <w:rPr>
          <w:rFonts w:hint="eastAsia" w:ascii="宋体" w:hAnsi="宋体" w:cs="宋体"/>
          <w:color w:val="auto"/>
          <w:highlight w:val="none"/>
        </w:rPr>
      </w:pPr>
      <w:bookmarkStart w:id="184" w:name="_Toc5182"/>
      <w:bookmarkStart w:id="185" w:name="_Toc22428"/>
      <w:bookmarkStart w:id="186" w:name="_Toc25693"/>
      <w:r>
        <w:rPr>
          <w:rFonts w:hint="eastAsia" w:ascii="宋体" w:hAnsi="宋体" w:cs="宋体"/>
          <w:color w:val="auto"/>
          <w:highlight w:val="none"/>
        </w:rPr>
        <w:br w:type="page"/>
      </w:r>
    </w:p>
    <w:p w14:paraId="31165967">
      <w:pPr>
        <w:pStyle w:val="3"/>
        <w:jc w:val="center"/>
        <w:rPr>
          <w:rFonts w:hint="eastAsia" w:ascii="宋体" w:hAnsi="宋体" w:eastAsia="宋体" w:cs="宋体"/>
          <w:b/>
          <w:bCs/>
          <w:color w:val="auto"/>
          <w:sz w:val="24"/>
          <w:szCs w:val="24"/>
          <w:highlight w:val="none"/>
        </w:rPr>
      </w:pPr>
      <w:r>
        <w:rPr>
          <w:rFonts w:hint="eastAsia" w:ascii="宋体" w:hAnsi="宋体" w:cs="宋体"/>
          <w:color w:val="auto"/>
          <w:highlight w:val="none"/>
        </w:rPr>
        <w:t>第五章  拟签订的合同文本</w:t>
      </w:r>
      <w:bookmarkEnd w:id="184"/>
      <w:bookmarkEnd w:id="185"/>
      <w:bookmarkEnd w:id="186"/>
    </w:p>
    <w:p w14:paraId="55D17DF4">
      <w:pPr>
        <w:pStyle w:val="3"/>
        <w:jc w:val="center"/>
        <w:rPr>
          <w:rFonts w:hint="eastAsia" w:ascii="宋体" w:hAnsi="宋体" w:cs="宋体"/>
          <w:color w:val="auto"/>
          <w:highlight w:val="none"/>
        </w:rPr>
        <w:sectPr>
          <w:pgSz w:w="11906" w:h="16838"/>
          <w:pgMar w:top="1440" w:right="1803" w:bottom="1440" w:left="1803" w:header="850" w:footer="850" w:gutter="0"/>
          <w:pgNumType w:fmt="decimal"/>
          <w:cols w:space="720" w:num="1"/>
          <w:docGrid w:linePitch="312" w:charSpace="0"/>
        </w:sectPr>
      </w:pPr>
      <w:bookmarkStart w:id="187" w:name="_Toc20718"/>
      <w:bookmarkStart w:id="188" w:name="_Toc30294"/>
      <w:bookmarkStart w:id="189" w:name="_Toc25427"/>
    </w:p>
    <w:p w14:paraId="6620EDF6">
      <w:pPr>
        <w:spacing w:line="360" w:lineRule="auto"/>
        <w:rPr>
          <w:rFonts w:hint="eastAsia" w:ascii="仿宋_GB2312" w:hAnsi="楷体" w:eastAsia="仿宋_GB2312"/>
          <w:color w:val="auto"/>
          <w:sz w:val="24"/>
          <w:highlight w:val="none"/>
          <w:u w:val="single"/>
        </w:rPr>
      </w:pPr>
      <w:r>
        <w:rPr>
          <w:rFonts w:hint="eastAsia" w:ascii="仿宋_GB2312" w:hAnsi="楷体" w:eastAsia="仿宋_GB2312"/>
          <w:color w:val="auto"/>
          <w:sz w:val="24"/>
          <w:highlight w:val="none"/>
        </w:rPr>
        <w:t>“广西政府采购云平台”合同编号：</w:t>
      </w:r>
      <w:r>
        <w:rPr>
          <w:rFonts w:hint="eastAsia" w:ascii="仿宋_GB2312" w:hAnsi="楷体" w:eastAsia="仿宋_GB2312"/>
          <w:color w:val="auto"/>
          <w:sz w:val="24"/>
          <w:highlight w:val="none"/>
          <w:u w:val="single"/>
        </w:rPr>
        <w:t xml:space="preserve">           </w:t>
      </w:r>
    </w:p>
    <w:p w14:paraId="6FF10DB2">
      <w:pPr>
        <w:spacing w:line="360" w:lineRule="auto"/>
        <w:jc w:val="center"/>
        <w:rPr>
          <w:rFonts w:hint="eastAsia" w:ascii="宋体"/>
          <w:b/>
          <w:bCs/>
          <w:color w:val="auto"/>
          <w:sz w:val="52"/>
          <w:highlight w:val="none"/>
        </w:rPr>
      </w:pPr>
      <w:r>
        <w:rPr>
          <w:rFonts w:hint="eastAsia" w:ascii="宋体"/>
          <w:b/>
          <w:bCs/>
          <w:color w:val="auto"/>
          <w:sz w:val="52"/>
          <w:highlight w:val="none"/>
        </w:rPr>
        <w:t>广西壮族自治区政府采购</w:t>
      </w:r>
    </w:p>
    <w:p w14:paraId="37667F27">
      <w:pPr>
        <w:spacing w:line="360" w:lineRule="auto"/>
        <w:ind w:firstLine="420" w:firstLineChars="200"/>
        <w:rPr>
          <w:rFonts w:hint="eastAsia" w:ascii="宋体"/>
          <w:color w:val="auto"/>
          <w:highlight w:val="none"/>
        </w:rPr>
      </w:pPr>
    </w:p>
    <w:p w14:paraId="36EB4E7C">
      <w:pPr>
        <w:spacing w:line="360" w:lineRule="auto"/>
        <w:ind w:firstLine="420" w:firstLineChars="200"/>
        <w:rPr>
          <w:rFonts w:hint="eastAsia" w:ascii="宋体"/>
          <w:color w:val="auto"/>
          <w:highlight w:val="none"/>
        </w:rPr>
      </w:pPr>
      <w:r>
        <w:rPr>
          <w:rFonts w:hint="eastAsia" w:ascii="宋体"/>
          <w:color w:val="auto"/>
          <w:highlight w:val="none"/>
        </w:rPr>
        <w:t xml:space="preserve">                                                 </w:t>
      </w:r>
    </w:p>
    <w:p w14:paraId="3EDE5DEC">
      <w:pPr>
        <w:spacing w:line="360" w:lineRule="auto"/>
        <w:jc w:val="center"/>
        <w:rPr>
          <w:rFonts w:hint="eastAsia" w:ascii="宋体"/>
          <w:b/>
          <w:bCs/>
          <w:color w:val="auto"/>
          <w:sz w:val="44"/>
          <w:highlight w:val="none"/>
        </w:rPr>
      </w:pPr>
      <w:r>
        <w:rPr>
          <w:rFonts w:hint="eastAsia" w:ascii="宋体"/>
          <w:b/>
          <w:bCs/>
          <w:color w:val="auto"/>
          <w:sz w:val="44"/>
          <w:highlight w:val="none"/>
          <w:u w:val="single"/>
        </w:rPr>
        <w:t xml:space="preserve">         （项目名称）         </w:t>
      </w:r>
      <w:r>
        <w:rPr>
          <w:rFonts w:hint="eastAsia" w:ascii="宋体"/>
          <w:b/>
          <w:bCs/>
          <w:color w:val="auto"/>
          <w:sz w:val="44"/>
          <w:highlight w:val="none"/>
        </w:rPr>
        <w:t>合同</w:t>
      </w:r>
    </w:p>
    <w:p w14:paraId="3C9BA81D">
      <w:pPr>
        <w:spacing w:line="360" w:lineRule="auto"/>
        <w:jc w:val="center"/>
        <w:rPr>
          <w:rFonts w:hint="eastAsia" w:ascii="宋体"/>
          <w:b/>
          <w:bCs/>
          <w:color w:val="auto"/>
          <w:sz w:val="44"/>
          <w:highlight w:val="none"/>
        </w:rPr>
      </w:pPr>
    </w:p>
    <w:p w14:paraId="49F8F7C5">
      <w:pPr>
        <w:spacing w:line="360" w:lineRule="auto"/>
        <w:jc w:val="center"/>
        <w:rPr>
          <w:rFonts w:hint="eastAsia" w:ascii="宋体"/>
          <w:b/>
          <w:bCs/>
          <w:color w:val="auto"/>
          <w:sz w:val="44"/>
          <w:highlight w:val="none"/>
        </w:rPr>
      </w:pPr>
    </w:p>
    <w:p w14:paraId="13272D5C">
      <w:pPr>
        <w:spacing w:line="360" w:lineRule="auto"/>
        <w:ind w:firstLine="3507" w:firstLineChars="794"/>
        <w:rPr>
          <w:rFonts w:hint="eastAsia" w:ascii="宋体"/>
          <w:b/>
          <w:bCs/>
          <w:color w:val="auto"/>
          <w:sz w:val="44"/>
          <w:highlight w:val="none"/>
        </w:rPr>
      </w:pPr>
    </w:p>
    <w:p w14:paraId="2ABDC0E8">
      <w:pPr>
        <w:spacing w:line="360" w:lineRule="auto"/>
        <w:ind w:firstLine="3507" w:firstLineChars="794"/>
        <w:rPr>
          <w:rFonts w:hint="eastAsia" w:ascii="宋体"/>
          <w:b/>
          <w:bCs/>
          <w:color w:val="auto"/>
          <w:sz w:val="44"/>
          <w:highlight w:val="none"/>
        </w:rPr>
      </w:pPr>
    </w:p>
    <w:p w14:paraId="168C1080">
      <w:pPr>
        <w:ind w:firstLine="1995" w:firstLineChars="552"/>
        <w:rPr>
          <w:rFonts w:hint="eastAsia" w:ascii="宋体" w:hAnsi="宋体"/>
          <w:b/>
          <w:color w:val="auto"/>
          <w:sz w:val="36"/>
          <w:szCs w:val="36"/>
          <w:highlight w:val="none"/>
        </w:rPr>
      </w:pPr>
      <w:r>
        <w:rPr>
          <w:rFonts w:hint="eastAsia" w:ascii="宋体" w:hAnsi="宋体"/>
          <w:b/>
          <w:color w:val="auto"/>
          <w:sz w:val="36"/>
          <w:szCs w:val="36"/>
          <w:highlight w:val="none"/>
        </w:rPr>
        <w:t>项目编号：</w:t>
      </w:r>
      <w:r>
        <w:rPr>
          <w:rFonts w:hint="eastAsia" w:ascii="宋体" w:hAnsi="宋体"/>
          <w:b/>
          <w:color w:val="auto"/>
          <w:sz w:val="36"/>
          <w:szCs w:val="36"/>
          <w:highlight w:val="none"/>
          <w:u w:val="single"/>
        </w:rPr>
        <w:t xml:space="preserve">                     </w:t>
      </w:r>
    </w:p>
    <w:p w14:paraId="04B120A7">
      <w:pPr>
        <w:ind w:firstLine="1995" w:firstLineChars="552"/>
        <w:rPr>
          <w:rFonts w:hint="eastAsia" w:ascii="宋体" w:hAnsi="宋体"/>
          <w:b/>
          <w:color w:val="auto"/>
          <w:sz w:val="36"/>
          <w:szCs w:val="36"/>
          <w:highlight w:val="none"/>
        </w:rPr>
      </w:pPr>
      <w:r>
        <w:rPr>
          <w:rFonts w:hint="eastAsia" w:ascii="宋体" w:hAnsi="宋体"/>
          <w:b/>
          <w:color w:val="auto"/>
          <w:sz w:val="36"/>
          <w:szCs w:val="36"/>
          <w:highlight w:val="none"/>
        </w:rPr>
        <w:t>计划编号：</w:t>
      </w:r>
      <w:r>
        <w:rPr>
          <w:rFonts w:hint="eastAsia" w:ascii="宋体" w:hAnsi="宋体"/>
          <w:b/>
          <w:color w:val="auto"/>
          <w:sz w:val="36"/>
          <w:szCs w:val="36"/>
          <w:highlight w:val="none"/>
          <w:u w:val="single"/>
        </w:rPr>
        <w:t xml:space="preserve">                     </w:t>
      </w:r>
    </w:p>
    <w:p w14:paraId="6B62171B">
      <w:pPr>
        <w:ind w:firstLine="1970" w:firstLineChars="545"/>
        <w:rPr>
          <w:rFonts w:hint="eastAsia" w:ascii="宋体" w:hAnsi="宋体"/>
          <w:b/>
          <w:color w:val="auto"/>
          <w:sz w:val="36"/>
          <w:szCs w:val="36"/>
          <w:highlight w:val="none"/>
          <w:u w:val="single"/>
        </w:rPr>
      </w:pPr>
    </w:p>
    <w:p w14:paraId="2272A990">
      <w:pPr>
        <w:ind w:firstLine="1995" w:firstLineChars="552"/>
        <w:rPr>
          <w:rFonts w:hint="eastAsia" w:ascii="宋体" w:hAnsi="宋体"/>
          <w:b/>
          <w:color w:val="auto"/>
          <w:sz w:val="36"/>
          <w:szCs w:val="36"/>
          <w:highlight w:val="none"/>
          <w:u w:val="single"/>
        </w:rPr>
      </w:pPr>
    </w:p>
    <w:p w14:paraId="1CB3CCEC">
      <w:pPr>
        <w:ind w:firstLine="1995" w:firstLineChars="552"/>
        <w:rPr>
          <w:rFonts w:hint="eastAsia" w:ascii="宋体" w:hAnsi="宋体"/>
          <w:b/>
          <w:color w:val="auto"/>
          <w:sz w:val="36"/>
          <w:szCs w:val="36"/>
          <w:highlight w:val="none"/>
          <w:u w:val="single"/>
        </w:rPr>
      </w:pPr>
    </w:p>
    <w:p w14:paraId="76B91CF8">
      <w:pPr>
        <w:tabs>
          <w:tab w:val="left" w:pos="7200"/>
        </w:tabs>
        <w:spacing w:line="360" w:lineRule="auto"/>
        <w:ind w:firstLine="1995" w:firstLineChars="552"/>
        <w:rPr>
          <w:rFonts w:hint="eastAsia" w:ascii="宋体" w:hAnsi="宋体"/>
          <w:b/>
          <w:color w:val="auto"/>
          <w:sz w:val="36"/>
          <w:szCs w:val="36"/>
          <w:highlight w:val="none"/>
          <w:u w:val="single"/>
        </w:rPr>
      </w:pPr>
      <w:r>
        <w:rPr>
          <w:rFonts w:hint="eastAsia" w:ascii="宋体" w:hAnsi="宋体"/>
          <w:b/>
          <w:color w:val="auto"/>
          <w:sz w:val="36"/>
          <w:szCs w:val="36"/>
          <w:highlight w:val="none"/>
        </w:rPr>
        <w:t>采购人：</w:t>
      </w:r>
      <w:r>
        <w:rPr>
          <w:rFonts w:hint="eastAsia" w:ascii="宋体" w:hAnsi="宋体"/>
          <w:b/>
          <w:color w:val="auto"/>
          <w:sz w:val="36"/>
          <w:szCs w:val="36"/>
          <w:highlight w:val="none"/>
          <w:u w:val="single"/>
        </w:rPr>
        <w:t xml:space="preserve">                       </w:t>
      </w:r>
    </w:p>
    <w:p w14:paraId="233EBFF8">
      <w:pPr>
        <w:tabs>
          <w:tab w:val="left" w:pos="7380"/>
        </w:tabs>
        <w:spacing w:line="360" w:lineRule="auto"/>
        <w:ind w:firstLine="1995" w:firstLineChars="552"/>
        <w:rPr>
          <w:rFonts w:hint="eastAsia" w:ascii="宋体"/>
          <w:b/>
          <w:bCs/>
          <w:color w:val="auto"/>
          <w:sz w:val="44"/>
          <w:highlight w:val="none"/>
        </w:rPr>
      </w:pPr>
      <w:r>
        <w:rPr>
          <w:rFonts w:hint="eastAsia" w:ascii="宋体" w:hAnsi="宋体"/>
          <w:b/>
          <w:color w:val="auto"/>
          <w:sz w:val="36"/>
          <w:szCs w:val="36"/>
          <w:highlight w:val="none"/>
        </w:rPr>
        <w:t>中标供应商：</w:t>
      </w:r>
      <w:r>
        <w:rPr>
          <w:rFonts w:hint="eastAsia" w:ascii="宋体" w:hAnsi="宋体"/>
          <w:b/>
          <w:color w:val="auto"/>
          <w:sz w:val="36"/>
          <w:szCs w:val="36"/>
          <w:highlight w:val="none"/>
          <w:u w:val="single"/>
        </w:rPr>
        <w:t xml:space="preserve">                   </w:t>
      </w:r>
    </w:p>
    <w:p w14:paraId="24C5BCE3">
      <w:pPr>
        <w:tabs>
          <w:tab w:val="left" w:pos="7380"/>
        </w:tabs>
        <w:spacing w:line="360" w:lineRule="auto"/>
        <w:rPr>
          <w:rFonts w:hint="eastAsia" w:ascii="宋体"/>
          <w:b/>
          <w:bCs/>
          <w:color w:val="auto"/>
          <w:sz w:val="44"/>
          <w:highlight w:val="none"/>
        </w:rPr>
      </w:pPr>
    </w:p>
    <w:p w14:paraId="00C1A0CE">
      <w:pPr>
        <w:spacing w:before="120" w:line="360" w:lineRule="auto"/>
        <w:ind w:firstLine="960" w:firstLineChars="400"/>
        <w:rPr>
          <w:rFonts w:hint="eastAsia" w:ascii="仿宋_GB2312" w:hAnsi="楷体" w:eastAsia="仿宋_GB2312"/>
          <w:color w:val="auto"/>
          <w:sz w:val="24"/>
          <w:highlight w:val="none"/>
        </w:rPr>
      </w:pPr>
    </w:p>
    <w:p w14:paraId="755B2812">
      <w:pPr>
        <w:spacing w:before="120" w:line="360" w:lineRule="auto"/>
        <w:ind w:firstLine="960" w:firstLineChars="400"/>
        <w:rPr>
          <w:rFonts w:hint="eastAsia" w:ascii="仿宋_GB2312" w:hAnsi="楷体" w:eastAsia="仿宋_GB2312"/>
          <w:color w:val="auto"/>
          <w:sz w:val="24"/>
          <w:highlight w:val="none"/>
        </w:rPr>
      </w:pPr>
    </w:p>
    <w:p w14:paraId="7F7BA55C">
      <w:pPr>
        <w:spacing w:before="120" w:line="360" w:lineRule="auto"/>
        <w:ind w:firstLine="2280" w:firstLineChars="950"/>
        <w:rPr>
          <w:rFonts w:hint="eastAsia" w:ascii="仿宋_GB2312" w:hAnsi="楷体" w:eastAsia="仿宋_GB2312"/>
          <w:color w:val="auto"/>
          <w:sz w:val="24"/>
          <w:highlight w:val="none"/>
          <w:u w:val="single"/>
        </w:rPr>
      </w:pPr>
      <w:r>
        <w:rPr>
          <w:rFonts w:hint="eastAsia" w:ascii="仿宋_GB2312" w:hAnsi="楷体" w:eastAsia="仿宋_GB2312"/>
          <w:color w:val="auto"/>
          <w:sz w:val="24"/>
          <w:highlight w:val="none"/>
        </w:rPr>
        <w:t>签订日期：</w:t>
      </w:r>
      <w:r>
        <w:rPr>
          <w:rFonts w:hint="eastAsia" w:ascii="仿宋_GB2312" w:hAnsi="楷体" w:eastAsia="仿宋_GB2312"/>
          <w:color w:val="auto"/>
          <w:sz w:val="24"/>
          <w:highlight w:val="none"/>
          <w:u w:val="single"/>
        </w:rPr>
        <w:t xml:space="preserve">               </w:t>
      </w:r>
      <w:r>
        <w:rPr>
          <w:rFonts w:hint="eastAsia" w:ascii="仿宋_GB2312" w:hAnsi="楷体" w:eastAsia="仿宋_GB2312"/>
          <w:color w:val="auto"/>
          <w:sz w:val="24"/>
          <w:highlight w:val="none"/>
        </w:rPr>
        <w:t>年</w:t>
      </w:r>
      <w:r>
        <w:rPr>
          <w:rFonts w:hint="eastAsia" w:ascii="仿宋_GB2312" w:hAnsi="楷体" w:eastAsia="仿宋_GB2312"/>
          <w:color w:val="auto"/>
          <w:sz w:val="24"/>
          <w:highlight w:val="none"/>
          <w:u w:val="single"/>
        </w:rPr>
        <w:t xml:space="preserve">       </w:t>
      </w:r>
      <w:r>
        <w:rPr>
          <w:rFonts w:hint="eastAsia" w:ascii="仿宋_GB2312" w:hAnsi="楷体" w:eastAsia="仿宋_GB2312"/>
          <w:color w:val="auto"/>
          <w:sz w:val="24"/>
          <w:highlight w:val="none"/>
        </w:rPr>
        <w:t>月</w:t>
      </w:r>
      <w:r>
        <w:rPr>
          <w:rFonts w:hint="eastAsia" w:ascii="仿宋_GB2312" w:hAnsi="楷体" w:eastAsia="仿宋_GB2312"/>
          <w:color w:val="auto"/>
          <w:sz w:val="24"/>
          <w:highlight w:val="none"/>
          <w:u w:val="single"/>
        </w:rPr>
        <w:t xml:space="preserve">       </w:t>
      </w:r>
      <w:r>
        <w:rPr>
          <w:rFonts w:hint="eastAsia" w:ascii="仿宋_GB2312" w:hAnsi="楷体" w:eastAsia="仿宋_GB2312"/>
          <w:color w:val="auto"/>
          <w:sz w:val="24"/>
          <w:highlight w:val="none"/>
        </w:rPr>
        <w:t>日</w:t>
      </w:r>
    </w:p>
    <w:p w14:paraId="39E30796">
      <w:pPr>
        <w:pStyle w:val="103"/>
        <w:ind w:firstLine="883"/>
        <w:jc w:val="center"/>
        <w:rPr>
          <w:rFonts w:hint="eastAsia" w:ascii="宋体"/>
          <w:b/>
          <w:bCs/>
          <w:color w:val="auto"/>
          <w:sz w:val="44"/>
          <w:highlight w:val="none"/>
        </w:rPr>
      </w:pPr>
    </w:p>
    <w:p w14:paraId="4563A54F">
      <w:pPr>
        <w:jc w:val="center"/>
        <w:rPr>
          <w:rFonts w:hint="eastAsia" w:ascii="宋体" w:hAnsi="宋体" w:cs="宋体"/>
          <w:b/>
          <w:color w:val="auto"/>
          <w:sz w:val="36"/>
          <w:szCs w:val="36"/>
          <w:highlight w:val="none"/>
        </w:rPr>
      </w:pPr>
      <w:r>
        <w:rPr>
          <w:rFonts w:hint="eastAsia" w:ascii="宋体"/>
          <w:b/>
          <w:bCs/>
          <w:color w:val="auto"/>
          <w:sz w:val="44"/>
          <w:highlight w:val="none"/>
        </w:rPr>
        <w:br w:type="page"/>
      </w:r>
      <w:r>
        <w:rPr>
          <w:rFonts w:hint="eastAsia" w:ascii="宋体" w:hAnsi="宋体" w:cs="宋体"/>
          <w:b/>
          <w:color w:val="auto"/>
          <w:sz w:val="36"/>
          <w:szCs w:val="36"/>
          <w:highlight w:val="none"/>
        </w:rPr>
        <w:t>目  录</w:t>
      </w:r>
    </w:p>
    <w:p w14:paraId="1E2EDD33">
      <w:pPr>
        <w:tabs>
          <w:tab w:val="left" w:pos="1170"/>
        </w:tabs>
        <w:spacing w:line="360" w:lineRule="auto"/>
        <w:ind w:left="359" w:leftChars="171" w:firstLine="198" w:firstLineChars="71"/>
        <w:rPr>
          <w:rFonts w:hint="eastAsia" w:ascii="宋体" w:hAnsi="宋体" w:cs="宋体"/>
          <w:color w:val="auto"/>
          <w:sz w:val="28"/>
          <w:highlight w:val="none"/>
        </w:rPr>
      </w:pPr>
      <w:r>
        <w:rPr>
          <w:rFonts w:hint="eastAsia" w:ascii="宋体" w:hAnsi="宋体" w:cs="宋体"/>
          <w:color w:val="auto"/>
          <w:sz w:val="28"/>
          <w:highlight w:val="none"/>
        </w:rPr>
        <w:tab/>
      </w:r>
    </w:p>
    <w:p w14:paraId="402A268B">
      <w:pPr>
        <w:rPr>
          <w:rFonts w:hint="eastAsia" w:ascii="宋体" w:hAnsi="宋体" w:cs="宋体"/>
          <w:b/>
          <w:color w:val="auto"/>
          <w:sz w:val="30"/>
          <w:szCs w:val="30"/>
          <w:highlight w:val="none"/>
        </w:rPr>
      </w:pPr>
      <w:r>
        <w:rPr>
          <w:rFonts w:hint="eastAsia" w:ascii="宋体" w:hAnsi="宋体" w:cs="宋体"/>
          <w:b/>
          <w:color w:val="auto"/>
          <w:sz w:val="30"/>
          <w:szCs w:val="30"/>
          <w:highlight w:val="none"/>
          <w:lang w:bidi="ar"/>
        </w:rPr>
        <w:t xml:space="preserve">一、广西壮族自治区政府采购合同书 </w:t>
      </w:r>
    </w:p>
    <w:p w14:paraId="1A8F8004">
      <w:pPr>
        <w:rPr>
          <w:rFonts w:hint="eastAsia" w:ascii="宋体" w:hAnsi="宋体" w:cs="宋体"/>
          <w:b/>
          <w:color w:val="auto"/>
          <w:sz w:val="30"/>
          <w:szCs w:val="30"/>
          <w:highlight w:val="none"/>
        </w:rPr>
      </w:pPr>
      <w:r>
        <w:rPr>
          <w:rFonts w:hint="eastAsia" w:ascii="宋体" w:hAnsi="宋体" w:cs="宋体"/>
          <w:b/>
          <w:color w:val="auto"/>
          <w:sz w:val="30"/>
          <w:szCs w:val="30"/>
          <w:highlight w:val="none"/>
          <w:lang w:bidi="ar"/>
        </w:rPr>
        <w:t>二、合同附件</w:t>
      </w:r>
    </w:p>
    <w:p w14:paraId="3747503A">
      <w:pPr>
        <w:pStyle w:val="33"/>
        <w:spacing w:before="0" w:beforeAutospacing="0" w:after="0" w:afterAutospacing="0" w:line="360" w:lineRule="auto"/>
        <w:ind w:firstLine="560" w:firstLineChars="200"/>
        <w:jc w:val="both"/>
        <w:rPr>
          <w:rFonts w:hint="eastAsia" w:hAnsi="宋体" w:cs="宋体"/>
          <w:color w:val="auto"/>
          <w:sz w:val="28"/>
          <w:szCs w:val="28"/>
          <w:highlight w:val="none"/>
        </w:rPr>
      </w:pPr>
      <w:r>
        <w:rPr>
          <w:rFonts w:hint="eastAsia" w:hAnsi="宋体" w:cs="宋体"/>
          <w:color w:val="auto"/>
          <w:kern w:val="2"/>
          <w:sz w:val="28"/>
          <w:szCs w:val="28"/>
          <w:highlight w:val="none"/>
          <w:lang w:bidi="ar"/>
        </w:rPr>
        <w:t>1、中标通知书</w:t>
      </w:r>
    </w:p>
    <w:p w14:paraId="376B619B">
      <w:pPr>
        <w:pStyle w:val="33"/>
        <w:spacing w:before="0" w:beforeAutospacing="0" w:after="0" w:afterAutospacing="0" w:line="360" w:lineRule="auto"/>
        <w:ind w:firstLine="560" w:firstLineChars="200"/>
        <w:jc w:val="both"/>
        <w:rPr>
          <w:rFonts w:hint="eastAsia" w:hAnsi="宋体" w:cs="宋体"/>
          <w:color w:val="auto"/>
          <w:kern w:val="2"/>
          <w:sz w:val="28"/>
          <w:szCs w:val="28"/>
          <w:highlight w:val="none"/>
          <w:lang w:bidi="ar"/>
        </w:rPr>
      </w:pPr>
      <w:r>
        <w:rPr>
          <w:rFonts w:hint="eastAsia" w:hAnsi="宋体" w:cs="宋体"/>
          <w:color w:val="auto"/>
          <w:kern w:val="2"/>
          <w:sz w:val="28"/>
          <w:szCs w:val="28"/>
          <w:highlight w:val="none"/>
          <w:lang w:bidi="ar"/>
        </w:rPr>
        <w:t>2、招标项目采购需求</w:t>
      </w:r>
    </w:p>
    <w:p w14:paraId="2CC466AE">
      <w:pPr>
        <w:pStyle w:val="33"/>
        <w:spacing w:before="0" w:beforeAutospacing="0" w:after="0" w:afterAutospacing="0" w:line="360" w:lineRule="auto"/>
        <w:ind w:firstLine="560" w:firstLineChars="200"/>
        <w:jc w:val="both"/>
        <w:rPr>
          <w:rFonts w:hint="eastAsia" w:hAnsi="宋体" w:cs="宋体"/>
          <w:color w:val="auto"/>
          <w:kern w:val="2"/>
          <w:sz w:val="28"/>
          <w:szCs w:val="28"/>
          <w:highlight w:val="none"/>
          <w:lang w:bidi="ar"/>
        </w:rPr>
      </w:pPr>
      <w:r>
        <w:rPr>
          <w:rFonts w:hint="eastAsia" w:hAnsi="宋体" w:cs="宋体"/>
          <w:color w:val="auto"/>
          <w:kern w:val="2"/>
          <w:sz w:val="28"/>
          <w:szCs w:val="28"/>
          <w:highlight w:val="none"/>
          <w:lang w:bidi="ar"/>
        </w:rPr>
        <w:t>3、招标文件的澄清和修改（如有请提供）</w:t>
      </w:r>
    </w:p>
    <w:p w14:paraId="0B7269F8">
      <w:pPr>
        <w:pStyle w:val="33"/>
        <w:spacing w:line="360" w:lineRule="auto"/>
        <w:ind w:firstLine="560"/>
        <w:rPr>
          <w:rFonts w:hint="eastAsia" w:ascii="宋体" w:hAnsi="宋体" w:cs="宋体"/>
          <w:color w:val="auto"/>
          <w:kern w:val="2"/>
          <w:sz w:val="28"/>
          <w:szCs w:val="28"/>
          <w:highlight w:val="none"/>
          <w:lang w:bidi="ar"/>
        </w:rPr>
      </w:pPr>
      <w:r>
        <w:rPr>
          <w:rFonts w:hint="eastAsia" w:ascii="宋体" w:hAnsi="宋体" w:cs="宋体"/>
          <w:color w:val="auto"/>
          <w:spacing w:val="0"/>
          <w:kern w:val="2"/>
          <w:sz w:val="28"/>
          <w:szCs w:val="28"/>
          <w:highlight w:val="none"/>
          <w:lang w:bidi="ar"/>
        </w:rPr>
        <w:t>4、</w:t>
      </w:r>
      <w:r>
        <w:rPr>
          <w:rFonts w:hint="eastAsia" w:ascii="宋体" w:hAnsi="宋体" w:cs="宋体"/>
          <w:color w:val="auto"/>
          <w:kern w:val="2"/>
          <w:sz w:val="28"/>
          <w:szCs w:val="28"/>
          <w:highlight w:val="none"/>
          <w:lang w:bidi="ar"/>
        </w:rPr>
        <w:t>资格声明函</w:t>
      </w:r>
    </w:p>
    <w:p w14:paraId="1B4A8541">
      <w:pPr>
        <w:pStyle w:val="33"/>
        <w:spacing w:before="0" w:beforeAutospacing="0" w:after="0" w:afterAutospacing="0" w:line="360" w:lineRule="auto"/>
        <w:ind w:firstLine="560" w:firstLineChars="200"/>
        <w:jc w:val="both"/>
        <w:rPr>
          <w:rFonts w:hint="eastAsia" w:hAnsi="宋体" w:cs="宋体"/>
          <w:color w:val="auto"/>
          <w:kern w:val="2"/>
          <w:sz w:val="28"/>
          <w:szCs w:val="28"/>
          <w:highlight w:val="none"/>
          <w:lang w:bidi="ar"/>
        </w:rPr>
      </w:pPr>
      <w:r>
        <w:rPr>
          <w:rFonts w:hint="eastAsia" w:hAnsi="宋体" w:cs="宋体"/>
          <w:color w:val="auto"/>
          <w:kern w:val="2"/>
          <w:sz w:val="28"/>
          <w:szCs w:val="28"/>
          <w:highlight w:val="none"/>
          <w:lang w:bidi="ar"/>
        </w:rPr>
        <w:t>5、开标一览表</w:t>
      </w:r>
    </w:p>
    <w:p w14:paraId="08E2F534">
      <w:pPr>
        <w:pStyle w:val="33"/>
        <w:spacing w:before="0" w:beforeAutospacing="0" w:after="0" w:afterAutospacing="0" w:line="360" w:lineRule="auto"/>
        <w:ind w:firstLine="560" w:firstLineChars="200"/>
        <w:jc w:val="both"/>
        <w:rPr>
          <w:rFonts w:hint="eastAsia" w:hAnsi="宋体" w:cs="宋体"/>
          <w:color w:val="auto"/>
          <w:kern w:val="2"/>
          <w:sz w:val="28"/>
          <w:szCs w:val="28"/>
          <w:highlight w:val="none"/>
          <w:lang w:bidi="ar"/>
        </w:rPr>
      </w:pPr>
      <w:r>
        <w:rPr>
          <w:rFonts w:hint="eastAsia" w:hAnsi="宋体" w:cs="宋体"/>
          <w:color w:val="auto"/>
          <w:kern w:val="2"/>
          <w:sz w:val="28"/>
          <w:szCs w:val="28"/>
          <w:highlight w:val="none"/>
          <w:lang w:bidi="ar"/>
        </w:rPr>
        <w:t>6、商务条款偏离表</w:t>
      </w:r>
    </w:p>
    <w:p w14:paraId="5012E9D0">
      <w:pPr>
        <w:pStyle w:val="33"/>
        <w:spacing w:before="0" w:beforeAutospacing="0" w:after="0" w:afterAutospacing="0" w:line="360" w:lineRule="auto"/>
        <w:ind w:firstLine="560" w:firstLineChars="200"/>
        <w:jc w:val="both"/>
        <w:rPr>
          <w:rFonts w:hint="eastAsia" w:hAnsi="宋体" w:cs="宋体"/>
          <w:color w:val="auto"/>
          <w:kern w:val="2"/>
          <w:sz w:val="28"/>
          <w:szCs w:val="28"/>
          <w:highlight w:val="none"/>
          <w:lang w:bidi="ar"/>
        </w:rPr>
      </w:pPr>
      <w:r>
        <w:rPr>
          <w:rFonts w:hint="eastAsia" w:hAnsi="宋体" w:cs="宋体"/>
          <w:color w:val="auto"/>
          <w:kern w:val="2"/>
          <w:sz w:val="28"/>
          <w:szCs w:val="28"/>
          <w:highlight w:val="none"/>
          <w:lang w:bidi="ar"/>
        </w:rPr>
        <w:t>7、服务需求偏离表</w:t>
      </w:r>
    </w:p>
    <w:p w14:paraId="14FC0E71">
      <w:pPr>
        <w:pStyle w:val="33"/>
        <w:spacing w:before="0" w:beforeAutospacing="0" w:after="0" w:afterAutospacing="0" w:line="360" w:lineRule="auto"/>
        <w:ind w:firstLine="560" w:firstLineChars="200"/>
        <w:jc w:val="both"/>
        <w:rPr>
          <w:rFonts w:hint="eastAsia" w:hAnsi="宋体" w:cs="宋体"/>
          <w:color w:val="auto"/>
          <w:kern w:val="2"/>
          <w:sz w:val="28"/>
          <w:szCs w:val="28"/>
          <w:highlight w:val="none"/>
          <w:lang w:bidi="ar"/>
        </w:rPr>
      </w:pPr>
      <w:r>
        <w:rPr>
          <w:rFonts w:hint="eastAsia" w:hAnsi="宋体" w:cs="宋体"/>
          <w:color w:val="auto"/>
          <w:kern w:val="2"/>
          <w:sz w:val="28"/>
          <w:szCs w:val="28"/>
          <w:highlight w:val="none"/>
          <w:lang w:bidi="ar"/>
        </w:rPr>
        <w:t>8、售后服务承诺</w:t>
      </w:r>
    </w:p>
    <w:p w14:paraId="7B38D814">
      <w:pPr>
        <w:pStyle w:val="33"/>
        <w:spacing w:before="0" w:beforeAutospacing="0" w:after="0" w:afterAutospacing="0" w:line="360" w:lineRule="auto"/>
        <w:ind w:firstLine="560" w:firstLineChars="200"/>
        <w:jc w:val="both"/>
        <w:rPr>
          <w:rFonts w:hint="eastAsia" w:hAnsi="宋体" w:cs="宋体"/>
          <w:color w:val="auto"/>
          <w:sz w:val="28"/>
          <w:szCs w:val="28"/>
          <w:highlight w:val="none"/>
        </w:rPr>
      </w:pPr>
      <w:r>
        <w:rPr>
          <w:rFonts w:hint="eastAsia" w:hAnsi="宋体" w:cs="宋体"/>
          <w:color w:val="auto"/>
          <w:kern w:val="2"/>
          <w:sz w:val="28"/>
          <w:szCs w:val="28"/>
          <w:highlight w:val="none"/>
          <w:lang w:bidi="ar"/>
        </w:rPr>
        <w:t>9、中标供应商澄清函（如有请提</w:t>
      </w:r>
      <w:r>
        <w:rPr>
          <w:rFonts w:hint="eastAsia" w:hAnsi="宋体" w:cs="宋体"/>
          <w:color w:val="auto"/>
          <w:kern w:val="2"/>
          <w:sz w:val="30"/>
          <w:szCs w:val="30"/>
          <w:highlight w:val="none"/>
          <w:lang w:bidi="ar"/>
        </w:rPr>
        <w:t>供</w:t>
      </w:r>
      <w:r>
        <w:rPr>
          <w:rFonts w:hint="eastAsia" w:hAnsi="宋体" w:cs="宋体"/>
          <w:color w:val="auto"/>
          <w:kern w:val="2"/>
          <w:sz w:val="28"/>
          <w:szCs w:val="28"/>
          <w:highlight w:val="none"/>
          <w:lang w:bidi="ar"/>
        </w:rPr>
        <w:t>）</w:t>
      </w:r>
    </w:p>
    <w:p w14:paraId="2C492D65">
      <w:pPr>
        <w:ind w:firstLine="560" w:firstLineChars="200"/>
        <w:rPr>
          <w:rFonts w:hint="eastAsia" w:ascii="宋体" w:hAnsi="宋体" w:cs="宋体"/>
          <w:color w:val="auto"/>
          <w:szCs w:val="21"/>
          <w:highlight w:val="none"/>
        </w:rPr>
      </w:pPr>
      <w:r>
        <w:rPr>
          <w:rFonts w:hint="eastAsia" w:ascii="宋体" w:hAnsi="宋体" w:cs="宋体"/>
          <w:color w:val="auto"/>
          <w:sz w:val="28"/>
          <w:szCs w:val="28"/>
          <w:highlight w:val="none"/>
          <w:lang w:bidi="ar"/>
        </w:rPr>
        <w:t>10、其他与本合同相关的资料（如有请提</w:t>
      </w:r>
      <w:r>
        <w:rPr>
          <w:rFonts w:hint="eastAsia" w:ascii="宋体" w:hAnsi="宋体" w:cs="宋体"/>
          <w:color w:val="auto"/>
          <w:sz w:val="30"/>
          <w:szCs w:val="30"/>
          <w:highlight w:val="none"/>
          <w:lang w:bidi="ar"/>
        </w:rPr>
        <w:t>供</w:t>
      </w:r>
      <w:r>
        <w:rPr>
          <w:rFonts w:hint="eastAsia" w:ascii="宋体" w:hAnsi="宋体" w:cs="宋体"/>
          <w:color w:val="auto"/>
          <w:sz w:val="28"/>
          <w:szCs w:val="28"/>
          <w:highlight w:val="none"/>
          <w:lang w:bidi="ar"/>
        </w:rPr>
        <w:t>）</w:t>
      </w:r>
    </w:p>
    <w:p w14:paraId="4D03B913">
      <w:pPr>
        <w:pStyle w:val="20"/>
        <w:spacing w:line="720" w:lineRule="auto"/>
        <w:jc w:val="center"/>
        <w:rPr>
          <w:rFonts w:hint="eastAsia" w:hAnsi="宋体" w:cs="宋体"/>
          <w:b/>
          <w:bCs/>
          <w:color w:val="auto"/>
          <w:sz w:val="32"/>
          <w:szCs w:val="32"/>
          <w:highlight w:val="none"/>
        </w:rPr>
      </w:pPr>
    </w:p>
    <w:p w14:paraId="5C7EDDDD">
      <w:pPr>
        <w:snapToGrid w:val="0"/>
        <w:spacing w:line="400" w:lineRule="exact"/>
        <w:jc w:val="center"/>
        <w:rPr>
          <w:rFonts w:hint="eastAsia" w:ascii="宋体" w:hAnsi="宋体" w:eastAsia="宋体" w:cs="宋体"/>
          <w:b/>
          <w:bCs/>
          <w:color w:val="auto"/>
          <w:sz w:val="32"/>
          <w:szCs w:val="32"/>
          <w:highlight w:val="none"/>
        </w:rPr>
      </w:pPr>
      <w:r>
        <w:rPr>
          <w:rFonts w:hint="eastAsia" w:hAnsi="宋体" w:cs="宋体"/>
          <w:b/>
          <w:bCs/>
          <w:color w:val="auto"/>
          <w:sz w:val="32"/>
          <w:szCs w:val="32"/>
          <w:highlight w:val="none"/>
        </w:rPr>
        <w:br w:type="page"/>
      </w:r>
      <w:r>
        <w:rPr>
          <w:rFonts w:hint="eastAsia" w:ascii="宋体" w:hAnsi="宋体" w:eastAsia="宋体" w:cs="宋体"/>
          <w:b/>
          <w:bCs/>
          <w:color w:val="auto"/>
          <w:sz w:val="32"/>
          <w:szCs w:val="32"/>
          <w:highlight w:val="none"/>
        </w:rPr>
        <w:t>《采购合同》</w:t>
      </w:r>
    </w:p>
    <w:p w14:paraId="0F7F24E4">
      <w:pPr>
        <w:snapToGrid w:val="0"/>
        <w:spacing w:line="400" w:lineRule="exact"/>
        <w:ind w:right="480" w:firstLine="5250" w:firstLineChars="2500"/>
        <w:rPr>
          <w:rFonts w:hint="eastAsia" w:ascii="宋体" w:hAnsi="宋体" w:eastAsia="宋体" w:cs="宋体"/>
          <w:bCs/>
          <w:color w:val="auto"/>
          <w:szCs w:val="21"/>
          <w:highlight w:val="none"/>
        </w:rPr>
      </w:pPr>
    </w:p>
    <w:p w14:paraId="6BA697D1">
      <w:pPr>
        <w:keepNext w:val="0"/>
        <w:keepLines w:val="0"/>
        <w:pageBreakBefore w:val="0"/>
        <w:widowControl w:val="0"/>
        <w:kinsoku/>
        <w:wordWrap/>
        <w:overflowPunct/>
        <w:topLinePunct w:val="0"/>
        <w:autoSpaceDE/>
        <w:autoSpaceDN/>
        <w:bidi w:val="0"/>
        <w:adjustRightInd/>
        <w:snapToGrid/>
        <w:spacing w:line="480" w:lineRule="exact"/>
        <w:ind w:right="800"/>
        <w:textAlignment w:val="auto"/>
        <w:rPr>
          <w:rFonts w:hint="eastAsia" w:ascii="宋体" w:hAnsi="宋体" w:eastAsia="宋体" w:cs="宋体"/>
          <w:bCs/>
          <w:color w:val="auto"/>
          <w:szCs w:val="21"/>
          <w:highlight w:val="none"/>
          <w:u w:val="single"/>
        </w:rPr>
      </w:pPr>
      <w:r>
        <w:rPr>
          <w:rFonts w:hint="eastAsia" w:ascii="宋体" w:hAnsi="宋体" w:eastAsia="宋体" w:cs="宋体"/>
          <w:color w:val="auto"/>
          <w:szCs w:val="21"/>
          <w:highlight w:val="none"/>
        </w:rPr>
        <w:t>采购计划号：</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   </w:t>
      </w:r>
      <w:r>
        <w:rPr>
          <w:rFonts w:hint="eastAsia" w:ascii="宋体" w:hAnsi="宋体" w:eastAsia="宋体" w:cs="宋体"/>
          <w:bCs/>
          <w:color w:val="auto"/>
          <w:szCs w:val="21"/>
          <w:highlight w:val="none"/>
        </w:rPr>
        <w:t>合同编号：</w:t>
      </w:r>
      <w:r>
        <w:rPr>
          <w:rFonts w:hint="eastAsia" w:ascii="宋体" w:hAnsi="宋体" w:eastAsia="宋体" w:cs="宋体"/>
          <w:color w:val="auto"/>
          <w:szCs w:val="21"/>
          <w:highlight w:val="none"/>
          <w:u w:val="single"/>
        </w:rPr>
        <w:t xml:space="preserve">                  </w:t>
      </w:r>
    </w:p>
    <w:p w14:paraId="449DCE00">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采购人（甲方）：</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   供应商（乙方）：</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    </w:t>
      </w:r>
    </w:p>
    <w:p w14:paraId="247995FD">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项目名称：</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   项目编号：</w:t>
      </w:r>
      <w:r>
        <w:rPr>
          <w:rFonts w:hint="eastAsia" w:ascii="宋体" w:hAnsi="宋体" w:eastAsia="宋体" w:cs="宋体"/>
          <w:color w:val="auto"/>
          <w:szCs w:val="21"/>
          <w:highlight w:val="none"/>
          <w:u w:val="single"/>
        </w:rPr>
        <w:t xml:space="preserve">                          </w:t>
      </w:r>
    </w:p>
    <w:p w14:paraId="63A1D49D">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签订地点：</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   签订时间：</w:t>
      </w:r>
      <w:r>
        <w:rPr>
          <w:rFonts w:hint="eastAsia" w:ascii="宋体" w:hAnsi="宋体" w:eastAsia="宋体" w:cs="宋体"/>
          <w:color w:val="auto"/>
          <w:szCs w:val="21"/>
          <w:highlight w:val="none"/>
          <w:u w:val="single"/>
        </w:rPr>
        <w:t xml:space="preserve">                        </w:t>
      </w:r>
    </w:p>
    <w:p w14:paraId="355C6BD1">
      <w:pPr>
        <w:keepNext w:val="0"/>
        <w:keepLines w:val="0"/>
        <w:pageBreakBefore w:val="0"/>
        <w:widowControl w:val="0"/>
        <w:kinsoku/>
        <w:wordWrap/>
        <w:overflowPunct/>
        <w:topLinePunct w:val="0"/>
        <w:autoSpaceDE/>
        <w:autoSpaceDN/>
        <w:bidi w:val="0"/>
        <w:adjustRightInd/>
        <w:snapToGrid/>
        <w:spacing w:line="480" w:lineRule="exact"/>
        <w:ind w:firstLine="420" w:firstLineChars="200"/>
        <w:textAlignment w:val="auto"/>
        <w:rPr>
          <w:rFonts w:hint="eastAsia" w:ascii="宋体" w:hAnsi="宋体" w:eastAsia="宋体" w:cs="宋体"/>
          <w:color w:val="auto"/>
          <w:szCs w:val="21"/>
          <w:highlight w:val="none"/>
        </w:rPr>
      </w:pPr>
    </w:p>
    <w:p w14:paraId="593361FC">
      <w:pPr>
        <w:keepNext w:val="0"/>
        <w:keepLines w:val="0"/>
        <w:pageBreakBefore w:val="0"/>
        <w:widowControl w:val="0"/>
        <w:kinsoku/>
        <w:wordWrap/>
        <w:overflowPunct/>
        <w:topLinePunct w:val="0"/>
        <w:autoSpaceDE/>
        <w:autoSpaceDN/>
        <w:bidi w:val="0"/>
        <w:adjustRightInd/>
        <w:snapToGrid/>
        <w:spacing w:line="48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根据《中华人民共和国政府采购法》、《中华人民共和国</w:t>
      </w:r>
      <w:r>
        <w:rPr>
          <w:rFonts w:hint="eastAsia" w:ascii="宋体" w:hAnsi="宋体" w:eastAsia="宋体" w:cs="宋体"/>
          <w:color w:val="auto"/>
          <w:szCs w:val="21"/>
          <w:highlight w:val="none"/>
          <w:lang w:eastAsia="zh-CN"/>
        </w:rPr>
        <w:t>民法典</w:t>
      </w:r>
      <w:r>
        <w:rPr>
          <w:rFonts w:hint="eastAsia" w:ascii="宋体" w:hAnsi="宋体" w:eastAsia="宋体" w:cs="宋体"/>
          <w:color w:val="auto"/>
          <w:szCs w:val="21"/>
          <w:highlight w:val="none"/>
        </w:rPr>
        <w:t>》等法律、法规规定，按照招标文件（采购文件）规定条款和中标（成交）供应商承诺，甲乙双方签订本合同。</w:t>
      </w:r>
    </w:p>
    <w:p w14:paraId="45515A7C">
      <w:pPr>
        <w:keepNext w:val="0"/>
        <w:keepLines w:val="0"/>
        <w:pageBreakBefore w:val="0"/>
        <w:widowControl w:val="0"/>
        <w:kinsoku/>
        <w:wordWrap/>
        <w:overflowPunct/>
        <w:topLinePunct w:val="0"/>
        <w:autoSpaceDE/>
        <w:autoSpaceDN/>
        <w:bidi w:val="0"/>
        <w:adjustRightInd/>
        <w:snapToGrid/>
        <w:spacing w:line="480" w:lineRule="exact"/>
        <w:ind w:firstLine="422" w:firstLineChars="200"/>
        <w:textAlignment w:val="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第一条　合同标的</w:t>
      </w:r>
    </w:p>
    <w:p w14:paraId="46F6899E">
      <w:pPr>
        <w:keepNext w:val="0"/>
        <w:keepLines w:val="0"/>
        <w:pageBreakBefore w:val="0"/>
        <w:widowControl w:val="0"/>
        <w:kinsoku/>
        <w:wordWrap/>
        <w:overflowPunct/>
        <w:topLinePunct w:val="0"/>
        <w:autoSpaceDE/>
        <w:autoSpaceDN/>
        <w:bidi w:val="0"/>
        <w:adjustRightInd/>
        <w:snapToGrid/>
        <w:spacing w:line="480" w:lineRule="exact"/>
        <w:ind w:firstLine="420" w:firstLineChars="200"/>
        <w:textAlignment w:val="auto"/>
        <w:rPr>
          <w:rFonts w:hint="eastAsia" w:ascii="宋体" w:hAnsi="宋体" w:eastAsia="宋体" w:cs="宋体"/>
          <w:color w:val="auto"/>
          <w:szCs w:val="21"/>
          <w:highlight w:val="none"/>
        </w:rPr>
      </w:pPr>
      <w:r>
        <w:rPr>
          <w:rFonts w:hint="eastAsia" w:ascii="宋体" w:hAnsi="宋体" w:cs="宋体"/>
          <w:color w:val="auto"/>
          <w:szCs w:val="21"/>
          <w:highlight w:val="none"/>
          <w:lang w:eastAsia="zh-CN"/>
        </w:rPr>
        <w:t>1.</w:t>
      </w:r>
      <w:r>
        <w:rPr>
          <w:rFonts w:hint="eastAsia" w:ascii="宋体" w:hAnsi="宋体" w:eastAsia="宋体" w:cs="宋体"/>
          <w:color w:val="auto"/>
          <w:szCs w:val="21"/>
          <w:highlight w:val="none"/>
        </w:rPr>
        <w:t>项目一览表</w:t>
      </w:r>
    </w:p>
    <w:tbl>
      <w:tblPr>
        <w:tblStyle w:val="39"/>
        <w:tblW w:w="0" w:type="auto"/>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0"/>
        <w:gridCol w:w="3613"/>
        <w:gridCol w:w="1320"/>
        <w:gridCol w:w="1200"/>
        <w:gridCol w:w="1300"/>
        <w:gridCol w:w="1207"/>
      </w:tblGrid>
      <w:tr w14:paraId="5B34F9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0" w:hRule="atLeast"/>
        </w:trPr>
        <w:tc>
          <w:tcPr>
            <w:tcW w:w="720" w:type="dxa"/>
            <w:tcBorders>
              <w:top w:val="single" w:color="auto" w:sz="4" w:space="0"/>
              <w:left w:val="single" w:color="auto" w:sz="4" w:space="0"/>
              <w:bottom w:val="single" w:color="auto" w:sz="4" w:space="0"/>
              <w:right w:val="single" w:color="auto" w:sz="4" w:space="0"/>
            </w:tcBorders>
            <w:noWrap w:val="0"/>
            <w:vAlign w:val="center"/>
          </w:tcPr>
          <w:p w14:paraId="75514E8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3613" w:type="dxa"/>
            <w:tcBorders>
              <w:top w:val="single" w:color="auto" w:sz="4" w:space="0"/>
              <w:left w:val="single" w:color="auto" w:sz="4" w:space="0"/>
              <w:bottom w:val="single" w:color="auto" w:sz="4" w:space="0"/>
              <w:right w:val="single" w:color="auto" w:sz="4" w:space="0"/>
            </w:tcBorders>
            <w:noWrap w:val="0"/>
            <w:vAlign w:val="center"/>
          </w:tcPr>
          <w:p w14:paraId="77464E2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标的名称</w:t>
            </w:r>
          </w:p>
        </w:tc>
        <w:tc>
          <w:tcPr>
            <w:tcW w:w="1320" w:type="dxa"/>
            <w:tcBorders>
              <w:top w:val="single" w:color="auto" w:sz="4" w:space="0"/>
              <w:left w:val="single" w:color="auto" w:sz="4" w:space="0"/>
              <w:bottom w:val="single" w:color="auto" w:sz="4" w:space="0"/>
              <w:right w:val="single" w:color="auto" w:sz="4" w:space="0"/>
            </w:tcBorders>
            <w:noWrap w:val="0"/>
            <w:vAlign w:val="center"/>
          </w:tcPr>
          <w:p w14:paraId="4049391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数  量</w:t>
            </w:r>
          </w:p>
        </w:tc>
        <w:tc>
          <w:tcPr>
            <w:tcW w:w="1200" w:type="dxa"/>
            <w:tcBorders>
              <w:top w:val="single" w:color="auto" w:sz="4" w:space="0"/>
              <w:left w:val="single" w:color="auto" w:sz="4" w:space="0"/>
              <w:bottom w:val="single" w:color="auto" w:sz="4" w:space="0"/>
              <w:right w:val="single" w:color="auto" w:sz="4" w:space="0"/>
            </w:tcBorders>
            <w:noWrap w:val="0"/>
            <w:vAlign w:val="center"/>
          </w:tcPr>
          <w:p w14:paraId="2833D71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单位</w:t>
            </w:r>
          </w:p>
        </w:tc>
        <w:tc>
          <w:tcPr>
            <w:tcW w:w="1300" w:type="dxa"/>
            <w:tcBorders>
              <w:top w:val="single" w:color="auto" w:sz="4" w:space="0"/>
              <w:left w:val="single" w:color="auto" w:sz="4" w:space="0"/>
              <w:bottom w:val="single" w:color="auto" w:sz="4" w:space="0"/>
              <w:right w:val="single" w:color="auto" w:sz="4" w:space="0"/>
            </w:tcBorders>
            <w:noWrap w:val="0"/>
            <w:vAlign w:val="center"/>
          </w:tcPr>
          <w:p w14:paraId="63A7A1D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单价</w:t>
            </w:r>
          </w:p>
          <w:p w14:paraId="5999083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（元）</w:t>
            </w:r>
          </w:p>
        </w:tc>
        <w:tc>
          <w:tcPr>
            <w:tcW w:w="1207" w:type="dxa"/>
            <w:tcBorders>
              <w:top w:val="single" w:color="auto" w:sz="4" w:space="0"/>
              <w:left w:val="single" w:color="auto" w:sz="4" w:space="0"/>
              <w:bottom w:val="single" w:color="auto" w:sz="4" w:space="0"/>
              <w:right w:val="single" w:color="auto" w:sz="4" w:space="0"/>
            </w:tcBorders>
            <w:noWrap w:val="0"/>
            <w:vAlign w:val="center"/>
          </w:tcPr>
          <w:p w14:paraId="196DDA3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总价</w:t>
            </w:r>
          </w:p>
          <w:p w14:paraId="1E382D8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（元）</w:t>
            </w:r>
          </w:p>
        </w:tc>
      </w:tr>
      <w:tr w14:paraId="086983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0" w:hRule="atLeast"/>
        </w:trPr>
        <w:tc>
          <w:tcPr>
            <w:tcW w:w="720" w:type="dxa"/>
            <w:tcBorders>
              <w:top w:val="single" w:color="auto" w:sz="4" w:space="0"/>
              <w:left w:val="single" w:color="auto" w:sz="4" w:space="0"/>
              <w:bottom w:val="single" w:color="auto" w:sz="4" w:space="0"/>
              <w:right w:val="single" w:color="auto" w:sz="4" w:space="0"/>
            </w:tcBorders>
            <w:noWrap w:val="0"/>
            <w:vAlign w:val="center"/>
          </w:tcPr>
          <w:p w14:paraId="7C61FC1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jc w:val="center"/>
              <w:textAlignment w:val="auto"/>
              <w:rPr>
                <w:rFonts w:hint="eastAsia" w:ascii="宋体" w:hAnsi="宋体" w:eastAsia="宋体" w:cs="宋体"/>
                <w:color w:val="auto"/>
                <w:sz w:val="21"/>
                <w:szCs w:val="21"/>
                <w:highlight w:val="none"/>
              </w:rPr>
            </w:pPr>
          </w:p>
        </w:tc>
        <w:tc>
          <w:tcPr>
            <w:tcW w:w="3613" w:type="dxa"/>
            <w:tcBorders>
              <w:top w:val="single" w:color="auto" w:sz="4" w:space="0"/>
              <w:left w:val="single" w:color="auto" w:sz="4" w:space="0"/>
              <w:bottom w:val="single" w:color="auto" w:sz="4" w:space="0"/>
              <w:right w:val="single" w:color="auto" w:sz="4" w:space="0"/>
            </w:tcBorders>
            <w:noWrap w:val="0"/>
            <w:vAlign w:val="center"/>
          </w:tcPr>
          <w:p w14:paraId="73D4301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jc w:val="center"/>
              <w:textAlignment w:val="auto"/>
              <w:rPr>
                <w:rFonts w:hint="eastAsia" w:ascii="宋体" w:hAnsi="宋体" w:eastAsia="宋体" w:cs="宋体"/>
                <w:color w:val="auto"/>
                <w:sz w:val="21"/>
                <w:szCs w:val="21"/>
                <w:highlight w:val="none"/>
              </w:rPr>
            </w:pPr>
          </w:p>
        </w:tc>
        <w:tc>
          <w:tcPr>
            <w:tcW w:w="1320" w:type="dxa"/>
            <w:tcBorders>
              <w:top w:val="single" w:color="auto" w:sz="4" w:space="0"/>
              <w:left w:val="single" w:color="auto" w:sz="4" w:space="0"/>
              <w:bottom w:val="single" w:color="auto" w:sz="4" w:space="0"/>
              <w:right w:val="single" w:color="auto" w:sz="4" w:space="0"/>
            </w:tcBorders>
            <w:noWrap w:val="0"/>
            <w:vAlign w:val="center"/>
          </w:tcPr>
          <w:p w14:paraId="755ABC8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jc w:val="center"/>
              <w:textAlignment w:val="auto"/>
              <w:rPr>
                <w:rFonts w:hint="eastAsia" w:ascii="宋体" w:hAnsi="宋体" w:eastAsia="宋体" w:cs="宋体"/>
                <w:color w:val="auto"/>
                <w:sz w:val="21"/>
                <w:szCs w:val="21"/>
                <w:highlight w:val="none"/>
              </w:rPr>
            </w:pPr>
          </w:p>
        </w:tc>
        <w:tc>
          <w:tcPr>
            <w:tcW w:w="1200" w:type="dxa"/>
            <w:tcBorders>
              <w:top w:val="single" w:color="auto" w:sz="4" w:space="0"/>
              <w:left w:val="single" w:color="auto" w:sz="4" w:space="0"/>
              <w:bottom w:val="single" w:color="auto" w:sz="4" w:space="0"/>
              <w:right w:val="single" w:color="auto" w:sz="4" w:space="0"/>
            </w:tcBorders>
            <w:noWrap w:val="0"/>
            <w:vAlign w:val="center"/>
          </w:tcPr>
          <w:p w14:paraId="2BB005A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jc w:val="center"/>
              <w:textAlignment w:val="auto"/>
              <w:rPr>
                <w:rFonts w:hint="eastAsia" w:ascii="宋体" w:hAnsi="宋体" w:eastAsia="宋体" w:cs="宋体"/>
                <w:color w:val="auto"/>
                <w:sz w:val="21"/>
                <w:szCs w:val="21"/>
                <w:highlight w:val="none"/>
              </w:rPr>
            </w:pPr>
          </w:p>
        </w:tc>
        <w:tc>
          <w:tcPr>
            <w:tcW w:w="1300" w:type="dxa"/>
            <w:tcBorders>
              <w:top w:val="single" w:color="auto" w:sz="4" w:space="0"/>
              <w:left w:val="single" w:color="auto" w:sz="4" w:space="0"/>
              <w:bottom w:val="single" w:color="auto" w:sz="4" w:space="0"/>
              <w:right w:val="single" w:color="auto" w:sz="4" w:space="0"/>
            </w:tcBorders>
            <w:noWrap w:val="0"/>
            <w:vAlign w:val="center"/>
          </w:tcPr>
          <w:p w14:paraId="148DBD8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jc w:val="center"/>
              <w:textAlignment w:val="auto"/>
              <w:rPr>
                <w:rFonts w:hint="eastAsia" w:ascii="宋体" w:hAnsi="宋体" w:eastAsia="宋体" w:cs="宋体"/>
                <w:color w:val="auto"/>
                <w:sz w:val="21"/>
                <w:szCs w:val="21"/>
                <w:highlight w:val="none"/>
              </w:rPr>
            </w:pPr>
          </w:p>
        </w:tc>
        <w:tc>
          <w:tcPr>
            <w:tcW w:w="1207" w:type="dxa"/>
            <w:tcBorders>
              <w:top w:val="single" w:color="auto" w:sz="4" w:space="0"/>
              <w:left w:val="single" w:color="auto" w:sz="4" w:space="0"/>
              <w:bottom w:val="single" w:color="auto" w:sz="4" w:space="0"/>
              <w:right w:val="single" w:color="auto" w:sz="4" w:space="0"/>
            </w:tcBorders>
            <w:noWrap w:val="0"/>
            <w:vAlign w:val="center"/>
          </w:tcPr>
          <w:p w14:paraId="08B6539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jc w:val="center"/>
              <w:textAlignment w:val="auto"/>
              <w:rPr>
                <w:rFonts w:hint="eastAsia" w:ascii="宋体" w:hAnsi="宋体" w:eastAsia="宋体" w:cs="宋体"/>
                <w:color w:val="auto"/>
                <w:sz w:val="21"/>
                <w:szCs w:val="21"/>
                <w:highlight w:val="none"/>
              </w:rPr>
            </w:pPr>
          </w:p>
        </w:tc>
      </w:tr>
      <w:tr w14:paraId="04D918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9360" w:type="dxa"/>
            <w:gridSpan w:val="6"/>
            <w:tcBorders>
              <w:top w:val="single" w:color="auto" w:sz="4" w:space="0"/>
              <w:left w:val="single" w:color="auto" w:sz="4" w:space="0"/>
              <w:bottom w:val="single" w:color="auto" w:sz="4" w:space="0"/>
              <w:right w:val="single" w:color="auto" w:sz="4" w:space="0"/>
            </w:tcBorders>
            <w:noWrap w:val="0"/>
            <w:vAlign w:val="center"/>
          </w:tcPr>
          <w:p w14:paraId="5CD1CBD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jc w:val="center"/>
              <w:textAlignment w:val="auto"/>
              <w:rPr>
                <w:rFonts w:hint="eastAsia" w:ascii="宋体" w:hAnsi="宋体" w:eastAsia="宋体" w:cs="宋体"/>
                <w:color w:val="auto"/>
                <w:sz w:val="21"/>
                <w:szCs w:val="21"/>
                <w:highlight w:val="none"/>
              </w:rPr>
            </w:pPr>
          </w:p>
        </w:tc>
      </w:tr>
      <w:tr w14:paraId="5D103F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9360" w:type="dxa"/>
            <w:gridSpan w:val="6"/>
            <w:tcBorders>
              <w:top w:val="single" w:color="auto" w:sz="4" w:space="0"/>
              <w:left w:val="single" w:color="auto" w:sz="4" w:space="0"/>
              <w:bottom w:val="single" w:color="auto" w:sz="4" w:space="0"/>
              <w:right w:val="single" w:color="auto" w:sz="4" w:space="0"/>
            </w:tcBorders>
            <w:noWrap w:val="0"/>
            <w:vAlign w:val="center"/>
          </w:tcPr>
          <w:p w14:paraId="0F603B1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80" w:lineRule="exact"/>
              <w:ind w:left="0" w:right="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人民币合计金额（大写）：</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元整（¥</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 xml:space="preserve">）              </w:t>
            </w:r>
          </w:p>
        </w:tc>
      </w:tr>
    </w:tbl>
    <w:p w14:paraId="2B9CBD5C">
      <w:pPr>
        <w:keepNext w:val="0"/>
        <w:keepLines w:val="0"/>
        <w:pageBreakBefore w:val="0"/>
        <w:widowControl w:val="0"/>
        <w:kinsoku/>
        <w:wordWrap/>
        <w:overflowPunct/>
        <w:topLinePunct w:val="0"/>
        <w:autoSpaceDE/>
        <w:autoSpaceDN/>
        <w:bidi w:val="0"/>
        <w:adjustRightInd/>
        <w:spacing w:line="480" w:lineRule="exact"/>
        <w:ind w:firstLine="420" w:firstLineChars="200"/>
        <w:textAlignment w:val="auto"/>
        <w:rPr>
          <w:rFonts w:hint="eastAsia" w:ascii="宋体" w:hAnsi="宋体" w:eastAsia="宋体" w:cs="宋体"/>
          <w:color w:val="auto"/>
          <w:szCs w:val="21"/>
          <w:highlight w:val="none"/>
        </w:rPr>
      </w:pPr>
      <w:r>
        <w:rPr>
          <w:rFonts w:hint="eastAsia" w:ascii="宋体" w:hAnsi="宋体" w:cs="宋体"/>
          <w:color w:val="auto"/>
          <w:szCs w:val="21"/>
          <w:highlight w:val="none"/>
          <w:lang w:eastAsia="zh-CN"/>
        </w:rPr>
        <w:t>2.</w:t>
      </w:r>
      <w:r>
        <w:rPr>
          <w:rFonts w:hint="eastAsia" w:ascii="宋体" w:hAnsi="宋体" w:eastAsia="宋体" w:cs="宋体"/>
          <w:color w:val="auto"/>
          <w:szCs w:val="21"/>
          <w:highlight w:val="none"/>
        </w:rPr>
        <w:t>合同合计金额</w:t>
      </w:r>
      <w:r>
        <w:rPr>
          <w:rFonts w:hint="eastAsia" w:ascii="宋体" w:hAnsi="宋体" w:eastAsia="宋体" w:cs="宋体"/>
          <w:color w:val="auto"/>
          <w:spacing w:val="-2"/>
          <w:sz w:val="21"/>
          <w:szCs w:val="21"/>
          <w:highlight w:val="none"/>
        </w:rPr>
        <w:t>包含本次采购范围内提供的服务、所涉及的人员劳务费、差旅费、履约验收、</w:t>
      </w:r>
      <w:r>
        <w:rPr>
          <w:rFonts w:hint="eastAsia" w:ascii="宋体" w:hAnsi="宋体" w:eastAsia="宋体" w:cs="宋体"/>
          <w:color w:val="auto"/>
          <w:spacing w:val="-3"/>
          <w:sz w:val="21"/>
          <w:szCs w:val="21"/>
          <w:highlight w:val="none"/>
        </w:rPr>
        <w:t>第三方风险管理服务费、培训及技术资料、代理服务费及其它所有成本费用的总和，在合同实施</w:t>
      </w:r>
      <w:r>
        <w:rPr>
          <w:rFonts w:hint="eastAsia" w:ascii="宋体" w:hAnsi="宋体" w:eastAsia="宋体" w:cs="宋体"/>
          <w:color w:val="auto"/>
          <w:sz w:val="21"/>
          <w:szCs w:val="21"/>
          <w:highlight w:val="none"/>
        </w:rPr>
        <w:t>时，甲方将不予支付乙方没有列入的项目费用，并认为此项目的费用已包括在总报</w:t>
      </w:r>
      <w:r>
        <w:rPr>
          <w:rFonts w:hint="eastAsia" w:ascii="宋体" w:hAnsi="宋体" w:eastAsia="宋体" w:cs="宋体"/>
          <w:color w:val="auto"/>
          <w:spacing w:val="-1"/>
          <w:sz w:val="21"/>
          <w:szCs w:val="21"/>
          <w:highlight w:val="none"/>
        </w:rPr>
        <w:t>价中。</w:t>
      </w:r>
    </w:p>
    <w:p w14:paraId="27825CCF">
      <w:pPr>
        <w:keepNext w:val="0"/>
        <w:keepLines w:val="0"/>
        <w:pageBreakBefore w:val="0"/>
        <w:widowControl w:val="0"/>
        <w:kinsoku/>
        <w:wordWrap/>
        <w:overflowPunct/>
        <w:topLinePunct w:val="0"/>
        <w:autoSpaceDE/>
        <w:autoSpaceDN/>
        <w:bidi w:val="0"/>
        <w:adjustRightInd/>
        <w:spacing w:line="480" w:lineRule="exact"/>
        <w:ind w:firstLine="422" w:firstLineChars="200"/>
        <w:textAlignment w:val="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第二条　质量保证</w:t>
      </w:r>
    </w:p>
    <w:p w14:paraId="64056A84">
      <w:pPr>
        <w:keepNext w:val="0"/>
        <w:keepLines w:val="0"/>
        <w:pageBreakBefore w:val="0"/>
        <w:widowControl w:val="0"/>
        <w:kinsoku/>
        <w:wordWrap/>
        <w:overflowPunct/>
        <w:topLinePunct w:val="0"/>
        <w:autoSpaceDE/>
        <w:autoSpaceDN/>
        <w:bidi w:val="0"/>
        <w:adjustRightInd/>
        <w:snapToGrid w:val="0"/>
        <w:spacing w:line="48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乙方所提供的服务及服务内容必须与投标文件承诺相一致，有国家强制性标准的，还必须符合国家强制性标准的规定，没有国家强制性标准但有其他强制性标准的，必须符合其他强制性标准的规定。</w:t>
      </w:r>
    </w:p>
    <w:p w14:paraId="0355196C">
      <w:pPr>
        <w:keepNext w:val="0"/>
        <w:keepLines w:val="0"/>
        <w:pageBreakBefore w:val="0"/>
        <w:widowControl w:val="0"/>
        <w:kinsoku/>
        <w:wordWrap/>
        <w:overflowPunct/>
        <w:topLinePunct w:val="0"/>
        <w:autoSpaceDE/>
        <w:autoSpaceDN/>
        <w:bidi w:val="0"/>
        <w:adjustRightInd/>
        <w:spacing w:line="480" w:lineRule="exact"/>
        <w:ind w:firstLine="422" w:firstLineChars="200"/>
        <w:textAlignment w:val="auto"/>
        <w:rPr>
          <w:rFonts w:hint="eastAsia" w:ascii="宋体" w:hAnsi="宋体" w:eastAsia="宋体" w:cs="宋体"/>
          <w:color w:val="auto"/>
          <w:szCs w:val="21"/>
          <w:highlight w:val="none"/>
        </w:rPr>
      </w:pPr>
      <w:r>
        <w:rPr>
          <w:rFonts w:hint="eastAsia" w:ascii="宋体" w:hAnsi="宋体" w:eastAsia="宋体" w:cs="宋体"/>
          <w:b/>
          <w:color w:val="auto"/>
          <w:szCs w:val="21"/>
          <w:highlight w:val="none"/>
        </w:rPr>
        <w:t>第三条　权利保证</w:t>
      </w:r>
    </w:p>
    <w:p w14:paraId="4CD4D682">
      <w:pPr>
        <w:keepNext w:val="0"/>
        <w:keepLines w:val="0"/>
        <w:pageBreakBefore w:val="0"/>
        <w:widowControl w:val="0"/>
        <w:kinsoku/>
        <w:wordWrap/>
        <w:overflowPunct/>
        <w:topLinePunct w:val="0"/>
        <w:autoSpaceDE/>
        <w:autoSpaceDN/>
        <w:bidi w:val="0"/>
        <w:adjustRightInd/>
        <w:snapToGrid w:val="0"/>
        <w:spacing w:line="480" w:lineRule="exact"/>
        <w:ind w:firstLine="420" w:firstLineChars="200"/>
        <w:textAlignment w:val="auto"/>
        <w:rPr>
          <w:rFonts w:hint="eastAsia" w:ascii="宋体" w:hAnsi="宋体" w:eastAsia="宋体" w:cs="宋体"/>
          <w:color w:val="auto"/>
          <w:szCs w:val="21"/>
          <w:highlight w:val="none"/>
        </w:rPr>
      </w:pPr>
      <w:r>
        <w:rPr>
          <w:rFonts w:hint="eastAsia" w:ascii="宋体" w:hAnsi="宋体" w:cs="宋体"/>
          <w:color w:val="auto"/>
          <w:szCs w:val="21"/>
          <w:highlight w:val="none"/>
          <w:lang w:eastAsia="zh-CN"/>
        </w:rPr>
        <w:t>1.</w:t>
      </w:r>
      <w:r>
        <w:rPr>
          <w:rFonts w:hint="eastAsia" w:ascii="宋体" w:hAnsi="宋体" w:eastAsia="宋体" w:cs="宋体"/>
          <w:color w:val="auto"/>
          <w:szCs w:val="21"/>
          <w:highlight w:val="none"/>
        </w:rPr>
        <w:t>乙方应保证所提供服务在使用时不会侵犯任何第三方的专利权、商标权、工业设计权等知识产权及其他合法权利，且所有权、处分权等没有受到任何限制。</w:t>
      </w:r>
    </w:p>
    <w:p w14:paraId="0CB73584">
      <w:pPr>
        <w:keepNext w:val="0"/>
        <w:keepLines w:val="0"/>
        <w:pageBreakBefore w:val="0"/>
        <w:widowControl w:val="0"/>
        <w:kinsoku/>
        <w:wordWrap/>
        <w:overflowPunct/>
        <w:topLinePunct w:val="0"/>
        <w:autoSpaceDE/>
        <w:autoSpaceDN/>
        <w:bidi w:val="0"/>
        <w:adjustRightInd/>
        <w:snapToGrid w:val="0"/>
        <w:spacing w:line="480" w:lineRule="exact"/>
        <w:ind w:firstLine="420" w:firstLineChars="200"/>
        <w:textAlignment w:val="auto"/>
        <w:rPr>
          <w:rFonts w:hint="eastAsia" w:ascii="宋体" w:hAnsi="宋体" w:eastAsia="宋体" w:cs="宋体"/>
          <w:color w:val="auto"/>
          <w:szCs w:val="21"/>
          <w:highlight w:val="none"/>
        </w:rPr>
      </w:pPr>
      <w:r>
        <w:rPr>
          <w:rFonts w:hint="eastAsia" w:ascii="宋体" w:hAnsi="宋体" w:cs="宋体"/>
          <w:color w:val="auto"/>
          <w:szCs w:val="21"/>
          <w:highlight w:val="none"/>
          <w:lang w:eastAsia="zh-CN"/>
        </w:rPr>
        <w:t>2.</w:t>
      </w:r>
      <w:r>
        <w:rPr>
          <w:rFonts w:hint="eastAsia" w:ascii="宋体" w:hAnsi="宋体" w:eastAsia="宋体" w:cs="宋体"/>
          <w:color w:val="auto"/>
          <w:szCs w:val="21"/>
          <w:highlight w:val="none"/>
        </w:rPr>
        <w:t>没有甲方事先书面同意，乙方不得将由甲方提供的有关合同或者任何合同条文或者资料提供给与履行本合同无关的任何其他人。即使向履行本合同有关的人员提供，也应注意保密并限于履行合同的必需范围。乙方的保密义务持续有效，不因本合同履行终止、解除或者无效而解除。</w:t>
      </w:r>
    </w:p>
    <w:p w14:paraId="580E3162">
      <w:pPr>
        <w:keepNext w:val="0"/>
        <w:keepLines w:val="0"/>
        <w:pageBreakBefore w:val="0"/>
        <w:widowControl w:val="0"/>
        <w:kinsoku/>
        <w:wordWrap/>
        <w:overflowPunct/>
        <w:topLinePunct w:val="0"/>
        <w:autoSpaceDE/>
        <w:autoSpaceDN/>
        <w:bidi w:val="0"/>
        <w:adjustRightInd/>
        <w:spacing w:line="480" w:lineRule="exact"/>
        <w:ind w:firstLine="422" w:firstLineChars="200"/>
        <w:textAlignment w:val="auto"/>
        <w:rPr>
          <w:rFonts w:hint="eastAsia" w:ascii="宋体" w:hAnsi="宋体" w:eastAsia="宋体" w:cs="宋体"/>
          <w:color w:val="auto"/>
          <w:szCs w:val="21"/>
          <w:highlight w:val="none"/>
        </w:rPr>
      </w:pPr>
      <w:r>
        <w:rPr>
          <w:rFonts w:hint="eastAsia" w:ascii="宋体" w:hAnsi="宋体" w:eastAsia="宋体" w:cs="宋体"/>
          <w:b/>
          <w:color w:val="auto"/>
          <w:szCs w:val="21"/>
          <w:highlight w:val="none"/>
        </w:rPr>
        <w:t>第四条　交付和验收</w:t>
      </w:r>
    </w:p>
    <w:p w14:paraId="631E1DE7">
      <w:pPr>
        <w:keepNext w:val="0"/>
        <w:keepLines w:val="0"/>
        <w:pageBreakBefore w:val="0"/>
        <w:widowControl w:val="0"/>
        <w:kinsoku/>
        <w:wordWrap/>
        <w:overflowPunct/>
        <w:topLinePunct w:val="0"/>
        <w:autoSpaceDE/>
        <w:autoSpaceDN/>
        <w:bidi w:val="0"/>
        <w:adjustRightInd/>
        <w:spacing w:line="480" w:lineRule="exact"/>
        <w:ind w:firstLine="420" w:firstLineChars="200"/>
        <w:textAlignment w:val="auto"/>
        <w:rPr>
          <w:rFonts w:hint="eastAsia" w:ascii="宋体" w:hAnsi="宋体" w:eastAsia="宋体" w:cs="宋体"/>
          <w:color w:val="auto"/>
          <w:szCs w:val="21"/>
          <w:highlight w:val="none"/>
        </w:rPr>
      </w:pPr>
      <w:r>
        <w:rPr>
          <w:rFonts w:hint="eastAsia" w:ascii="宋体" w:hAnsi="宋体" w:cs="宋体"/>
          <w:color w:val="auto"/>
          <w:szCs w:val="21"/>
          <w:highlight w:val="none"/>
          <w:lang w:eastAsia="zh-CN"/>
        </w:rPr>
        <w:t>1.</w:t>
      </w:r>
      <w:r>
        <w:rPr>
          <w:rFonts w:hint="eastAsia" w:ascii="宋体" w:hAnsi="宋体" w:eastAsia="宋体" w:cs="宋体"/>
          <w:color w:val="auto"/>
          <w:szCs w:val="21"/>
          <w:highlight w:val="none"/>
          <w:lang w:val="en-US" w:eastAsia="zh-CN"/>
        </w:rPr>
        <w:t>保险</w:t>
      </w:r>
      <w:r>
        <w:rPr>
          <w:rFonts w:hint="eastAsia" w:ascii="宋体" w:hAnsi="宋体" w:eastAsia="宋体" w:cs="宋体"/>
          <w:color w:val="auto"/>
          <w:szCs w:val="21"/>
          <w:highlight w:val="none"/>
        </w:rPr>
        <w:t>期限：</w:t>
      </w:r>
      <w:r>
        <w:rPr>
          <w:rFonts w:hint="eastAsia" w:ascii="宋体" w:hAnsi="宋体" w:eastAsia="宋体" w:cs="宋体"/>
          <w:color w:val="auto"/>
          <w:szCs w:val="21"/>
          <w:highlight w:val="none"/>
          <w:u w:val="single"/>
        </w:rPr>
        <w:t xml:space="preserve"> </w:t>
      </w:r>
      <w:r>
        <w:rPr>
          <w:rFonts w:hint="eastAsia" w:ascii="宋体" w:hAnsi="宋体" w:cs="宋体"/>
          <w:color w:val="auto"/>
          <w:szCs w:val="21"/>
          <w:highlight w:val="none"/>
          <w:u w:val="single"/>
          <w:lang w:val="en-US" w:eastAsia="zh-CN"/>
        </w:rPr>
        <w:t xml:space="preserve">        </w:t>
      </w:r>
      <w:r>
        <w:rPr>
          <w:rFonts w:hint="eastAsia" w:ascii="宋体" w:hAnsi="宋体" w:eastAsia="宋体" w:cs="宋体"/>
          <w:color w:val="auto"/>
          <w:szCs w:val="21"/>
          <w:highlight w:val="none"/>
        </w:rPr>
        <w:t>，服务地点：广西辖区内甲方指定地点。</w:t>
      </w:r>
    </w:p>
    <w:p w14:paraId="0C7CFD73">
      <w:pPr>
        <w:keepNext w:val="0"/>
        <w:keepLines w:val="0"/>
        <w:pageBreakBefore w:val="0"/>
        <w:widowControl w:val="0"/>
        <w:kinsoku/>
        <w:wordWrap/>
        <w:overflowPunct/>
        <w:topLinePunct w:val="0"/>
        <w:autoSpaceDE/>
        <w:autoSpaceDN/>
        <w:bidi w:val="0"/>
        <w:adjustRightInd/>
        <w:snapToGrid w:val="0"/>
        <w:spacing w:line="480" w:lineRule="exact"/>
        <w:ind w:firstLine="420" w:firstLineChars="200"/>
        <w:textAlignment w:val="auto"/>
        <w:rPr>
          <w:rFonts w:hint="eastAsia" w:ascii="宋体" w:hAnsi="宋体" w:eastAsia="宋体" w:cs="宋体"/>
          <w:color w:val="auto"/>
          <w:szCs w:val="21"/>
          <w:highlight w:val="none"/>
        </w:rPr>
      </w:pPr>
      <w:r>
        <w:rPr>
          <w:rFonts w:hint="eastAsia" w:ascii="宋体" w:hAnsi="宋体" w:cs="宋体"/>
          <w:color w:val="auto"/>
          <w:szCs w:val="21"/>
          <w:highlight w:val="none"/>
          <w:lang w:eastAsia="zh-CN"/>
        </w:rPr>
        <w:t>2.</w:t>
      </w:r>
      <w:r>
        <w:rPr>
          <w:rFonts w:hint="eastAsia" w:ascii="宋体" w:hAnsi="宋体" w:eastAsia="宋体" w:cs="宋体"/>
          <w:color w:val="auto"/>
          <w:szCs w:val="21"/>
          <w:highlight w:val="none"/>
        </w:rPr>
        <w:t>乙方应按投标文件的承诺向甲方提供相应的服务，并提供所服务内容的相关技术资料。</w:t>
      </w:r>
    </w:p>
    <w:p w14:paraId="456DC96C">
      <w:pPr>
        <w:keepNext w:val="0"/>
        <w:keepLines w:val="0"/>
        <w:pageBreakBefore w:val="0"/>
        <w:widowControl w:val="0"/>
        <w:kinsoku/>
        <w:wordWrap/>
        <w:overflowPunct/>
        <w:topLinePunct w:val="0"/>
        <w:autoSpaceDE/>
        <w:autoSpaceDN/>
        <w:bidi w:val="0"/>
        <w:adjustRightInd/>
        <w:spacing w:line="480" w:lineRule="exact"/>
        <w:ind w:firstLine="420" w:firstLineChars="200"/>
        <w:textAlignment w:val="auto"/>
        <w:rPr>
          <w:rFonts w:hint="eastAsia" w:ascii="宋体" w:hAnsi="宋体" w:eastAsia="宋体" w:cs="宋体"/>
          <w:color w:val="auto"/>
          <w:szCs w:val="21"/>
          <w:highlight w:val="none"/>
        </w:rPr>
      </w:pPr>
      <w:r>
        <w:rPr>
          <w:rFonts w:hint="eastAsia" w:ascii="宋体" w:hAnsi="宋体" w:cs="宋体"/>
          <w:color w:val="auto"/>
          <w:szCs w:val="21"/>
          <w:highlight w:val="none"/>
          <w:lang w:eastAsia="zh-CN"/>
        </w:rPr>
        <w:t>3.</w:t>
      </w:r>
      <w:r>
        <w:rPr>
          <w:rFonts w:hint="eastAsia" w:ascii="宋体" w:hAnsi="宋体" w:eastAsia="宋体" w:cs="宋体"/>
          <w:color w:val="auto"/>
          <w:szCs w:val="21"/>
          <w:highlight w:val="none"/>
        </w:rPr>
        <w:t>乙方提供不符合投标文件和本合同规定的服务成果，甲方有权拒绝接受。</w:t>
      </w:r>
    </w:p>
    <w:p w14:paraId="12728641">
      <w:pPr>
        <w:keepNext w:val="0"/>
        <w:keepLines w:val="0"/>
        <w:pageBreakBefore w:val="0"/>
        <w:widowControl w:val="0"/>
        <w:kinsoku/>
        <w:wordWrap/>
        <w:overflowPunct/>
        <w:topLinePunct w:val="0"/>
        <w:autoSpaceDE/>
        <w:autoSpaceDN/>
        <w:bidi w:val="0"/>
        <w:adjustRightInd/>
        <w:spacing w:line="480" w:lineRule="exact"/>
        <w:ind w:firstLine="420" w:firstLineChars="200"/>
        <w:textAlignment w:val="auto"/>
        <w:rPr>
          <w:rFonts w:hint="eastAsia" w:ascii="宋体" w:hAnsi="宋体" w:eastAsia="宋体" w:cs="宋体"/>
          <w:color w:val="auto"/>
          <w:szCs w:val="21"/>
          <w:highlight w:val="none"/>
        </w:rPr>
      </w:pPr>
      <w:r>
        <w:rPr>
          <w:rFonts w:hint="eastAsia" w:ascii="宋体" w:hAnsi="宋体" w:cs="宋体"/>
          <w:color w:val="auto"/>
          <w:szCs w:val="21"/>
          <w:highlight w:val="none"/>
          <w:lang w:eastAsia="zh-CN"/>
        </w:rPr>
        <w:t>4.</w:t>
      </w:r>
      <w:r>
        <w:rPr>
          <w:rFonts w:hint="eastAsia" w:ascii="宋体" w:hAnsi="宋体" w:eastAsia="宋体" w:cs="宋体"/>
          <w:color w:val="auto"/>
          <w:szCs w:val="21"/>
          <w:highlight w:val="none"/>
        </w:rPr>
        <w:t>乙方</w:t>
      </w:r>
      <w:r>
        <w:rPr>
          <w:rFonts w:hint="eastAsia" w:ascii="宋体" w:hAnsi="宋体" w:eastAsia="宋体" w:cs="宋体"/>
          <w:color w:val="auto"/>
          <w:spacing w:val="-4"/>
          <w:sz w:val="21"/>
          <w:szCs w:val="21"/>
          <w:highlight w:val="none"/>
        </w:rPr>
        <w:t>出具投保单</w:t>
      </w:r>
      <w:r>
        <w:rPr>
          <w:rFonts w:hint="eastAsia" w:ascii="宋体" w:hAnsi="宋体" w:eastAsia="宋体" w:cs="宋体"/>
          <w:color w:val="auto"/>
          <w:szCs w:val="21"/>
          <w:highlight w:val="none"/>
        </w:rPr>
        <w:t>及时书面通知甲方进行验收，甲方应在收到通知后七个工作日内进行验收，逾期不开始验收的，乙方可视同验收合格。验收合格后由甲乙双方签署验收单并加盖采购人公章，甲乙双方各执一份。</w:t>
      </w:r>
    </w:p>
    <w:p w14:paraId="26A6CC1F">
      <w:pPr>
        <w:keepNext w:val="0"/>
        <w:keepLines w:val="0"/>
        <w:pageBreakBefore w:val="0"/>
        <w:widowControl w:val="0"/>
        <w:kinsoku/>
        <w:wordWrap/>
        <w:overflowPunct/>
        <w:topLinePunct w:val="0"/>
        <w:autoSpaceDE/>
        <w:autoSpaceDN/>
        <w:bidi w:val="0"/>
        <w:adjustRightInd/>
        <w:spacing w:line="480" w:lineRule="exact"/>
        <w:ind w:firstLine="420" w:firstLineChars="200"/>
        <w:textAlignment w:val="auto"/>
        <w:rPr>
          <w:rFonts w:hint="eastAsia" w:ascii="宋体" w:hAnsi="宋体" w:eastAsia="宋体" w:cs="宋体"/>
          <w:color w:val="auto"/>
          <w:szCs w:val="21"/>
          <w:highlight w:val="none"/>
        </w:rPr>
      </w:pPr>
      <w:r>
        <w:rPr>
          <w:rFonts w:hint="eastAsia" w:ascii="宋体" w:hAnsi="宋体" w:cs="宋体"/>
          <w:color w:val="auto"/>
          <w:szCs w:val="21"/>
          <w:highlight w:val="none"/>
          <w:lang w:eastAsia="zh-CN"/>
        </w:rPr>
        <w:t>5.</w:t>
      </w:r>
      <w:r>
        <w:rPr>
          <w:rFonts w:hint="eastAsia" w:ascii="宋体" w:hAnsi="宋体" w:eastAsia="宋体" w:cs="宋体"/>
          <w:color w:val="auto"/>
          <w:szCs w:val="21"/>
          <w:highlight w:val="none"/>
        </w:rPr>
        <w:t>甲乙双方应按照《广西壮族自治区政府采购项目履约验收管理办法》、双方合同、投标文件验收。</w:t>
      </w:r>
    </w:p>
    <w:p w14:paraId="1F02F1F9">
      <w:pPr>
        <w:keepNext w:val="0"/>
        <w:keepLines w:val="0"/>
        <w:pageBreakBefore w:val="0"/>
        <w:widowControl w:val="0"/>
        <w:kinsoku/>
        <w:wordWrap/>
        <w:overflowPunct/>
        <w:topLinePunct w:val="0"/>
        <w:autoSpaceDE/>
        <w:autoSpaceDN/>
        <w:bidi w:val="0"/>
        <w:adjustRightInd/>
        <w:spacing w:line="480" w:lineRule="exact"/>
        <w:ind w:firstLine="420" w:firstLineChars="200"/>
        <w:textAlignment w:val="auto"/>
        <w:rPr>
          <w:rFonts w:hint="eastAsia" w:ascii="宋体" w:hAnsi="宋体" w:eastAsia="宋体" w:cs="宋体"/>
          <w:color w:val="auto"/>
          <w:szCs w:val="21"/>
          <w:highlight w:val="none"/>
        </w:rPr>
      </w:pPr>
      <w:r>
        <w:rPr>
          <w:rFonts w:hint="eastAsia" w:ascii="宋体" w:hAnsi="宋体" w:cs="宋体"/>
          <w:color w:val="auto"/>
          <w:szCs w:val="21"/>
          <w:highlight w:val="none"/>
          <w:lang w:eastAsia="zh-CN"/>
        </w:rPr>
        <w:t>6.</w:t>
      </w:r>
      <w:r>
        <w:rPr>
          <w:rFonts w:hint="eastAsia" w:ascii="宋体" w:hAnsi="宋体" w:eastAsia="宋体" w:cs="宋体"/>
          <w:color w:val="auto"/>
          <w:szCs w:val="21"/>
          <w:highlight w:val="none"/>
        </w:rPr>
        <w:t>甲方在初步验收或者最终验收过程中如发现乙方提供的</w:t>
      </w:r>
      <w:r>
        <w:rPr>
          <w:rFonts w:hint="eastAsia" w:ascii="宋体" w:hAnsi="宋体" w:eastAsia="宋体" w:cs="宋体"/>
          <w:color w:val="auto"/>
          <w:spacing w:val="-4"/>
          <w:sz w:val="21"/>
          <w:szCs w:val="21"/>
          <w:highlight w:val="none"/>
        </w:rPr>
        <w:t>投保单</w:t>
      </w:r>
      <w:r>
        <w:rPr>
          <w:rFonts w:hint="eastAsia" w:ascii="宋体" w:hAnsi="宋体" w:eastAsia="宋体" w:cs="宋体"/>
          <w:color w:val="auto"/>
          <w:szCs w:val="21"/>
          <w:highlight w:val="none"/>
        </w:rPr>
        <w:t>不满足投标文件及本合同规定的，可暂缓向乙方付款，直到乙方及时完善并提交相应的</w:t>
      </w:r>
      <w:r>
        <w:rPr>
          <w:rFonts w:hint="eastAsia" w:ascii="宋体" w:hAnsi="宋体" w:eastAsia="宋体" w:cs="宋体"/>
          <w:color w:val="auto"/>
          <w:spacing w:val="-4"/>
          <w:sz w:val="21"/>
          <w:szCs w:val="21"/>
          <w:highlight w:val="none"/>
        </w:rPr>
        <w:t>投保单</w:t>
      </w:r>
      <w:r>
        <w:rPr>
          <w:rFonts w:hint="eastAsia" w:ascii="宋体" w:hAnsi="宋体" w:eastAsia="宋体" w:cs="宋体"/>
          <w:color w:val="auto"/>
          <w:szCs w:val="21"/>
          <w:highlight w:val="none"/>
        </w:rPr>
        <w:t>且经甲方验收合格后，方可办理付款。</w:t>
      </w:r>
    </w:p>
    <w:p w14:paraId="5ED6FA32">
      <w:pPr>
        <w:keepNext w:val="0"/>
        <w:keepLines w:val="0"/>
        <w:pageBreakBefore w:val="0"/>
        <w:widowControl w:val="0"/>
        <w:kinsoku/>
        <w:wordWrap/>
        <w:overflowPunct/>
        <w:topLinePunct w:val="0"/>
        <w:autoSpaceDE/>
        <w:autoSpaceDN/>
        <w:bidi w:val="0"/>
        <w:adjustRightInd/>
        <w:spacing w:line="480" w:lineRule="exact"/>
        <w:ind w:firstLine="420" w:firstLineChars="200"/>
        <w:textAlignment w:val="auto"/>
        <w:rPr>
          <w:rFonts w:hint="eastAsia" w:ascii="宋体" w:hAnsi="宋体" w:eastAsia="宋体" w:cs="宋体"/>
          <w:color w:val="auto"/>
          <w:szCs w:val="21"/>
          <w:highlight w:val="none"/>
        </w:rPr>
      </w:pPr>
      <w:r>
        <w:rPr>
          <w:rFonts w:hint="eastAsia" w:ascii="宋体" w:hAnsi="宋体" w:cs="宋体"/>
          <w:color w:val="auto"/>
          <w:szCs w:val="21"/>
          <w:highlight w:val="none"/>
          <w:lang w:eastAsia="zh-CN"/>
        </w:rPr>
        <w:t>7.</w:t>
      </w:r>
      <w:r>
        <w:rPr>
          <w:rFonts w:hint="eastAsia" w:ascii="宋体" w:hAnsi="宋体" w:eastAsia="宋体" w:cs="宋体"/>
          <w:color w:val="auto"/>
          <w:szCs w:val="21"/>
          <w:highlight w:val="none"/>
        </w:rPr>
        <w:t>甲方验收时以书面形式提出异议的，乙方应自收到甲方书面异议后五个工作日内及时予以解决，否则甲方有权不出具服务验收合格单。</w:t>
      </w:r>
    </w:p>
    <w:p w14:paraId="1C676BE1">
      <w:pPr>
        <w:keepNext w:val="0"/>
        <w:keepLines w:val="0"/>
        <w:pageBreakBefore w:val="0"/>
        <w:widowControl w:val="0"/>
        <w:kinsoku/>
        <w:wordWrap/>
        <w:overflowPunct/>
        <w:topLinePunct w:val="0"/>
        <w:autoSpaceDE/>
        <w:autoSpaceDN/>
        <w:bidi w:val="0"/>
        <w:adjustRightInd/>
        <w:snapToGrid w:val="0"/>
        <w:spacing w:line="480" w:lineRule="exact"/>
        <w:ind w:firstLine="422" w:firstLineChars="200"/>
        <w:textAlignment w:val="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第五条  服务及培训</w:t>
      </w:r>
    </w:p>
    <w:p w14:paraId="2E449712">
      <w:pPr>
        <w:keepNext w:val="0"/>
        <w:keepLines w:val="0"/>
        <w:pageBreakBefore w:val="0"/>
        <w:widowControl w:val="0"/>
        <w:kinsoku/>
        <w:wordWrap/>
        <w:overflowPunct/>
        <w:topLinePunct w:val="0"/>
        <w:autoSpaceDE/>
        <w:autoSpaceDN/>
        <w:bidi w:val="0"/>
        <w:adjustRightInd/>
        <w:snapToGrid w:val="0"/>
        <w:spacing w:line="48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乙方应按照国家有关法律法规和本合同所附的《服务承诺》要求为甲方提供相应的服务。</w:t>
      </w:r>
    </w:p>
    <w:p w14:paraId="39BE8E26">
      <w:pPr>
        <w:keepNext w:val="0"/>
        <w:keepLines w:val="0"/>
        <w:pageBreakBefore w:val="0"/>
        <w:widowControl w:val="0"/>
        <w:kinsoku/>
        <w:wordWrap/>
        <w:overflowPunct/>
        <w:topLinePunct w:val="0"/>
        <w:autoSpaceDE/>
        <w:autoSpaceDN/>
        <w:bidi w:val="0"/>
        <w:adjustRightInd/>
        <w:snapToGrid w:val="0"/>
        <w:spacing w:line="480" w:lineRule="exact"/>
        <w:ind w:firstLine="422" w:firstLineChars="200"/>
        <w:textAlignment w:val="auto"/>
        <w:rPr>
          <w:rFonts w:hint="eastAsia" w:ascii="宋体" w:hAnsi="宋体" w:eastAsia="宋体" w:cs="宋体"/>
          <w:color w:val="auto"/>
          <w:szCs w:val="21"/>
          <w:highlight w:val="none"/>
          <w:u w:val="single"/>
        </w:rPr>
      </w:pPr>
      <w:r>
        <w:rPr>
          <w:rFonts w:hint="eastAsia" w:ascii="宋体" w:hAnsi="宋体" w:eastAsia="宋体" w:cs="宋体"/>
          <w:b/>
          <w:color w:val="auto"/>
          <w:szCs w:val="21"/>
          <w:highlight w:val="none"/>
        </w:rPr>
        <w:t>第六条　付款方式</w:t>
      </w:r>
    </w:p>
    <w:p w14:paraId="17FB7D98">
      <w:pPr>
        <w:keepNext w:val="0"/>
        <w:keepLines w:val="0"/>
        <w:pageBreakBefore w:val="0"/>
        <w:widowControl w:val="0"/>
        <w:kinsoku/>
        <w:wordWrap/>
        <w:overflowPunct/>
        <w:topLinePunct w:val="0"/>
        <w:autoSpaceDE/>
        <w:autoSpaceDN/>
        <w:bidi w:val="0"/>
        <w:adjustRightInd/>
        <w:snapToGrid w:val="0"/>
        <w:spacing w:line="480" w:lineRule="exact"/>
        <w:ind w:firstLine="420" w:firstLineChars="200"/>
        <w:textAlignment w:val="auto"/>
        <w:rPr>
          <w:rFonts w:hint="eastAsia" w:ascii="宋体" w:hAnsi="宋体" w:eastAsia="宋体" w:cs="宋体"/>
          <w:b w:val="0"/>
          <w:bCs/>
          <w:color w:val="auto"/>
          <w:szCs w:val="21"/>
          <w:highlight w:val="none"/>
          <w:u w:val="single"/>
        </w:rPr>
      </w:pPr>
      <w:r>
        <w:rPr>
          <w:rFonts w:hint="eastAsia" w:ascii="宋体" w:hAnsi="宋体" w:eastAsia="宋体" w:cs="宋体"/>
          <w:b w:val="0"/>
          <w:bCs/>
          <w:color w:val="auto"/>
          <w:szCs w:val="21"/>
          <w:highlight w:val="none"/>
          <w:u w:val="single"/>
        </w:rPr>
        <w:t xml:space="preserve">自治区本级财政保险费资金由自治区计划生育协会一次性支付给中标人。 </w:t>
      </w:r>
    </w:p>
    <w:p w14:paraId="1B999E29">
      <w:pPr>
        <w:keepNext w:val="0"/>
        <w:keepLines w:val="0"/>
        <w:pageBreakBefore w:val="0"/>
        <w:widowControl w:val="0"/>
        <w:kinsoku/>
        <w:wordWrap/>
        <w:overflowPunct/>
        <w:topLinePunct w:val="0"/>
        <w:autoSpaceDE/>
        <w:autoSpaceDN/>
        <w:bidi w:val="0"/>
        <w:adjustRightInd/>
        <w:snapToGrid w:val="0"/>
        <w:spacing w:line="480" w:lineRule="exact"/>
        <w:ind w:firstLine="422" w:firstLineChars="200"/>
        <w:textAlignment w:val="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第七条　履约保证金</w:t>
      </w:r>
    </w:p>
    <w:p w14:paraId="1539D118">
      <w:pPr>
        <w:keepNext w:val="0"/>
        <w:keepLines w:val="0"/>
        <w:pageBreakBefore w:val="0"/>
        <w:widowControl w:val="0"/>
        <w:kinsoku/>
        <w:wordWrap/>
        <w:overflowPunct/>
        <w:topLinePunct w:val="0"/>
        <w:autoSpaceDE/>
        <w:autoSpaceDN/>
        <w:bidi w:val="0"/>
        <w:adjustRightInd/>
        <w:spacing w:line="480" w:lineRule="exact"/>
        <w:ind w:firstLine="420" w:firstLineChars="200"/>
        <w:textAlignment w:val="auto"/>
        <w:rPr>
          <w:rFonts w:hint="eastAsia" w:ascii="宋体" w:hAnsi="宋体" w:eastAsia="宋体" w:cs="宋体"/>
          <w:b w:val="0"/>
          <w:bCs/>
          <w:color w:val="auto"/>
          <w:szCs w:val="21"/>
          <w:highlight w:val="none"/>
          <w:u w:val="single"/>
        </w:rPr>
      </w:pPr>
      <w:r>
        <w:rPr>
          <w:rFonts w:hint="eastAsia" w:ascii="宋体" w:hAnsi="宋体" w:eastAsia="宋体" w:cs="宋体"/>
          <w:b w:val="0"/>
          <w:bCs/>
          <w:color w:val="auto"/>
          <w:szCs w:val="21"/>
          <w:highlight w:val="none"/>
          <w:u w:val="single"/>
        </w:rPr>
        <w:t>履约保证金金额：按中标金额的2%（注：中小企业履约保证金不超过政府采购合同金额的2%）。【</w:t>
      </w:r>
      <w:r>
        <w:rPr>
          <w:rFonts w:hint="eastAsia" w:ascii="宋体" w:hAnsi="宋体" w:cs="宋体"/>
          <w:b w:val="0"/>
          <w:bCs/>
          <w:color w:val="auto"/>
          <w:szCs w:val="21"/>
          <w:highlight w:val="none"/>
          <w:u w:val="single"/>
          <w:lang w:eastAsia="zh-CN"/>
        </w:rPr>
        <w:t>中标人可以选择</w:t>
      </w:r>
      <w:r>
        <w:rPr>
          <w:rFonts w:hint="eastAsia" w:ascii="宋体" w:hAnsi="宋体" w:cs="宋体"/>
          <w:b w:val="0"/>
          <w:bCs/>
          <w:color w:val="auto"/>
          <w:szCs w:val="21"/>
          <w:highlight w:val="none"/>
          <w:u w:val="single"/>
          <w:lang w:val="en-US" w:eastAsia="zh-CN"/>
        </w:rPr>
        <w:t>:</w:t>
      </w:r>
      <w:r>
        <w:rPr>
          <w:rFonts w:hint="eastAsia" w:ascii="宋体" w:hAnsi="宋体" w:cs="宋体"/>
          <w:b w:val="0"/>
          <w:bCs/>
          <w:color w:val="auto"/>
          <w:szCs w:val="21"/>
          <w:highlight w:val="none"/>
          <w:u w:val="single"/>
          <w:lang w:eastAsia="zh-CN"/>
        </w:rPr>
        <w:t>按</w:t>
      </w:r>
      <w:r>
        <w:rPr>
          <w:rFonts w:hint="eastAsia" w:ascii="宋体" w:hAnsi="宋体" w:eastAsia="宋体" w:cs="宋体"/>
          <w:b w:val="0"/>
          <w:bCs/>
          <w:color w:val="auto"/>
          <w:szCs w:val="21"/>
          <w:highlight w:val="none"/>
          <w:u w:val="single"/>
        </w:rPr>
        <w:t>合同</w:t>
      </w:r>
      <w:r>
        <w:rPr>
          <w:rFonts w:hint="eastAsia" w:ascii="宋体" w:hAnsi="宋体" w:cs="宋体"/>
          <w:b w:val="0"/>
          <w:bCs/>
          <w:color w:val="auto"/>
          <w:szCs w:val="21"/>
          <w:highlight w:val="none"/>
          <w:u w:val="single"/>
          <w:lang w:eastAsia="zh-CN"/>
        </w:rPr>
        <w:t>预算</w:t>
      </w:r>
      <w:r>
        <w:rPr>
          <w:rFonts w:hint="eastAsia" w:ascii="宋体" w:hAnsi="宋体" w:eastAsia="宋体" w:cs="宋体"/>
          <w:b w:val="0"/>
          <w:bCs/>
          <w:color w:val="auto"/>
          <w:szCs w:val="21"/>
          <w:highlight w:val="none"/>
          <w:u w:val="single"/>
        </w:rPr>
        <w:t>金额：1700万元</w:t>
      </w:r>
      <w:r>
        <w:rPr>
          <w:rFonts w:hint="eastAsia" w:ascii="宋体" w:hAnsi="宋体" w:cs="宋体"/>
          <w:b w:val="0"/>
          <w:bCs/>
          <w:color w:val="auto"/>
          <w:szCs w:val="21"/>
          <w:highlight w:val="none"/>
          <w:u w:val="single"/>
          <w:lang w:eastAsia="zh-CN"/>
        </w:rPr>
        <w:t>或者则实际核定人数后的合同金额计算</w:t>
      </w:r>
      <w:r>
        <w:rPr>
          <w:rFonts w:hint="eastAsia" w:ascii="宋体" w:hAnsi="宋体" w:eastAsia="宋体" w:cs="宋体"/>
          <w:b w:val="0"/>
          <w:bCs/>
          <w:color w:val="auto"/>
          <w:szCs w:val="21"/>
          <w:highlight w:val="none"/>
          <w:u w:val="single"/>
        </w:rPr>
        <w:t>】</w:t>
      </w:r>
    </w:p>
    <w:p w14:paraId="26F1AA73">
      <w:pPr>
        <w:keepNext w:val="0"/>
        <w:keepLines w:val="0"/>
        <w:pageBreakBefore w:val="0"/>
        <w:widowControl w:val="0"/>
        <w:kinsoku/>
        <w:wordWrap/>
        <w:overflowPunct/>
        <w:topLinePunct w:val="0"/>
        <w:autoSpaceDE/>
        <w:autoSpaceDN/>
        <w:bidi w:val="0"/>
        <w:adjustRightInd/>
        <w:spacing w:line="480" w:lineRule="exact"/>
        <w:ind w:firstLine="420" w:firstLineChars="200"/>
        <w:textAlignment w:val="auto"/>
        <w:rPr>
          <w:rFonts w:hint="eastAsia" w:ascii="宋体" w:hAnsi="宋体" w:eastAsia="宋体" w:cs="宋体"/>
          <w:b w:val="0"/>
          <w:bCs/>
          <w:color w:val="auto"/>
          <w:szCs w:val="21"/>
          <w:highlight w:val="none"/>
          <w:u w:val="single"/>
        </w:rPr>
      </w:pPr>
      <w:r>
        <w:rPr>
          <w:rFonts w:hint="eastAsia" w:ascii="宋体" w:hAnsi="宋体" w:eastAsia="宋体" w:cs="宋体"/>
          <w:b w:val="0"/>
          <w:bCs/>
          <w:color w:val="auto"/>
          <w:szCs w:val="21"/>
          <w:highlight w:val="none"/>
          <w:u w:val="single"/>
        </w:rPr>
        <w:t>履约保证金递交方式：银行转账、支票、汇票、本票或者金融机构、担保机构出具的保函（含电子保函）等非现金方式</w:t>
      </w:r>
    </w:p>
    <w:p w14:paraId="2A4C1734">
      <w:pPr>
        <w:keepNext w:val="0"/>
        <w:keepLines w:val="0"/>
        <w:pageBreakBefore w:val="0"/>
        <w:widowControl w:val="0"/>
        <w:kinsoku/>
        <w:wordWrap/>
        <w:overflowPunct/>
        <w:topLinePunct w:val="0"/>
        <w:autoSpaceDE/>
        <w:autoSpaceDN/>
        <w:bidi w:val="0"/>
        <w:adjustRightInd/>
        <w:spacing w:line="480" w:lineRule="exact"/>
        <w:ind w:firstLine="420" w:firstLineChars="200"/>
        <w:textAlignment w:val="auto"/>
        <w:rPr>
          <w:rFonts w:hint="eastAsia" w:ascii="宋体" w:hAnsi="宋体" w:eastAsia="宋体" w:cs="宋体"/>
          <w:b w:val="0"/>
          <w:bCs/>
          <w:color w:val="auto"/>
          <w:szCs w:val="21"/>
          <w:highlight w:val="none"/>
          <w:u w:val="single"/>
        </w:rPr>
      </w:pPr>
      <w:r>
        <w:rPr>
          <w:rFonts w:hint="eastAsia" w:ascii="宋体" w:hAnsi="宋体" w:eastAsia="宋体" w:cs="宋体"/>
          <w:b w:val="0"/>
          <w:bCs/>
          <w:color w:val="auto"/>
          <w:szCs w:val="21"/>
          <w:highlight w:val="none"/>
          <w:u w:val="single"/>
        </w:rPr>
        <w:t>履约保证金缴纳期限: 自中标通知书发出之日起 5日内。</w:t>
      </w:r>
    </w:p>
    <w:p w14:paraId="5AFE7CD5">
      <w:pPr>
        <w:keepNext w:val="0"/>
        <w:keepLines w:val="0"/>
        <w:pageBreakBefore w:val="0"/>
        <w:widowControl w:val="0"/>
        <w:kinsoku/>
        <w:wordWrap/>
        <w:overflowPunct/>
        <w:topLinePunct w:val="0"/>
        <w:autoSpaceDE/>
        <w:autoSpaceDN/>
        <w:bidi w:val="0"/>
        <w:adjustRightInd/>
        <w:spacing w:line="480" w:lineRule="exact"/>
        <w:ind w:firstLine="420" w:firstLineChars="200"/>
        <w:textAlignment w:val="auto"/>
        <w:rPr>
          <w:rFonts w:hint="eastAsia" w:ascii="宋体" w:hAnsi="宋体" w:eastAsia="宋体" w:cs="宋体"/>
          <w:b w:val="0"/>
          <w:bCs/>
          <w:color w:val="auto"/>
          <w:szCs w:val="21"/>
          <w:highlight w:val="none"/>
          <w:u w:val="single"/>
        </w:rPr>
      </w:pPr>
      <w:r>
        <w:rPr>
          <w:rFonts w:hint="eastAsia" w:ascii="宋体" w:hAnsi="宋体" w:eastAsia="宋体" w:cs="宋体"/>
          <w:b w:val="0"/>
          <w:bCs/>
          <w:color w:val="auto"/>
          <w:szCs w:val="21"/>
          <w:highlight w:val="none"/>
          <w:u w:val="single"/>
        </w:rPr>
        <w:t>履约保证金退付方式、时间及条件：非保函方式的履约保证金在项目验收完成后无息退还。由中标人向履约保证金收取单位提供《广西壮族自治区政府采购项目合同验收书》（详见桂财采〔2015〕22号），保证金收取单位在收到合格材料后5个工作日内办理退还手续（不计利息）。</w:t>
      </w:r>
    </w:p>
    <w:p w14:paraId="73C85FDA">
      <w:pPr>
        <w:keepNext w:val="0"/>
        <w:keepLines w:val="0"/>
        <w:pageBreakBefore w:val="0"/>
        <w:widowControl w:val="0"/>
        <w:kinsoku/>
        <w:wordWrap/>
        <w:overflowPunct/>
        <w:topLinePunct w:val="0"/>
        <w:autoSpaceDE/>
        <w:autoSpaceDN/>
        <w:bidi w:val="0"/>
        <w:adjustRightInd/>
        <w:spacing w:line="480" w:lineRule="exact"/>
        <w:ind w:firstLine="420" w:firstLineChars="200"/>
        <w:textAlignment w:val="auto"/>
        <w:rPr>
          <w:rFonts w:hint="eastAsia" w:ascii="宋体" w:hAnsi="宋体" w:eastAsia="宋体" w:cs="宋体"/>
          <w:b w:val="0"/>
          <w:bCs/>
          <w:color w:val="auto"/>
          <w:szCs w:val="21"/>
          <w:highlight w:val="none"/>
          <w:u w:val="single"/>
        </w:rPr>
      </w:pPr>
      <w:r>
        <w:rPr>
          <w:rFonts w:hint="eastAsia" w:ascii="宋体" w:hAnsi="宋体" w:eastAsia="宋体" w:cs="宋体"/>
          <w:b w:val="0"/>
          <w:bCs/>
          <w:color w:val="auto"/>
          <w:szCs w:val="21"/>
          <w:highlight w:val="none"/>
          <w:u w:val="single"/>
        </w:rPr>
        <w:t>不予退还的情形：签订合同后，如中标人不按双方签订的合同规定履约，则其全部履约保证金不予退还。</w:t>
      </w:r>
    </w:p>
    <w:p w14:paraId="1BA94CEB">
      <w:pPr>
        <w:keepNext w:val="0"/>
        <w:keepLines w:val="0"/>
        <w:pageBreakBefore w:val="0"/>
        <w:widowControl w:val="0"/>
        <w:kinsoku/>
        <w:wordWrap/>
        <w:overflowPunct/>
        <w:topLinePunct w:val="0"/>
        <w:autoSpaceDE/>
        <w:autoSpaceDN/>
        <w:bidi w:val="0"/>
        <w:adjustRightInd/>
        <w:spacing w:line="480" w:lineRule="exact"/>
        <w:ind w:firstLine="422" w:firstLineChars="200"/>
        <w:textAlignment w:val="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第八条  税费</w:t>
      </w:r>
    </w:p>
    <w:p w14:paraId="725246B2">
      <w:pPr>
        <w:keepNext w:val="0"/>
        <w:keepLines w:val="0"/>
        <w:pageBreakBefore w:val="0"/>
        <w:widowControl w:val="0"/>
        <w:kinsoku/>
        <w:wordWrap/>
        <w:overflowPunct/>
        <w:topLinePunct w:val="0"/>
        <w:autoSpaceDE/>
        <w:autoSpaceDN/>
        <w:bidi w:val="0"/>
        <w:adjustRightInd/>
        <w:spacing w:line="48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本合同执行中相关的一切税费均由乙方负担，合同另有约定的除外。</w:t>
      </w:r>
    </w:p>
    <w:p w14:paraId="5E03C1E2">
      <w:pPr>
        <w:keepNext w:val="0"/>
        <w:keepLines w:val="0"/>
        <w:pageBreakBefore w:val="0"/>
        <w:widowControl w:val="0"/>
        <w:kinsoku/>
        <w:wordWrap/>
        <w:overflowPunct/>
        <w:topLinePunct w:val="0"/>
        <w:autoSpaceDE/>
        <w:autoSpaceDN/>
        <w:bidi w:val="0"/>
        <w:adjustRightInd/>
        <w:spacing w:line="480" w:lineRule="exact"/>
        <w:ind w:firstLine="422" w:firstLineChars="200"/>
        <w:textAlignment w:val="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第九条　违约责任</w:t>
      </w:r>
    </w:p>
    <w:p w14:paraId="4BAE0639">
      <w:pPr>
        <w:keepNext w:val="0"/>
        <w:keepLines w:val="0"/>
        <w:pageBreakBefore w:val="0"/>
        <w:widowControl w:val="0"/>
        <w:kinsoku/>
        <w:wordWrap/>
        <w:overflowPunct/>
        <w:topLinePunct w:val="0"/>
        <w:autoSpaceDE/>
        <w:autoSpaceDN/>
        <w:bidi w:val="0"/>
        <w:adjustRightInd/>
        <w:snapToGrid w:val="0"/>
        <w:spacing w:line="480" w:lineRule="exact"/>
        <w:ind w:firstLine="420" w:firstLineChars="200"/>
        <w:textAlignment w:val="auto"/>
        <w:rPr>
          <w:rFonts w:hint="eastAsia" w:ascii="宋体" w:hAnsi="宋体" w:eastAsia="宋体" w:cs="宋体"/>
          <w:color w:val="auto"/>
          <w:szCs w:val="21"/>
          <w:highlight w:val="none"/>
        </w:rPr>
      </w:pPr>
      <w:r>
        <w:rPr>
          <w:rFonts w:hint="eastAsia" w:ascii="宋体" w:hAnsi="宋体" w:cs="宋体"/>
          <w:color w:val="auto"/>
          <w:szCs w:val="21"/>
          <w:highlight w:val="none"/>
          <w:lang w:eastAsia="zh-CN"/>
        </w:rPr>
        <w:t>1.</w:t>
      </w:r>
      <w:r>
        <w:rPr>
          <w:rFonts w:hint="eastAsia" w:ascii="宋体" w:hAnsi="宋体" w:eastAsia="宋体" w:cs="宋体"/>
          <w:color w:val="auto"/>
          <w:szCs w:val="21"/>
          <w:highlight w:val="none"/>
        </w:rPr>
        <w:t>除不可抗力原因外，乙方没有按照合同规定的时间提供服务的，甲方可要求乙方支付违约金。每推迟一天按合同金额的3‰支付违约金，该违约金累计不超过合同金额的10%。</w:t>
      </w:r>
    </w:p>
    <w:p w14:paraId="4FC87205">
      <w:pPr>
        <w:keepNext w:val="0"/>
        <w:keepLines w:val="0"/>
        <w:pageBreakBefore w:val="0"/>
        <w:widowControl w:val="0"/>
        <w:kinsoku/>
        <w:wordWrap/>
        <w:overflowPunct/>
        <w:topLinePunct w:val="0"/>
        <w:autoSpaceDE/>
        <w:autoSpaceDN/>
        <w:bidi w:val="0"/>
        <w:adjustRightInd/>
        <w:snapToGrid w:val="0"/>
        <w:spacing w:line="480" w:lineRule="exact"/>
        <w:ind w:firstLine="420" w:firstLineChars="200"/>
        <w:textAlignment w:val="auto"/>
        <w:rPr>
          <w:rFonts w:hint="eastAsia" w:ascii="宋体" w:hAnsi="宋体" w:eastAsia="宋体" w:cs="宋体"/>
          <w:color w:val="auto"/>
          <w:szCs w:val="21"/>
          <w:highlight w:val="none"/>
        </w:rPr>
      </w:pPr>
      <w:r>
        <w:rPr>
          <w:rFonts w:hint="eastAsia" w:ascii="宋体" w:hAnsi="宋体" w:cs="宋体"/>
          <w:color w:val="auto"/>
          <w:szCs w:val="21"/>
          <w:highlight w:val="none"/>
          <w:lang w:eastAsia="zh-CN"/>
        </w:rPr>
        <w:t>2.</w:t>
      </w:r>
      <w:r>
        <w:rPr>
          <w:rFonts w:hint="eastAsia" w:ascii="宋体" w:hAnsi="宋体" w:eastAsia="宋体" w:cs="宋体"/>
          <w:color w:val="auto"/>
          <w:szCs w:val="21"/>
          <w:highlight w:val="none"/>
        </w:rPr>
        <w:t>乙方提供的服务如侵犯了第三方合法权益而引发的任何纠纷或者诉讼，均由乙方负责交涉并承担全部责任</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给甲方造成损失的，还应向甲方赔偿损失，损失范围包括但不限于直接经济损失及为维权所产生的交通费、诉讼费、公告费、保全保函费、律师费。</w:t>
      </w:r>
    </w:p>
    <w:p w14:paraId="43022EA3">
      <w:pPr>
        <w:keepNext w:val="0"/>
        <w:keepLines w:val="0"/>
        <w:pageBreakBefore w:val="0"/>
        <w:widowControl w:val="0"/>
        <w:kinsoku/>
        <w:wordWrap/>
        <w:overflowPunct/>
        <w:topLinePunct w:val="0"/>
        <w:autoSpaceDE/>
        <w:autoSpaceDN/>
        <w:bidi w:val="0"/>
        <w:adjustRightInd/>
        <w:snapToGrid w:val="0"/>
        <w:spacing w:line="480" w:lineRule="exact"/>
        <w:ind w:firstLine="420" w:firstLineChars="200"/>
        <w:textAlignment w:val="auto"/>
        <w:rPr>
          <w:rFonts w:hint="eastAsia" w:ascii="宋体" w:hAnsi="宋体" w:eastAsia="宋体" w:cs="宋体"/>
          <w:color w:val="auto"/>
          <w:szCs w:val="21"/>
          <w:highlight w:val="none"/>
        </w:rPr>
      </w:pPr>
      <w:r>
        <w:rPr>
          <w:rFonts w:hint="eastAsia" w:ascii="宋体" w:hAnsi="宋体" w:cs="宋体"/>
          <w:color w:val="auto"/>
          <w:szCs w:val="21"/>
          <w:highlight w:val="none"/>
          <w:lang w:eastAsia="zh-CN"/>
        </w:rPr>
        <w:t>3.</w:t>
      </w:r>
      <w:r>
        <w:rPr>
          <w:rFonts w:hint="eastAsia" w:ascii="宋体" w:hAnsi="宋体" w:eastAsia="宋体" w:cs="宋体"/>
          <w:color w:val="auto"/>
          <w:szCs w:val="21"/>
          <w:highlight w:val="none"/>
        </w:rPr>
        <w:t>甲方延期付款的，每天向乙方偿付延期款额3‰滞纳金，但滞纳金累计不得超过延期款额5%。</w:t>
      </w:r>
    </w:p>
    <w:p w14:paraId="2DF49AA5">
      <w:pPr>
        <w:keepNext w:val="0"/>
        <w:keepLines w:val="0"/>
        <w:pageBreakBefore w:val="0"/>
        <w:widowControl w:val="0"/>
        <w:kinsoku/>
        <w:wordWrap/>
        <w:overflowPunct/>
        <w:topLinePunct w:val="0"/>
        <w:autoSpaceDE/>
        <w:autoSpaceDN/>
        <w:bidi w:val="0"/>
        <w:adjustRightInd/>
        <w:spacing w:line="480" w:lineRule="exact"/>
        <w:ind w:firstLine="422" w:firstLineChars="200"/>
        <w:textAlignment w:val="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第十条  不可抗力事件处理</w:t>
      </w:r>
    </w:p>
    <w:p w14:paraId="4C17C08B">
      <w:pPr>
        <w:keepNext w:val="0"/>
        <w:keepLines w:val="0"/>
        <w:pageBreakBefore w:val="0"/>
        <w:widowControl w:val="0"/>
        <w:kinsoku/>
        <w:wordWrap/>
        <w:overflowPunct/>
        <w:topLinePunct w:val="0"/>
        <w:autoSpaceDE/>
        <w:autoSpaceDN/>
        <w:bidi w:val="0"/>
        <w:adjustRightInd/>
        <w:spacing w:line="480" w:lineRule="exact"/>
        <w:ind w:firstLine="420" w:firstLineChars="200"/>
        <w:textAlignment w:val="auto"/>
        <w:rPr>
          <w:rFonts w:hint="eastAsia" w:ascii="宋体" w:hAnsi="宋体" w:eastAsia="宋体" w:cs="宋体"/>
          <w:color w:val="auto"/>
          <w:szCs w:val="21"/>
          <w:highlight w:val="none"/>
        </w:rPr>
      </w:pPr>
      <w:r>
        <w:rPr>
          <w:rFonts w:hint="eastAsia" w:ascii="宋体" w:hAnsi="宋体" w:cs="宋体"/>
          <w:color w:val="auto"/>
          <w:szCs w:val="21"/>
          <w:highlight w:val="none"/>
          <w:lang w:eastAsia="zh-CN"/>
        </w:rPr>
        <w:t>1.</w:t>
      </w:r>
      <w:r>
        <w:rPr>
          <w:rFonts w:hint="eastAsia" w:ascii="宋体" w:hAnsi="宋体" w:eastAsia="宋体" w:cs="宋体"/>
          <w:color w:val="auto"/>
          <w:szCs w:val="21"/>
          <w:highlight w:val="none"/>
        </w:rPr>
        <w:t>在合同有效期内，任何一方因不可抗力事件导致不能履行合同，则合同履行期可延长，其延长期与不可抗力影响期相同。</w:t>
      </w:r>
    </w:p>
    <w:p w14:paraId="737D729D">
      <w:pPr>
        <w:keepNext w:val="0"/>
        <w:keepLines w:val="0"/>
        <w:pageBreakBefore w:val="0"/>
        <w:widowControl w:val="0"/>
        <w:kinsoku/>
        <w:wordWrap/>
        <w:overflowPunct/>
        <w:topLinePunct w:val="0"/>
        <w:autoSpaceDE/>
        <w:autoSpaceDN/>
        <w:bidi w:val="0"/>
        <w:adjustRightInd/>
        <w:spacing w:line="480" w:lineRule="exact"/>
        <w:ind w:firstLine="420" w:firstLineChars="200"/>
        <w:textAlignment w:val="auto"/>
        <w:rPr>
          <w:rFonts w:hint="eastAsia" w:ascii="宋体" w:hAnsi="宋体" w:eastAsia="宋体" w:cs="宋体"/>
          <w:color w:val="auto"/>
          <w:szCs w:val="21"/>
          <w:highlight w:val="none"/>
        </w:rPr>
      </w:pPr>
      <w:r>
        <w:rPr>
          <w:rFonts w:hint="eastAsia" w:ascii="宋体" w:hAnsi="宋体" w:cs="宋体"/>
          <w:color w:val="auto"/>
          <w:szCs w:val="21"/>
          <w:highlight w:val="none"/>
          <w:lang w:eastAsia="zh-CN"/>
        </w:rPr>
        <w:t>2.</w:t>
      </w:r>
      <w:r>
        <w:rPr>
          <w:rFonts w:hint="eastAsia" w:ascii="宋体" w:hAnsi="宋体" w:eastAsia="宋体" w:cs="宋体"/>
          <w:color w:val="auto"/>
          <w:szCs w:val="21"/>
          <w:highlight w:val="none"/>
        </w:rPr>
        <w:t>不可抗力事件发生后，应立即通知对方，并寄送有关权威机构出具的证明。</w:t>
      </w:r>
    </w:p>
    <w:p w14:paraId="265B5C3B">
      <w:pPr>
        <w:keepNext w:val="0"/>
        <w:keepLines w:val="0"/>
        <w:pageBreakBefore w:val="0"/>
        <w:widowControl w:val="0"/>
        <w:kinsoku/>
        <w:wordWrap/>
        <w:overflowPunct/>
        <w:topLinePunct w:val="0"/>
        <w:autoSpaceDE/>
        <w:autoSpaceDN/>
        <w:bidi w:val="0"/>
        <w:adjustRightInd/>
        <w:spacing w:line="480" w:lineRule="exact"/>
        <w:ind w:firstLine="420" w:firstLineChars="200"/>
        <w:textAlignment w:val="auto"/>
        <w:rPr>
          <w:rFonts w:hint="eastAsia" w:ascii="宋体" w:hAnsi="宋体" w:eastAsia="宋体" w:cs="宋体"/>
          <w:color w:val="auto"/>
          <w:szCs w:val="21"/>
          <w:highlight w:val="none"/>
        </w:rPr>
      </w:pPr>
      <w:r>
        <w:rPr>
          <w:rFonts w:hint="eastAsia" w:ascii="宋体" w:hAnsi="宋体" w:cs="宋体"/>
          <w:color w:val="auto"/>
          <w:szCs w:val="21"/>
          <w:highlight w:val="none"/>
          <w:lang w:eastAsia="zh-CN"/>
        </w:rPr>
        <w:t>3.</w:t>
      </w:r>
      <w:r>
        <w:rPr>
          <w:rFonts w:hint="eastAsia" w:ascii="宋体" w:hAnsi="宋体" w:eastAsia="宋体" w:cs="宋体"/>
          <w:color w:val="auto"/>
          <w:szCs w:val="21"/>
          <w:highlight w:val="none"/>
        </w:rPr>
        <w:t>不可抗力事件延续一百二十天以上，双方应通过友好协商，确定是否继续履行合同。</w:t>
      </w:r>
    </w:p>
    <w:p w14:paraId="5C42B038">
      <w:pPr>
        <w:keepNext w:val="0"/>
        <w:keepLines w:val="0"/>
        <w:pageBreakBefore w:val="0"/>
        <w:widowControl w:val="0"/>
        <w:kinsoku/>
        <w:wordWrap/>
        <w:overflowPunct/>
        <w:topLinePunct w:val="0"/>
        <w:autoSpaceDE/>
        <w:autoSpaceDN/>
        <w:bidi w:val="0"/>
        <w:adjustRightInd/>
        <w:spacing w:line="480" w:lineRule="exact"/>
        <w:ind w:firstLine="422" w:firstLineChars="200"/>
        <w:textAlignment w:val="auto"/>
        <w:rPr>
          <w:rFonts w:hint="eastAsia" w:ascii="宋体" w:hAnsi="宋体" w:eastAsia="宋体" w:cs="宋体"/>
          <w:color w:val="auto"/>
          <w:szCs w:val="21"/>
          <w:highlight w:val="none"/>
        </w:rPr>
      </w:pPr>
      <w:r>
        <w:rPr>
          <w:rFonts w:hint="eastAsia" w:ascii="宋体" w:hAnsi="宋体" w:eastAsia="宋体" w:cs="宋体"/>
          <w:b/>
          <w:color w:val="auto"/>
          <w:szCs w:val="21"/>
          <w:highlight w:val="none"/>
        </w:rPr>
        <w:t>第十一条  合同争议解决</w:t>
      </w:r>
    </w:p>
    <w:p w14:paraId="5076C950">
      <w:pPr>
        <w:keepNext w:val="0"/>
        <w:keepLines w:val="0"/>
        <w:pageBreakBefore w:val="0"/>
        <w:widowControl w:val="0"/>
        <w:kinsoku/>
        <w:wordWrap/>
        <w:overflowPunct/>
        <w:topLinePunct w:val="0"/>
        <w:autoSpaceDE/>
        <w:autoSpaceDN/>
        <w:bidi w:val="0"/>
        <w:adjustRightInd/>
        <w:snapToGrid w:val="0"/>
        <w:spacing w:line="480" w:lineRule="exact"/>
        <w:ind w:firstLine="420" w:firstLineChars="200"/>
        <w:textAlignment w:val="auto"/>
        <w:rPr>
          <w:rFonts w:hint="eastAsia" w:ascii="宋体" w:hAnsi="宋体" w:eastAsia="宋体" w:cs="宋体"/>
          <w:color w:val="auto"/>
          <w:szCs w:val="21"/>
          <w:highlight w:val="none"/>
        </w:rPr>
      </w:pPr>
      <w:r>
        <w:rPr>
          <w:rFonts w:hint="eastAsia" w:ascii="宋体" w:hAnsi="宋体" w:cs="宋体"/>
          <w:color w:val="auto"/>
          <w:szCs w:val="21"/>
          <w:highlight w:val="none"/>
          <w:lang w:eastAsia="zh-CN"/>
        </w:rPr>
        <w:t>1.</w:t>
      </w:r>
      <w:r>
        <w:rPr>
          <w:rFonts w:hint="eastAsia" w:ascii="宋体" w:hAnsi="宋体" w:eastAsia="宋体" w:cs="宋体"/>
          <w:color w:val="auto"/>
          <w:szCs w:val="21"/>
          <w:highlight w:val="none"/>
        </w:rPr>
        <w:t>因服务质量问题发生争议的，应邀请国家认可的</w:t>
      </w:r>
      <w:r>
        <w:rPr>
          <w:rFonts w:hint="eastAsia" w:ascii="宋体" w:hAnsi="宋体" w:eastAsia="宋体" w:cs="宋体"/>
          <w:color w:val="auto"/>
          <w:szCs w:val="21"/>
          <w:highlight w:val="none"/>
          <w:lang w:val="en-US" w:eastAsia="zh-CN"/>
        </w:rPr>
        <w:t>第三方</w:t>
      </w:r>
      <w:r>
        <w:rPr>
          <w:rFonts w:hint="eastAsia" w:ascii="宋体" w:hAnsi="宋体" w:eastAsia="宋体" w:cs="宋体"/>
          <w:color w:val="auto"/>
          <w:szCs w:val="21"/>
          <w:highlight w:val="none"/>
        </w:rPr>
        <w:t>机构进行鉴定。服务符合标准的，鉴定费由甲方承担；服务不符合标准的，鉴定费由乙方承担。</w:t>
      </w:r>
    </w:p>
    <w:p w14:paraId="2B72C55B">
      <w:pPr>
        <w:keepNext w:val="0"/>
        <w:keepLines w:val="0"/>
        <w:pageBreakBefore w:val="0"/>
        <w:widowControl w:val="0"/>
        <w:kinsoku/>
        <w:wordWrap/>
        <w:overflowPunct/>
        <w:topLinePunct w:val="0"/>
        <w:autoSpaceDE/>
        <w:autoSpaceDN/>
        <w:bidi w:val="0"/>
        <w:adjustRightInd/>
        <w:snapToGrid w:val="0"/>
        <w:spacing w:line="480" w:lineRule="exact"/>
        <w:ind w:firstLine="420" w:firstLineChars="200"/>
        <w:textAlignment w:val="auto"/>
        <w:rPr>
          <w:rFonts w:hint="eastAsia" w:ascii="宋体" w:hAnsi="宋体" w:eastAsia="宋体" w:cs="宋体"/>
          <w:color w:val="auto"/>
          <w:szCs w:val="21"/>
          <w:highlight w:val="none"/>
        </w:rPr>
      </w:pPr>
      <w:r>
        <w:rPr>
          <w:rFonts w:hint="eastAsia" w:ascii="宋体" w:hAnsi="宋体" w:cs="宋体"/>
          <w:color w:val="auto"/>
          <w:szCs w:val="21"/>
          <w:highlight w:val="none"/>
          <w:lang w:eastAsia="zh-CN"/>
        </w:rPr>
        <w:t>2.</w:t>
      </w:r>
      <w:r>
        <w:rPr>
          <w:rFonts w:hint="eastAsia" w:ascii="宋体" w:hAnsi="宋体" w:eastAsia="宋体" w:cs="宋体"/>
          <w:color w:val="auto"/>
          <w:szCs w:val="21"/>
          <w:highlight w:val="none"/>
        </w:rPr>
        <w:t>因履行本合同引起的或者与本合同有关的争议，甲乙双方应首先通过友好协商解决，如果协商不能解决，可向甲方所在地有管辖权人民法院提起诉讼。</w:t>
      </w:r>
    </w:p>
    <w:p w14:paraId="07CB5335">
      <w:pPr>
        <w:keepNext w:val="0"/>
        <w:keepLines w:val="0"/>
        <w:pageBreakBefore w:val="0"/>
        <w:widowControl w:val="0"/>
        <w:kinsoku/>
        <w:wordWrap/>
        <w:overflowPunct/>
        <w:topLinePunct w:val="0"/>
        <w:autoSpaceDE/>
        <w:autoSpaceDN/>
        <w:bidi w:val="0"/>
        <w:adjustRightInd/>
        <w:snapToGrid w:val="0"/>
        <w:spacing w:line="480" w:lineRule="exact"/>
        <w:ind w:firstLine="420" w:firstLineChars="200"/>
        <w:textAlignment w:val="auto"/>
        <w:rPr>
          <w:rFonts w:hint="eastAsia" w:ascii="宋体" w:hAnsi="宋体" w:eastAsia="宋体" w:cs="宋体"/>
          <w:color w:val="auto"/>
          <w:szCs w:val="21"/>
          <w:highlight w:val="none"/>
        </w:rPr>
      </w:pPr>
      <w:r>
        <w:rPr>
          <w:rFonts w:hint="eastAsia" w:ascii="宋体" w:hAnsi="宋体" w:cs="宋体"/>
          <w:color w:val="auto"/>
          <w:szCs w:val="21"/>
          <w:highlight w:val="none"/>
          <w:lang w:eastAsia="zh-CN"/>
        </w:rPr>
        <w:t>3.</w:t>
      </w:r>
      <w:r>
        <w:rPr>
          <w:rFonts w:hint="eastAsia" w:ascii="宋体" w:hAnsi="宋体" w:eastAsia="宋体" w:cs="宋体"/>
          <w:color w:val="auto"/>
          <w:szCs w:val="21"/>
          <w:highlight w:val="none"/>
        </w:rPr>
        <w:t>诉讼期间，本合同继续履行。</w:t>
      </w:r>
    </w:p>
    <w:p w14:paraId="357CB884">
      <w:pPr>
        <w:keepNext w:val="0"/>
        <w:keepLines w:val="0"/>
        <w:pageBreakBefore w:val="0"/>
        <w:widowControl w:val="0"/>
        <w:kinsoku/>
        <w:wordWrap/>
        <w:overflowPunct/>
        <w:topLinePunct w:val="0"/>
        <w:autoSpaceDE/>
        <w:autoSpaceDN/>
        <w:bidi w:val="0"/>
        <w:adjustRightInd/>
        <w:spacing w:line="480" w:lineRule="exact"/>
        <w:ind w:firstLine="422" w:firstLineChars="200"/>
        <w:textAlignment w:val="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第十二条  合同生效及其它</w:t>
      </w:r>
    </w:p>
    <w:p w14:paraId="16E5B73A">
      <w:pPr>
        <w:keepNext w:val="0"/>
        <w:keepLines w:val="0"/>
        <w:pageBreakBefore w:val="0"/>
        <w:widowControl w:val="0"/>
        <w:kinsoku/>
        <w:wordWrap/>
        <w:overflowPunct/>
        <w:topLinePunct w:val="0"/>
        <w:autoSpaceDE/>
        <w:autoSpaceDN/>
        <w:bidi w:val="0"/>
        <w:adjustRightInd/>
        <w:spacing w:line="480" w:lineRule="exact"/>
        <w:ind w:firstLine="420" w:firstLineChars="200"/>
        <w:textAlignment w:val="auto"/>
        <w:rPr>
          <w:rFonts w:hint="eastAsia" w:ascii="宋体" w:hAnsi="宋体" w:eastAsia="宋体" w:cs="宋体"/>
          <w:color w:val="auto"/>
          <w:szCs w:val="21"/>
          <w:highlight w:val="none"/>
        </w:rPr>
      </w:pPr>
      <w:r>
        <w:rPr>
          <w:rFonts w:hint="eastAsia" w:ascii="宋体" w:hAnsi="宋体" w:cs="宋体"/>
          <w:color w:val="auto"/>
          <w:szCs w:val="21"/>
          <w:highlight w:val="none"/>
          <w:lang w:eastAsia="zh-CN"/>
        </w:rPr>
        <w:t>1.</w:t>
      </w:r>
      <w:r>
        <w:rPr>
          <w:rFonts w:hint="eastAsia" w:ascii="宋体" w:hAnsi="宋体" w:eastAsia="宋体" w:cs="宋体"/>
          <w:color w:val="auto"/>
          <w:szCs w:val="21"/>
          <w:highlight w:val="none"/>
        </w:rPr>
        <w:t>合同经双方法定代表人</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或负责人</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Cs w:val="21"/>
          <w:highlight w:val="none"/>
        </w:rPr>
        <w:t>或者授权代表签字并加盖单位公章后生效（委托代理人签字的需后附法定代表人</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或负责人</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Cs w:val="21"/>
          <w:highlight w:val="none"/>
        </w:rPr>
        <w:t>授权委托书，格式自拟）。</w:t>
      </w:r>
    </w:p>
    <w:p w14:paraId="2C5A163E">
      <w:pPr>
        <w:keepNext w:val="0"/>
        <w:keepLines w:val="0"/>
        <w:pageBreakBefore w:val="0"/>
        <w:widowControl w:val="0"/>
        <w:kinsoku/>
        <w:wordWrap/>
        <w:overflowPunct/>
        <w:topLinePunct w:val="0"/>
        <w:autoSpaceDE/>
        <w:autoSpaceDN/>
        <w:bidi w:val="0"/>
        <w:adjustRightInd/>
        <w:spacing w:line="480" w:lineRule="exact"/>
        <w:ind w:firstLine="420" w:firstLineChars="200"/>
        <w:textAlignment w:val="auto"/>
        <w:rPr>
          <w:rFonts w:hint="eastAsia" w:ascii="宋体" w:hAnsi="宋体" w:eastAsia="宋体" w:cs="宋体"/>
          <w:color w:val="auto"/>
          <w:szCs w:val="21"/>
          <w:highlight w:val="none"/>
        </w:rPr>
      </w:pPr>
      <w:r>
        <w:rPr>
          <w:rFonts w:hint="eastAsia" w:ascii="宋体" w:hAnsi="宋体" w:cs="宋体"/>
          <w:color w:val="auto"/>
          <w:szCs w:val="21"/>
          <w:highlight w:val="none"/>
          <w:lang w:eastAsia="zh-CN"/>
        </w:rPr>
        <w:t>2.</w:t>
      </w:r>
      <w:r>
        <w:rPr>
          <w:rFonts w:hint="eastAsia" w:ascii="宋体" w:hAnsi="宋体" w:eastAsia="宋体" w:cs="宋体"/>
          <w:color w:val="auto"/>
          <w:szCs w:val="21"/>
          <w:highlight w:val="none"/>
        </w:rPr>
        <w:t>合同执行中涉及采购资金和采购内容修改或者补充的，须经财政部门审批，并</w:t>
      </w:r>
      <w:r>
        <w:rPr>
          <w:rFonts w:hint="eastAsia" w:ascii="宋体" w:hAnsi="宋体" w:cs="宋体"/>
          <w:color w:val="auto"/>
          <w:szCs w:val="21"/>
          <w:highlight w:val="none"/>
          <w:lang w:eastAsia="zh-CN"/>
        </w:rPr>
        <w:t>签订</w:t>
      </w:r>
      <w:r>
        <w:rPr>
          <w:rFonts w:hint="eastAsia" w:ascii="宋体" w:hAnsi="宋体" w:eastAsia="宋体" w:cs="宋体"/>
          <w:color w:val="auto"/>
          <w:szCs w:val="21"/>
          <w:highlight w:val="none"/>
        </w:rPr>
        <w:t>书面补充协议报财政部门备案，方可作为主合同不可分割的一部分。</w:t>
      </w:r>
    </w:p>
    <w:p w14:paraId="2D4A9C6E">
      <w:pPr>
        <w:keepNext w:val="0"/>
        <w:keepLines w:val="0"/>
        <w:pageBreakBefore w:val="0"/>
        <w:widowControl w:val="0"/>
        <w:kinsoku/>
        <w:wordWrap/>
        <w:overflowPunct/>
        <w:topLinePunct w:val="0"/>
        <w:autoSpaceDE/>
        <w:autoSpaceDN/>
        <w:bidi w:val="0"/>
        <w:adjustRightInd/>
        <w:spacing w:line="480" w:lineRule="exact"/>
        <w:ind w:firstLine="420" w:firstLineChars="200"/>
        <w:textAlignment w:val="auto"/>
        <w:rPr>
          <w:rFonts w:hint="eastAsia" w:ascii="宋体" w:hAnsi="宋体" w:eastAsia="宋体" w:cs="宋体"/>
          <w:color w:val="auto"/>
          <w:szCs w:val="21"/>
          <w:highlight w:val="none"/>
        </w:rPr>
      </w:pPr>
      <w:r>
        <w:rPr>
          <w:rFonts w:hint="eastAsia" w:ascii="宋体" w:hAnsi="宋体" w:cs="宋体"/>
          <w:color w:val="auto"/>
          <w:szCs w:val="21"/>
          <w:highlight w:val="none"/>
          <w:lang w:eastAsia="zh-CN"/>
        </w:rPr>
        <w:t>3.</w:t>
      </w:r>
      <w:r>
        <w:rPr>
          <w:rFonts w:hint="eastAsia" w:ascii="宋体" w:hAnsi="宋体" w:eastAsia="宋体" w:cs="宋体"/>
          <w:color w:val="auto"/>
          <w:szCs w:val="21"/>
          <w:highlight w:val="none"/>
        </w:rPr>
        <w:t>本合同未尽事宜，遵照《中华人民共和国</w:t>
      </w:r>
      <w:r>
        <w:rPr>
          <w:rFonts w:hint="eastAsia" w:ascii="宋体" w:hAnsi="宋体" w:eastAsia="宋体" w:cs="宋体"/>
          <w:color w:val="auto"/>
          <w:szCs w:val="21"/>
          <w:highlight w:val="none"/>
          <w:lang w:eastAsia="zh-CN"/>
        </w:rPr>
        <w:t>民法典</w:t>
      </w:r>
      <w:r>
        <w:rPr>
          <w:rFonts w:hint="eastAsia" w:ascii="宋体" w:hAnsi="宋体" w:eastAsia="宋体" w:cs="宋体"/>
          <w:color w:val="auto"/>
          <w:szCs w:val="21"/>
          <w:highlight w:val="none"/>
        </w:rPr>
        <w:t>》有关条文执行。</w:t>
      </w:r>
    </w:p>
    <w:p w14:paraId="4C225C92">
      <w:pPr>
        <w:keepNext w:val="0"/>
        <w:keepLines w:val="0"/>
        <w:pageBreakBefore w:val="0"/>
        <w:widowControl w:val="0"/>
        <w:kinsoku/>
        <w:wordWrap/>
        <w:overflowPunct/>
        <w:topLinePunct w:val="0"/>
        <w:autoSpaceDE/>
        <w:autoSpaceDN/>
        <w:bidi w:val="0"/>
        <w:adjustRightInd/>
        <w:spacing w:line="480" w:lineRule="exact"/>
        <w:ind w:firstLine="422" w:firstLineChars="200"/>
        <w:textAlignment w:val="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第十三条　合同的变更、终止与转让</w:t>
      </w:r>
    </w:p>
    <w:p w14:paraId="1C4698F2">
      <w:pPr>
        <w:keepNext w:val="0"/>
        <w:keepLines w:val="0"/>
        <w:pageBreakBefore w:val="0"/>
        <w:widowControl w:val="0"/>
        <w:kinsoku/>
        <w:wordWrap/>
        <w:overflowPunct/>
        <w:topLinePunct w:val="0"/>
        <w:autoSpaceDE/>
        <w:autoSpaceDN/>
        <w:bidi w:val="0"/>
        <w:adjustRightInd/>
        <w:spacing w:line="480" w:lineRule="exact"/>
        <w:ind w:firstLine="420" w:firstLineChars="200"/>
        <w:textAlignment w:val="auto"/>
        <w:rPr>
          <w:rFonts w:hint="eastAsia" w:ascii="宋体" w:hAnsi="宋体" w:eastAsia="宋体" w:cs="宋体"/>
          <w:color w:val="auto"/>
          <w:szCs w:val="21"/>
          <w:highlight w:val="none"/>
        </w:rPr>
      </w:pPr>
      <w:r>
        <w:rPr>
          <w:rFonts w:hint="eastAsia" w:ascii="宋体" w:hAnsi="宋体" w:cs="宋体"/>
          <w:color w:val="auto"/>
          <w:szCs w:val="21"/>
          <w:highlight w:val="none"/>
          <w:lang w:eastAsia="zh-CN"/>
        </w:rPr>
        <w:t>1.</w:t>
      </w:r>
      <w:r>
        <w:rPr>
          <w:rFonts w:hint="eastAsia" w:ascii="宋体" w:hAnsi="宋体" w:eastAsia="宋体" w:cs="宋体"/>
          <w:color w:val="auto"/>
          <w:szCs w:val="21"/>
          <w:highlight w:val="none"/>
        </w:rPr>
        <w:t>除《中华人民共和国政府采购法》第五十条规定的情形外，本合同一经签订，甲乙双方不得擅自变更、中止或者终止。</w:t>
      </w:r>
    </w:p>
    <w:p w14:paraId="78931724">
      <w:pPr>
        <w:keepNext w:val="0"/>
        <w:keepLines w:val="0"/>
        <w:pageBreakBefore w:val="0"/>
        <w:widowControl w:val="0"/>
        <w:kinsoku/>
        <w:wordWrap/>
        <w:overflowPunct/>
        <w:topLinePunct w:val="0"/>
        <w:autoSpaceDE/>
        <w:autoSpaceDN/>
        <w:bidi w:val="0"/>
        <w:adjustRightInd/>
        <w:spacing w:line="480" w:lineRule="exact"/>
        <w:ind w:firstLine="420" w:firstLineChars="200"/>
        <w:textAlignment w:val="auto"/>
        <w:rPr>
          <w:rFonts w:hint="eastAsia" w:ascii="宋体" w:hAnsi="宋体" w:eastAsia="宋体" w:cs="宋体"/>
          <w:color w:val="auto"/>
          <w:szCs w:val="21"/>
          <w:highlight w:val="none"/>
        </w:rPr>
      </w:pPr>
      <w:r>
        <w:rPr>
          <w:rFonts w:hint="eastAsia" w:ascii="宋体" w:hAnsi="宋体" w:cs="宋体"/>
          <w:color w:val="auto"/>
          <w:szCs w:val="21"/>
          <w:highlight w:val="none"/>
          <w:lang w:eastAsia="zh-CN"/>
        </w:rPr>
        <w:t>2.</w:t>
      </w:r>
      <w:r>
        <w:rPr>
          <w:rFonts w:hint="eastAsia" w:ascii="宋体" w:hAnsi="宋体" w:eastAsia="宋体" w:cs="宋体"/>
          <w:color w:val="auto"/>
          <w:szCs w:val="21"/>
          <w:highlight w:val="none"/>
        </w:rPr>
        <w:t>乙方不得擅自转让其应履行的合同义务。</w:t>
      </w:r>
    </w:p>
    <w:p w14:paraId="593AF207">
      <w:pPr>
        <w:keepNext w:val="0"/>
        <w:keepLines w:val="0"/>
        <w:pageBreakBefore w:val="0"/>
        <w:widowControl w:val="0"/>
        <w:kinsoku/>
        <w:wordWrap/>
        <w:overflowPunct/>
        <w:topLinePunct w:val="0"/>
        <w:autoSpaceDE/>
        <w:autoSpaceDN/>
        <w:bidi w:val="0"/>
        <w:adjustRightInd/>
        <w:spacing w:line="480" w:lineRule="exact"/>
        <w:ind w:firstLine="422" w:firstLineChars="200"/>
        <w:textAlignment w:val="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第十四条　签订本合同依据</w:t>
      </w:r>
    </w:p>
    <w:p w14:paraId="16147AFC">
      <w:pPr>
        <w:keepNext w:val="0"/>
        <w:keepLines w:val="0"/>
        <w:pageBreakBefore w:val="0"/>
        <w:widowControl w:val="0"/>
        <w:kinsoku/>
        <w:wordWrap/>
        <w:overflowPunct/>
        <w:topLinePunct w:val="0"/>
        <w:autoSpaceDE/>
        <w:autoSpaceDN/>
        <w:bidi w:val="0"/>
        <w:adjustRightInd/>
        <w:spacing w:line="480" w:lineRule="exact"/>
        <w:ind w:firstLine="420" w:firstLineChars="200"/>
        <w:textAlignment w:val="auto"/>
        <w:rPr>
          <w:rFonts w:hint="eastAsia" w:ascii="宋体" w:hAnsi="宋体" w:eastAsia="宋体" w:cs="宋体"/>
          <w:color w:val="auto"/>
          <w:szCs w:val="21"/>
          <w:highlight w:val="none"/>
        </w:rPr>
      </w:pPr>
      <w:r>
        <w:rPr>
          <w:rFonts w:hint="eastAsia" w:ascii="宋体" w:hAnsi="宋体" w:cs="宋体"/>
          <w:color w:val="auto"/>
          <w:szCs w:val="21"/>
          <w:highlight w:val="none"/>
          <w:lang w:eastAsia="zh-CN"/>
        </w:rPr>
        <w:t>1.</w:t>
      </w:r>
      <w:r>
        <w:rPr>
          <w:rFonts w:hint="eastAsia" w:ascii="宋体" w:hAnsi="宋体" w:eastAsia="宋体" w:cs="宋体"/>
          <w:color w:val="auto"/>
          <w:szCs w:val="21"/>
          <w:highlight w:val="none"/>
        </w:rPr>
        <w:t>中标通知书；</w:t>
      </w:r>
    </w:p>
    <w:p w14:paraId="2BD40B8C">
      <w:pPr>
        <w:keepNext w:val="0"/>
        <w:keepLines w:val="0"/>
        <w:pageBreakBefore w:val="0"/>
        <w:widowControl w:val="0"/>
        <w:kinsoku/>
        <w:wordWrap/>
        <w:overflowPunct/>
        <w:topLinePunct w:val="0"/>
        <w:autoSpaceDE/>
        <w:autoSpaceDN/>
        <w:bidi w:val="0"/>
        <w:adjustRightInd/>
        <w:spacing w:line="480" w:lineRule="exact"/>
        <w:ind w:firstLine="420" w:firstLineChars="200"/>
        <w:textAlignment w:val="auto"/>
        <w:rPr>
          <w:rFonts w:hint="eastAsia" w:ascii="宋体" w:hAnsi="宋体" w:eastAsia="宋体" w:cs="宋体"/>
          <w:color w:val="auto"/>
          <w:szCs w:val="21"/>
          <w:highlight w:val="none"/>
        </w:rPr>
      </w:pPr>
      <w:r>
        <w:rPr>
          <w:rFonts w:hint="eastAsia" w:ascii="宋体" w:hAnsi="宋体" w:cs="宋体"/>
          <w:color w:val="auto"/>
          <w:szCs w:val="21"/>
          <w:highlight w:val="none"/>
          <w:lang w:eastAsia="zh-CN"/>
        </w:rPr>
        <w:t>2.</w:t>
      </w:r>
      <w:r>
        <w:rPr>
          <w:rFonts w:hint="eastAsia" w:ascii="宋体" w:hAnsi="宋体" w:eastAsia="宋体" w:cs="宋体"/>
          <w:color w:val="auto"/>
          <w:szCs w:val="21"/>
          <w:highlight w:val="none"/>
        </w:rPr>
        <w:t>开标一览表；</w:t>
      </w:r>
    </w:p>
    <w:p w14:paraId="30E8863A">
      <w:pPr>
        <w:keepNext w:val="0"/>
        <w:keepLines w:val="0"/>
        <w:pageBreakBefore w:val="0"/>
        <w:widowControl w:val="0"/>
        <w:kinsoku/>
        <w:wordWrap/>
        <w:overflowPunct/>
        <w:topLinePunct w:val="0"/>
        <w:autoSpaceDE/>
        <w:autoSpaceDN/>
        <w:bidi w:val="0"/>
        <w:adjustRightInd/>
        <w:spacing w:line="480" w:lineRule="exact"/>
        <w:ind w:firstLine="420" w:firstLineChars="200"/>
        <w:textAlignment w:val="auto"/>
        <w:rPr>
          <w:rFonts w:hint="eastAsia" w:ascii="宋体" w:hAnsi="宋体" w:eastAsia="宋体" w:cs="宋体"/>
          <w:color w:val="auto"/>
          <w:szCs w:val="21"/>
          <w:highlight w:val="none"/>
        </w:rPr>
      </w:pPr>
      <w:r>
        <w:rPr>
          <w:rFonts w:hint="eastAsia" w:ascii="宋体" w:hAnsi="宋体" w:cs="宋体"/>
          <w:color w:val="auto"/>
          <w:szCs w:val="21"/>
          <w:highlight w:val="none"/>
          <w:lang w:eastAsia="zh-CN"/>
        </w:rPr>
        <w:t>3.</w:t>
      </w:r>
      <w:r>
        <w:rPr>
          <w:rFonts w:hint="eastAsia" w:ascii="宋体" w:hAnsi="宋体" w:eastAsia="宋体" w:cs="宋体"/>
          <w:color w:val="auto"/>
          <w:szCs w:val="21"/>
          <w:highlight w:val="none"/>
        </w:rPr>
        <w:t>商务条款偏离表和技术需求偏离表；</w:t>
      </w:r>
    </w:p>
    <w:p w14:paraId="6D61A679">
      <w:pPr>
        <w:keepNext w:val="0"/>
        <w:keepLines w:val="0"/>
        <w:pageBreakBefore w:val="0"/>
        <w:widowControl w:val="0"/>
        <w:kinsoku/>
        <w:wordWrap/>
        <w:overflowPunct/>
        <w:topLinePunct w:val="0"/>
        <w:autoSpaceDE/>
        <w:autoSpaceDN/>
        <w:bidi w:val="0"/>
        <w:adjustRightInd/>
        <w:spacing w:line="480" w:lineRule="exact"/>
        <w:ind w:firstLine="420" w:firstLineChars="200"/>
        <w:textAlignment w:val="auto"/>
        <w:rPr>
          <w:rFonts w:hint="eastAsia" w:ascii="宋体" w:hAnsi="宋体" w:eastAsia="宋体" w:cs="宋体"/>
          <w:color w:val="auto"/>
          <w:szCs w:val="21"/>
          <w:highlight w:val="none"/>
        </w:rPr>
      </w:pPr>
      <w:r>
        <w:rPr>
          <w:rFonts w:hint="eastAsia" w:ascii="宋体" w:hAnsi="宋体" w:cs="宋体"/>
          <w:color w:val="auto"/>
          <w:szCs w:val="21"/>
          <w:highlight w:val="none"/>
          <w:lang w:eastAsia="zh-CN"/>
        </w:rPr>
        <w:t>4.保险服务方案</w:t>
      </w:r>
      <w:r>
        <w:rPr>
          <w:rFonts w:hint="eastAsia" w:ascii="宋体" w:hAnsi="宋体" w:eastAsia="宋体" w:cs="宋体"/>
          <w:color w:val="auto"/>
          <w:szCs w:val="21"/>
          <w:highlight w:val="none"/>
        </w:rPr>
        <w:t>；</w:t>
      </w:r>
    </w:p>
    <w:p w14:paraId="4C0B4BD2">
      <w:pPr>
        <w:keepNext w:val="0"/>
        <w:keepLines w:val="0"/>
        <w:pageBreakBefore w:val="0"/>
        <w:widowControl w:val="0"/>
        <w:kinsoku/>
        <w:wordWrap/>
        <w:overflowPunct/>
        <w:topLinePunct w:val="0"/>
        <w:autoSpaceDE/>
        <w:autoSpaceDN/>
        <w:bidi w:val="0"/>
        <w:adjustRightInd/>
        <w:spacing w:line="480" w:lineRule="exact"/>
        <w:ind w:firstLine="420" w:firstLineChars="200"/>
        <w:textAlignment w:val="auto"/>
        <w:rPr>
          <w:rFonts w:hint="eastAsia" w:ascii="宋体" w:hAnsi="宋体" w:eastAsia="宋体" w:cs="宋体"/>
          <w:color w:val="auto"/>
          <w:szCs w:val="21"/>
          <w:highlight w:val="none"/>
        </w:rPr>
      </w:pPr>
      <w:r>
        <w:rPr>
          <w:rFonts w:hint="eastAsia" w:ascii="宋体" w:hAnsi="宋体" w:cs="宋体"/>
          <w:color w:val="auto"/>
          <w:szCs w:val="21"/>
          <w:highlight w:val="none"/>
          <w:lang w:eastAsia="zh-CN"/>
        </w:rPr>
        <w:t>5.</w:t>
      </w:r>
      <w:r>
        <w:rPr>
          <w:rFonts w:hint="eastAsia" w:ascii="宋体" w:hAnsi="宋体" w:eastAsia="宋体" w:cs="宋体"/>
          <w:color w:val="auto"/>
          <w:szCs w:val="21"/>
          <w:highlight w:val="none"/>
        </w:rPr>
        <w:t>投标文件中的其他相关文件。</w:t>
      </w:r>
    </w:p>
    <w:p w14:paraId="10B2563E">
      <w:pPr>
        <w:keepNext w:val="0"/>
        <w:keepLines w:val="0"/>
        <w:pageBreakBefore w:val="0"/>
        <w:widowControl w:val="0"/>
        <w:kinsoku/>
        <w:wordWrap/>
        <w:overflowPunct/>
        <w:topLinePunct w:val="0"/>
        <w:autoSpaceDE/>
        <w:autoSpaceDN/>
        <w:bidi w:val="0"/>
        <w:adjustRightInd/>
        <w:spacing w:line="480" w:lineRule="exact"/>
        <w:ind w:firstLine="420" w:firstLineChars="200"/>
        <w:textAlignment w:val="auto"/>
        <w:rPr>
          <w:rFonts w:hint="eastAsia" w:ascii="宋体" w:hAnsi="宋体" w:eastAsia="宋体" w:cs="宋体"/>
          <w:color w:val="auto"/>
          <w:szCs w:val="21"/>
          <w:highlight w:val="none"/>
        </w:rPr>
      </w:pPr>
      <w:r>
        <w:rPr>
          <w:rFonts w:hint="eastAsia" w:ascii="宋体" w:hAnsi="宋体" w:cs="宋体"/>
          <w:color w:val="auto"/>
          <w:szCs w:val="21"/>
          <w:highlight w:val="none"/>
          <w:lang w:eastAsia="zh-CN"/>
        </w:rPr>
        <w:t>6.</w:t>
      </w:r>
      <w:r>
        <w:rPr>
          <w:rFonts w:hint="eastAsia" w:ascii="宋体" w:hAnsi="宋体" w:eastAsia="宋体" w:cs="宋体"/>
          <w:color w:val="auto"/>
          <w:szCs w:val="21"/>
          <w:highlight w:val="none"/>
        </w:rPr>
        <w:t>上述合同文件互相补充和解释。如果合同文件之间存在矛盾或者不一致之处，以上述文件的排列顺序在先者为准。</w:t>
      </w:r>
    </w:p>
    <w:p w14:paraId="0C63CFB7">
      <w:pPr>
        <w:keepNext w:val="0"/>
        <w:keepLines w:val="0"/>
        <w:pageBreakBefore w:val="0"/>
        <w:widowControl w:val="0"/>
        <w:kinsoku/>
        <w:wordWrap/>
        <w:overflowPunct/>
        <w:topLinePunct w:val="0"/>
        <w:autoSpaceDE/>
        <w:autoSpaceDN/>
        <w:bidi w:val="0"/>
        <w:adjustRightInd/>
        <w:spacing w:line="480" w:lineRule="exact"/>
        <w:ind w:firstLine="422" w:firstLineChars="200"/>
        <w:textAlignment w:val="auto"/>
        <w:rPr>
          <w:rFonts w:hint="eastAsia" w:ascii="宋体" w:hAnsi="宋体" w:eastAsia="宋体" w:cs="宋体"/>
          <w:color w:val="auto"/>
          <w:szCs w:val="21"/>
          <w:highlight w:val="none"/>
        </w:rPr>
      </w:pPr>
      <w:r>
        <w:rPr>
          <w:rFonts w:hint="eastAsia" w:ascii="宋体" w:hAnsi="宋体" w:eastAsia="宋体" w:cs="宋体"/>
          <w:b/>
          <w:color w:val="auto"/>
          <w:szCs w:val="21"/>
          <w:highlight w:val="none"/>
        </w:rPr>
        <w:t>第十五条　</w:t>
      </w:r>
      <w:r>
        <w:rPr>
          <w:rFonts w:hint="eastAsia" w:ascii="宋体" w:hAnsi="宋体" w:eastAsia="宋体" w:cs="宋体"/>
          <w:color w:val="auto"/>
          <w:szCs w:val="21"/>
          <w:highlight w:val="none"/>
        </w:rPr>
        <w:t>本合同</w:t>
      </w:r>
      <w:r>
        <w:rPr>
          <w:rFonts w:hint="eastAsia" w:ascii="宋体" w:hAnsi="宋体" w:cs="宋体"/>
          <w:color w:val="auto"/>
          <w:szCs w:val="21"/>
          <w:highlight w:val="none"/>
          <w:lang w:val="en-US" w:eastAsia="zh-CN"/>
        </w:rPr>
        <w:t>捌</w:t>
      </w:r>
      <w:r>
        <w:rPr>
          <w:rFonts w:hint="eastAsia" w:ascii="宋体" w:hAnsi="宋体" w:eastAsia="宋体" w:cs="宋体"/>
          <w:color w:val="auto"/>
          <w:szCs w:val="21"/>
          <w:highlight w:val="none"/>
        </w:rPr>
        <w:t>份，具有同等法律效力，甲方</w:t>
      </w:r>
      <w:r>
        <w:rPr>
          <w:rFonts w:hint="eastAsia" w:ascii="宋体" w:hAnsi="宋体" w:cs="宋体"/>
          <w:color w:val="auto"/>
          <w:szCs w:val="21"/>
          <w:highlight w:val="none"/>
          <w:lang w:val="en-US" w:eastAsia="zh-CN"/>
        </w:rPr>
        <w:t>肆</w:t>
      </w:r>
      <w:r>
        <w:rPr>
          <w:rFonts w:hint="eastAsia" w:ascii="宋体" w:hAnsi="宋体" w:eastAsia="宋体" w:cs="宋体"/>
          <w:color w:val="auto"/>
          <w:szCs w:val="21"/>
          <w:highlight w:val="none"/>
        </w:rPr>
        <w:t>份、乙方</w:t>
      </w:r>
      <w:r>
        <w:rPr>
          <w:rFonts w:hint="eastAsia" w:ascii="宋体" w:hAnsi="宋体" w:cs="宋体"/>
          <w:color w:val="auto"/>
          <w:szCs w:val="21"/>
          <w:highlight w:val="none"/>
          <w:lang w:val="en-US" w:eastAsia="zh-CN"/>
        </w:rPr>
        <w:t>叁</w:t>
      </w:r>
      <w:r>
        <w:rPr>
          <w:rFonts w:hint="eastAsia" w:ascii="宋体" w:hAnsi="宋体" w:eastAsia="宋体" w:cs="宋体"/>
          <w:color w:val="auto"/>
          <w:szCs w:val="21"/>
          <w:highlight w:val="none"/>
        </w:rPr>
        <w:t>份、采购代理机构壹份（可根据需要</w:t>
      </w:r>
      <w:r>
        <w:rPr>
          <w:rFonts w:hint="eastAsia" w:ascii="宋体" w:hAnsi="宋体" w:cs="宋体"/>
          <w:color w:val="auto"/>
          <w:szCs w:val="21"/>
          <w:highlight w:val="none"/>
          <w:lang w:eastAsia="zh-CN"/>
        </w:rPr>
        <w:t>另行</w:t>
      </w:r>
      <w:r>
        <w:rPr>
          <w:rFonts w:hint="eastAsia" w:ascii="宋体" w:hAnsi="宋体" w:eastAsia="宋体" w:cs="宋体"/>
          <w:color w:val="auto"/>
          <w:szCs w:val="21"/>
          <w:highlight w:val="none"/>
        </w:rPr>
        <w:t>增加）。</w:t>
      </w:r>
    </w:p>
    <w:p w14:paraId="37590607">
      <w:pPr>
        <w:keepNext w:val="0"/>
        <w:keepLines w:val="0"/>
        <w:pageBreakBefore w:val="0"/>
        <w:widowControl w:val="0"/>
        <w:kinsoku/>
        <w:wordWrap/>
        <w:overflowPunct/>
        <w:topLinePunct w:val="0"/>
        <w:autoSpaceDE/>
        <w:autoSpaceDN/>
        <w:bidi w:val="0"/>
        <w:adjustRightInd/>
        <w:spacing w:line="48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本合同自签订之日起2个工作日内，由采购代理机构将采购合同在广西壮族自治区财政厅指定的媒体上公告。</w:t>
      </w:r>
    </w:p>
    <w:tbl>
      <w:tblPr>
        <w:tblStyle w:val="39"/>
        <w:tblpPr w:leftFromText="180" w:rightFromText="180" w:vertAnchor="text" w:horzAnchor="margin" w:tblpXSpec="center" w:tblpY="2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82"/>
        <w:gridCol w:w="4583"/>
      </w:tblGrid>
      <w:tr w14:paraId="2926F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80" w:hRule="atLeast"/>
        </w:trPr>
        <w:tc>
          <w:tcPr>
            <w:tcW w:w="4582" w:type="dxa"/>
            <w:tcBorders>
              <w:top w:val="single" w:color="auto" w:sz="4" w:space="0"/>
              <w:left w:val="single" w:color="auto" w:sz="4" w:space="0"/>
              <w:bottom w:val="single" w:color="auto" w:sz="4" w:space="0"/>
              <w:right w:val="single" w:color="auto" w:sz="4" w:space="0"/>
            </w:tcBorders>
            <w:noWrap w:val="0"/>
            <w:vAlign w:val="center"/>
          </w:tcPr>
          <w:p w14:paraId="12B6263A">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480" w:lineRule="exact"/>
              <w:ind w:left="0" w:right="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甲方：（章）</w:t>
            </w:r>
          </w:p>
          <w:p w14:paraId="4E93AFAF">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480" w:lineRule="exact"/>
              <w:ind w:left="0" w:right="0"/>
              <w:textAlignment w:val="auto"/>
              <w:rPr>
                <w:rFonts w:hint="eastAsia" w:ascii="宋体" w:hAnsi="宋体" w:eastAsia="宋体" w:cs="宋体"/>
                <w:color w:val="auto"/>
                <w:sz w:val="21"/>
                <w:szCs w:val="21"/>
                <w:highlight w:val="none"/>
              </w:rPr>
            </w:pPr>
          </w:p>
          <w:p w14:paraId="0112C173">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480" w:lineRule="exact"/>
              <w:ind w:left="0" w:right="0"/>
              <w:textAlignment w:val="auto"/>
              <w:rPr>
                <w:rFonts w:hint="eastAsia" w:ascii="宋体" w:hAnsi="宋体" w:eastAsia="宋体" w:cs="宋体"/>
                <w:color w:val="auto"/>
                <w:sz w:val="21"/>
                <w:szCs w:val="21"/>
                <w:highlight w:val="none"/>
              </w:rPr>
            </w:pPr>
          </w:p>
          <w:p w14:paraId="5473CEC0">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480" w:lineRule="exact"/>
              <w:ind w:left="0" w:right="0" w:firstLine="945" w:firstLineChars="450"/>
              <w:jc w:val="right"/>
              <w:textAlignment w:val="auto"/>
              <w:rPr>
                <w:rFonts w:hint="eastAsia" w:ascii="宋体" w:hAnsi="宋体" w:eastAsia="宋体" w:cs="宋体"/>
                <w:color w:val="auto"/>
                <w:sz w:val="21"/>
                <w:szCs w:val="21"/>
                <w:highlight w:val="none"/>
              </w:rPr>
            </w:pPr>
          </w:p>
          <w:p w14:paraId="2608D59D">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480" w:lineRule="exact"/>
              <w:ind w:left="0" w:right="0" w:firstLine="945" w:firstLineChars="450"/>
              <w:jc w:val="righ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年   月   日</w:t>
            </w:r>
          </w:p>
        </w:tc>
        <w:tc>
          <w:tcPr>
            <w:tcW w:w="4583" w:type="dxa"/>
            <w:tcBorders>
              <w:top w:val="single" w:color="auto" w:sz="4" w:space="0"/>
              <w:left w:val="single" w:color="auto" w:sz="4" w:space="0"/>
              <w:bottom w:val="single" w:color="auto" w:sz="4" w:space="0"/>
              <w:right w:val="single" w:color="auto" w:sz="4" w:space="0"/>
            </w:tcBorders>
            <w:noWrap w:val="0"/>
            <w:vAlign w:val="center"/>
          </w:tcPr>
          <w:p w14:paraId="0A9D0AE8">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480" w:lineRule="exact"/>
              <w:ind w:left="0" w:right="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乙方：（章）       </w:t>
            </w:r>
          </w:p>
          <w:p w14:paraId="59397F2C">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480" w:lineRule="exact"/>
              <w:ind w:left="0" w:right="0"/>
              <w:textAlignment w:val="auto"/>
              <w:rPr>
                <w:rFonts w:hint="eastAsia" w:ascii="宋体" w:hAnsi="宋体" w:eastAsia="宋体" w:cs="宋体"/>
                <w:color w:val="auto"/>
                <w:sz w:val="21"/>
                <w:szCs w:val="21"/>
                <w:highlight w:val="none"/>
              </w:rPr>
            </w:pPr>
          </w:p>
          <w:p w14:paraId="77309304">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480" w:lineRule="exact"/>
              <w:ind w:left="0" w:right="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w:t>
            </w:r>
          </w:p>
          <w:p w14:paraId="2B402355">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480" w:lineRule="exact"/>
              <w:ind w:left="0" w:right="0"/>
              <w:jc w:val="right"/>
              <w:textAlignment w:val="auto"/>
              <w:rPr>
                <w:rFonts w:hint="eastAsia" w:ascii="宋体" w:hAnsi="宋体" w:eastAsia="宋体" w:cs="宋体"/>
                <w:color w:val="auto"/>
                <w:sz w:val="21"/>
                <w:szCs w:val="21"/>
                <w:highlight w:val="none"/>
              </w:rPr>
            </w:pPr>
          </w:p>
          <w:p w14:paraId="18A7C654">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480" w:lineRule="exact"/>
              <w:ind w:left="0" w:right="0"/>
              <w:jc w:val="righ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年   月   日</w:t>
            </w:r>
          </w:p>
        </w:tc>
      </w:tr>
      <w:tr w14:paraId="34DE20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3" w:hRule="atLeast"/>
        </w:trPr>
        <w:tc>
          <w:tcPr>
            <w:tcW w:w="4582" w:type="dxa"/>
            <w:tcBorders>
              <w:top w:val="single" w:color="auto" w:sz="4" w:space="0"/>
              <w:left w:val="single" w:color="auto" w:sz="4" w:space="0"/>
              <w:bottom w:val="single" w:color="auto" w:sz="4" w:space="0"/>
              <w:right w:val="single" w:color="auto" w:sz="4" w:space="0"/>
            </w:tcBorders>
            <w:noWrap w:val="0"/>
            <w:vAlign w:val="center"/>
          </w:tcPr>
          <w:p w14:paraId="0648675C">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480" w:lineRule="exact"/>
              <w:ind w:left="0" w:right="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单位地址： </w:t>
            </w:r>
          </w:p>
        </w:tc>
        <w:tc>
          <w:tcPr>
            <w:tcW w:w="4583" w:type="dxa"/>
            <w:tcBorders>
              <w:top w:val="single" w:color="auto" w:sz="4" w:space="0"/>
              <w:left w:val="single" w:color="auto" w:sz="4" w:space="0"/>
              <w:bottom w:val="single" w:color="auto" w:sz="4" w:space="0"/>
              <w:right w:val="single" w:color="auto" w:sz="4" w:space="0"/>
            </w:tcBorders>
            <w:noWrap w:val="0"/>
            <w:vAlign w:val="center"/>
          </w:tcPr>
          <w:p w14:paraId="1DD73CE7">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480" w:lineRule="exact"/>
              <w:ind w:left="0" w:right="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单位地址： </w:t>
            </w:r>
          </w:p>
        </w:tc>
      </w:tr>
      <w:tr w14:paraId="0C6F1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3" w:hRule="atLeast"/>
        </w:trPr>
        <w:tc>
          <w:tcPr>
            <w:tcW w:w="4582" w:type="dxa"/>
            <w:tcBorders>
              <w:top w:val="single" w:color="auto" w:sz="4" w:space="0"/>
              <w:left w:val="single" w:color="auto" w:sz="4" w:space="0"/>
              <w:bottom w:val="single" w:color="auto" w:sz="4" w:space="0"/>
              <w:right w:val="single" w:color="auto" w:sz="4" w:space="0"/>
            </w:tcBorders>
            <w:noWrap w:val="0"/>
            <w:vAlign w:val="center"/>
          </w:tcPr>
          <w:p w14:paraId="1449179E">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480" w:lineRule="exact"/>
              <w:ind w:left="0" w:right="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法定代表人：</w:t>
            </w:r>
          </w:p>
        </w:tc>
        <w:tc>
          <w:tcPr>
            <w:tcW w:w="4583" w:type="dxa"/>
            <w:tcBorders>
              <w:top w:val="single" w:color="auto" w:sz="4" w:space="0"/>
              <w:left w:val="single" w:color="auto" w:sz="4" w:space="0"/>
              <w:bottom w:val="single" w:color="auto" w:sz="4" w:space="0"/>
              <w:right w:val="single" w:color="auto" w:sz="4" w:space="0"/>
            </w:tcBorders>
            <w:noWrap w:val="0"/>
            <w:vAlign w:val="center"/>
          </w:tcPr>
          <w:p w14:paraId="2D25591A">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480" w:lineRule="exact"/>
              <w:ind w:left="0" w:right="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法定代表人：</w:t>
            </w:r>
          </w:p>
        </w:tc>
      </w:tr>
      <w:tr w14:paraId="2C716B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3" w:hRule="atLeast"/>
        </w:trPr>
        <w:tc>
          <w:tcPr>
            <w:tcW w:w="4582" w:type="dxa"/>
            <w:tcBorders>
              <w:top w:val="single" w:color="auto" w:sz="4" w:space="0"/>
              <w:left w:val="single" w:color="auto" w:sz="4" w:space="0"/>
              <w:bottom w:val="single" w:color="auto" w:sz="4" w:space="0"/>
              <w:right w:val="single" w:color="auto" w:sz="4" w:space="0"/>
            </w:tcBorders>
            <w:noWrap w:val="0"/>
            <w:vAlign w:val="center"/>
          </w:tcPr>
          <w:p w14:paraId="1B5B0024">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480" w:lineRule="exact"/>
              <w:ind w:left="0" w:right="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委托代理人：</w:t>
            </w:r>
          </w:p>
        </w:tc>
        <w:tc>
          <w:tcPr>
            <w:tcW w:w="4583" w:type="dxa"/>
            <w:tcBorders>
              <w:top w:val="single" w:color="auto" w:sz="4" w:space="0"/>
              <w:left w:val="single" w:color="auto" w:sz="4" w:space="0"/>
              <w:bottom w:val="single" w:color="auto" w:sz="4" w:space="0"/>
              <w:right w:val="single" w:color="auto" w:sz="4" w:space="0"/>
            </w:tcBorders>
            <w:noWrap w:val="0"/>
            <w:vAlign w:val="center"/>
          </w:tcPr>
          <w:p w14:paraId="6F70CD91">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480" w:lineRule="exact"/>
              <w:ind w:left="0" w:right="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委托代理人：</w:t>
            </w:r>
          </w:p>
        </w:tc>
      </w:tr>
      <w:tr w14:paraId="5943F1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3" w:hRule="atLeast"/>
        </w:trPr>
        <w:tc>
          <w:tcPr>
            <w:tcW w:w="4582" w:type="dxa"/>
            <w:tcBorders>
              <w:top w:val="single" w:color="auto" w:sz="4" w:space="0"/>
              <w:left w:val="single" w:color="auto" w:sz="4" w:space="0"/>
              <w:bottom w:val="single" w:color="auto" w:sz="4" w:space="0"/>
              <w:right w:val="single" w:color="auto" w:sz="4" w:space="0"/>
            </w:tcBorders>
            <w:noWrap w:val="0"/>
            <w:vAlign w:val="center"/>
          </w:tcPr>
          <w:p w14:paraId="7D392135">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480" w:lineRule="exact"/>
              <w:ind w:left="0" w:right="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电话：</w:t>
            </w:r>
          </w:p>
        </w:tc>
        <w:tc>
          <w:tcPr>
            <w:tcW w:w="4583" w:type="dxa"/>
            <w:tcBorders>
              <w:top w:val="single" w:color="auto" w:sz="4" w:space="0"/>
              <w:left w:val="single" w:color="auto" w:sz="4" w:space="0"/>
              <w:bottom w:val="single" w:color="auto" w:sz="4" w:space="0"/>
              <w:right w:val="single" w:color="auto" w:sz="4" w:space="0"/>
            </w:tcBorders>
            <w:noWrap w:val="0"/>
            <w:vAlign w:val="center"/>
          </w:tcPr>
          <w:p w14:paraId="0E4291E0">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480" w:lineRule="exact"/>
              <w:ind w:left="0" w:right="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电话：</w:t>
            </w:r>
          </w:p>
        </w:tc>
      </w:tr>
      <w:tr w14:paraId="39EB59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3" w:hRule="atLeast"/>
        </w:trPr>
        <w:tc>
          <w:tcPr>
            <w:tcW w:w="4582" w:type="dxa"/>
            <w:tcBorders>
              <w:top w:val="single" w:color="auto" w:sz="4" w:space="0"/>
              <w:left w:val="single" w:color="auto" w:sz="4" w:space="0"/>
              <w:bottom w:val="single" w:color="auto" w:sz="4" w:space="0"/>
              <w:right w:val="single" w:color="auto" w:sz="4" w:space="0"/>
            </w:tcBorders>
            <w:noWrap w:val="0"/>
            <w:vAlign w:val="center"/>
          </w:tcPr>
          <w:p w14:paraId="6A474040">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480" w:lineRule="exact"/>
              <w:ind w:left="0" w:right="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开户银行： </w:t>
            </w:r>
          </w:p>
        </w:tc>
        <w:tc>
          <w:tcPr>
            <w:tcW w:w="4583" w:type="dxa"/>
            <w:tcBorders>
              <w:top w:val="single" w:color="auto" w:sz="4" w:space="0"/>
              <w:left w:val="single" w:color="auto" w:sz="4" w:space="0"/>
              <w:bottom w:val="single" w:color="auto" w:sz="4" w:space="0"/>
              <w:right w:val="single" w:color="auto" w:sz="4" w:space="0"/>
            </w:tcBorders>
            <w:noWrap w:val="0"/>
            <w:vAlign w:val="center"/>
          </w:tcPr>
          <w:p w14:paraId="4BE3EE4C">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480" w:lineRule="exact"/>
              <w:ind w:left="0" w:right="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开户银行： </w:t>
            </w:r>
          </w:p>
        </w:tc>
      </w:tr>
      <w:tr w14:paraId="01CCB8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3" w:hRule="atLeast"/>
        </w:trPr>
        <w:tc>
          <w:tcPr>
            <w:tcW w:w="4582" w:type="dxa"/>
            <w:tcBorders>
              <w:top w:val="single" w:color="auto" w:sz="4" w:space="0"/>
              <w:left w:val="single" w:color="auto" w:sz="4" w:space="0"/>
              <w:bottom w:val="single" w:color="auto" w:sz="4" w:space="0"/>
              <w:right w:val="single" w:color="auto" w:sz="4" w:space="0"/>
            </w:tcBorders>
            <w:noWrap w:val="0"/>
            <w:vAlign w:val="center"/>
          </w:tcPr>
          <w:p w14:paraId="4A59E308">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480" w:lineRule="exact"/>
              <w:ind w:left="0" w:right="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账号：</w:t>
            </w:r>
          </w:p>
        </w:tc>
        <w:tc>
          <w:tcPr>
            <w:tcW w:w="4583" w:type="dxa"/>
            <w:tcBorders>
              <w:top w:val="single" w:color="auto" w:sz="4" w:space="0"/>
              <w:left w:val="single" w:color="auto" w:sz="4" w:space="0"/>
              <w:bottom w:val="single" w:color="auto" w:sz="4" w:space="0"/>
              <w:right w:val="single" w:color="auto" w:sz="4" w:space="0"/>
            </w:tcBorders>
            <w:noWrap w:val="0"/>
            <w:vAlign w:val="center"/>
          </w:tcPr>
          <w:p w14:paraId="3D3EFD6F">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480" w:lineRule="exact"/>
              <w:ind w:left="0" w:right="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账号：</w:t>
            </w:r>
          </w:p>
        </w:tc>
      </w:tr>
      <w:tr w14:paraId="259817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3" w:hRule="atLeast"/>
        </w:trPr>
        <w:tc>
          <w:tcPr>
            <w:tcW w:w="4582" w:type="dxa"/>
            <w:tcBorders>
              <w:top w:val="single" w:color="auto" w:sz="4" w:space="0"/>
              <w:left w:val="single" w:color="auto" w:sz="4" w:space="0"/>
              <w:bottom w:val="single" w:color="auto" w:sz="4" w:space="0"/>
              <w:right w:val="single" w:color="auto" w:sz="4" w:space="0"/>
            </w:tcBorders>
            <w:noWrap w:val="0"/>
            <w:vAlign w:val="center"/>
          </w:tcPr>
          <w:p w14:paraId="63971812">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480" w:lineRule="exact"/>
              <w:ind w:left="0" w:right="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邮政编码：</w:t>
            </w:r>
          </w:p>
        </w:tc>
        <w:tc>
          <w:tcPr>
            <w:tcW w:w="4583" w:type="dxa"/>
            <w:tcBorders>
              <w:top w:val="single" w:color="auto" w:sz="4" w:space="0"/>
              <w:left w:val="single" w:color="auto" w:sz="4" w:space="0"/>
              <w:bottom w:val="single" w:color="auto" w:sz="4" w:space="0"/>
              <w:right w:val="single" w:color="auto" w:sz="4" w:space="0"/>
            </w:tcBorders>
            <w:noWrap w:val="0"/>
            <w:vAlign w:val="center"/>
          </w:tcPr>
          <w:p w14:paraId="52446359">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480" w:lineRule="exact"/>
              <w:ind w:left="0" w:right="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邮政编码：</w:t>
            </w:r>
          </w:p>
        </w:tc>
      </w:tr>
    </w:tbl>
    <w:p w14:paraId="3452EE7E">
      <w:pPr>
        <w:snapToGrid w:val="0"/>
        <w:rPr>
          <w:rFonts w:hint="eastAsia" w:ascii="宋体" w:hAnsi="宋体" w:eastAsia="宋体" w:cs="宋体"/>
          <w:color w:val="auto"/>
          <w:sz w:val="21"/>
          <w:szCs w:val="21"/>
          <w:highlight w:val="none"/>
        </w:rPr>
      </w:pPr>
    </w:p>
    <w:p w14:paraId="25DC555C">
      <w:pPr>
        <w:spacing w:line="360" w:lineRule="auto"/>
        <w:outlineLvl w:val="0"/>
        <w:rPr>
          <w:rFonts w:hint="eastAsia" w:ascii="宋体" w:hAnsi="宋体" w:eastAsia="宋体" w:cs="宋体"/>
          <w:b/>
          <w:color w:val="auto"/>
          <w:sz w:val="21"/>
          <w:szCs w:val="21"/>
          <w:highlight w:val="none"/>
        </w:rPr>
      </w:pPr>
    </w:p>
    <w:p w14:paraId="5A40CF84">
      <w:pPr>
        <w:tabs>
          <w:tab w:val="left" w:pos="7380"/>
        </w:tabs>
        <w:spacing w:line="360" w:lineRule="auto"/>
        <w:jc w:val="both"/>
        <w:rPr>
          <w:rFonts w:hint="eastAsia" w:ascii="宋体" w:hAnsi="宋体" w:eastAsia="宋体" w:cs="宋体"/>
          <w:color w:val="auto"/>
          <w:sz w:val="21"/>
          <w:szCs w:val="21"/>
          <w:highlight w:val="none"/>
        </w:rPr>
      </w:pPr>
    </w:p>
    <w:p w14:paraId="3445BA13">
      <w:pPr>
        <w:keepNext w:val="0"/>
        <w:keepLines w:val="0"/>
        <w:pageBreakBefore w:val="0"/>
        <w:widowControl w:val="0"/>
        <w:kinsoku/>
        <w:wordWrap/>
        <w:overflowPunct/>
        <w:topLinePunct w:val="0"/>
        <w:autoSpaceDE/>
        <w:autoSpaceDN/>
        <w:bidi w:val="0"/>
        <w:adjustRightInd/>
        <w:snapToGrid w:val="0"/>
        <w:spacing w:line="480" w:lineRule="exact"/>
        <w:jc w:val="center"/>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br w:type="page"/>
      </w:r>
      <w:r>
        <w:rPr>
          <w:rFonts w:hint="eastAsia" w:ascii="宋体" w:hAnsi="宋体" w:eastAsia="宋体" w:cs="宋体"/>
          <w:b/>
          <w:color w:val="auto"/>
          <w:sz w:val="21"/>
          <w:szCs w:val="21"/>
          <w:highlight w:val="none"/>
        </w:rPr>
        <w:t>合 同 附 件</w:t>
      </w:r>
    </w:p>
    <w:tbl>
      <w:tblPr>
        <w:tblStyle w:val="39"/>
        <w:tblW w:w="0" w:type="auto"/>
        <w:jc w:val="center"/>
        <w:tblLayout w:type="fixed"/>
        <w:tblCellMar>
          <w:top w:w="0" w:type="dxa"/>
          <w:left w:w="108" w:type="dxa"/>
          <w:bottom w:w="0" w:type="dxa"/>
          <w:right w:w="108" w:type="dxa"/>
        </w:tblCellMar>
      </w:tblPr>
      <w:tblGrid>
        <w:gridCol w:w="4788"/>
        <w:gridCol w:w="4680"/>
      </w:tblGrid>
      <w:tr w14:paraId="29C87B2F">
        <w:tblPrEx>
          <w:tblCellMar>
            <w:top w:w="0" w:type="dxa"/>
            <w:left w:w="108" w:type="dxa"/>
            <w:bottom w:w="0" w:type="dxa"/>
            <w:right w:w="108" w:type="dxa"/>
          </w:tblCellMar>
        </w:tblPrEx>
        <w:trPr>
          <w:trHeight w:val="3320" w:hRule="atLeast"/>
          <w:jc w:val="center"/>
        </w:trPr>
        <w:tc>
          <w:tcPr>
            <w:tcW w:w="9468" w:type="dxa"/>
            <w:gridSpan w:val="2"/>
            <w:tcBorders>
              <w:top w:val="single" w:color="auto" w:sz="4" w:space="0"/>
              <w:left w:val="single" w:color="auto" w:sz="4" w:space="0"/>
              <w:bottom w:val="nil"/>
              <w:right w:val="single" w:color="auto" w:sz="4" w:space="0"/>
            </w:tcBorders>
            <w:noWrap w:val="0"/>
            <w:vAlign w:val="top"/>
          </w:tcPr>
          <w:p w14:paraId="01608ABB">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480" w:lineRule="exact"/>
              <w:ind w:left="0" w:right="0"/>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1.</w:t>
            </w:r>
            <w:r>
              <w:rPr>
                <w:rFonts w:hint="eastAsia" w:ascii="宋体" w:hAnsi="宋体" w:eastAsia="宋体" w:cs="宋体"/>
                <w:color w:val="auto"/>
                <w:sz w:val="21"/>
                <w:szCs w:val="21"/>
                <w:highlight w:val="none"/>
              </w:rPr>
              <w:t>供应商承诺具体事项：</w:t>
            </w:r>
          </w:p>
        </w:tc>
      </w:tr>
      <w:tr w14:paraId="18D02B4D">
        <w:tblPrEx>
          <w:tblCellMar>
            <w:top w:w="0" w:type="dxa"/>
            <w:left w:w="108" w:type="dxa"/>
            <w:bottom w:w="0" w:type="dxa"/>
            <w:right w:w="108" w:type="dxa"/>
          </w:tblCellMar>
        </w:tblPrEx>
        <w:trPr>
          <w:trHeight w:val="2938" w:hRule="atLeast"/>
          <w:jc w:val="center"/>
        </w:trPr>
        <w:tc>
          <w:tcPr>
            <w:tcW w:w="9468" w:type="dxa"/>
            <w:gridSpan w:val="2"/>
            <w:tcBorders>
              <w:top w:val="single" w:color="auto" w:sz="4" w:space="0"/>
              <w:left w:val="single" w:color="auto" w:sz="4" w:space="0"/>
              <w:bottom w:val="nil"/>
              <w:right w:val="single" w:color="auto" w:sz="4" w:space="0"/>
            </w:tcBorders>
            <w:noWrap w:val="0"/>
            <w:vAlign w:val="top"/>
          </w:tcPr>
          <w:p w14:paraId="5F411F5B">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480" w:lineRule="exact"/>
              <w:ind w:left="0" w:right="0"/>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2.</w:t>
            </w:r>
            <w:r>
              <w:rPr>
                <w:rFonts w:hint="eastAsia" w:ascii="宋体" w:hAnsi="宋体" w:eastAsia="宋体" w:cs="宋体"/>
                <w:color w:val="auto"/>
                <w:sz w:val="21"/>
                <w:szCs w:val="21"/>
                <w:highlight w:val="none"/>
              </w:rPr>
              <w:t>售后服务具体事项：</w:t>
            </w:r>
          </w:p>
        </w:tc>
      </w:tr>
      <w:tr w14:paraId="53820EDB">
        <w:tblPrEx>
          <w:tblCellMar>
            <w:top w:w="0" w:type="dxa"/>
            <w:left w:w="108" w:type="dxa"/>
            <w:bottom w:w="0" w:type="dxa"/>
            <w:right w:w="108" w:type="dxa"/>
          </w:tblCellMar>
        </w:tblPrEx>
        <w:trPr>
          <w:trHeight w:val="2948" w:hRule="atLeast"/>
          <w:jc w:val="center"/>
        </w:trPr>
        <w:tc>
          <w:tcPr>
            <w:tcW w:w="9468" w:type="dxa"/>
            <w:gridSpan w:val="2"/>
            <w:tcBorders>
              <w:top w:val="single" w:color="auto" w:sz="4" w:space="0"/>
              <w:left w:val="single" w:color="auto" w:sz="4" w:space="0"/>
              <w:bottom w:val="nil"/>
              <w:right w:val="single" w:color="auto" w:sz="4" w:space="0"/>
            </w:tcBorders>
            <w:noWrap w:val="0"/>
            <w:vAlign w:val="top"/>
          </w:tcPr>
          <w:p w14:paraId="4D69DD6A">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480" w:lineRule="exact"/>
              <w:ind w:left="0" w:right="0"/>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3.</w:t>
            </w:r>
            <w:r>
              <w:rPr>
                <w:rFonts w:hint="eastAsia" w:ascii="宋体" w:hAnsi="宋体" w:eastAsia="宋体" w:cs="宋体"/>
                <w:color w:val="auto"/>
                <w:sz w:val="21"/>
                <w:szCs w:val="21"/>
                <w:highlight w:val="none"/>
              </w:rPr>
              <w:t>其他具体事项：</w:t>
            </w:r>
          </w:p>
        </w:tc>
      </w:tr>
      <w:tr w14:paraId="4300E6C5">
        <w:tblPrEx>
          <w:tblCellMar>
            <w:top w:w="0" w:type="dxa"/>
            <w:left w:w="108" w:type="dxa"/>
            <w:bottom w:w="0" w:type="dxa"/>
            <w:right w:w="108" w:type="dxa"/>
          </w:tblCellMar>
        </w:tblPrEx>
        <w:trPr>
          <w:trHeight w:val="3421" w:hRule="atLeast"/>
          <w:jc w:val="center"/>
        </w:trPr>
        <w:tc>
          <w:tcPr>
            <w:tcW w:w="4788" w:type="dxa"/>
            <w:tcBorders>
              <w:top w:val="single" w:color="auto" w:sz="4" w:space="0"/>
              <w:left w:val="single" w:color="auto" w:sz="4" w:space="0"/>
              <w:bottom w:val="single" w:color="auto" w:sz="4" w:space="0"/>
              <w:right w:val="single" w:color="auto" w:sz="4" w:space="0"/>
            </w:tcBorders>
            <w:noWrap w:val="0"/>
            <w:vAlign w:val="center"/>
          </w:tcPr>
          <w:p w14:paraId="017ACEBC">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480" w:lineRule="exact"/>
              <w:ind w:left="0" w:right="0" w:firstLine="422"/>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甲方（章）</w:t>
            </w:r>
          </w:p>
          <w:p w14:paraId="607D6A3C">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480" w:lineRule="exact"/>
              <w:ind w:left="0" w:right="0" w:firstLine="422"/>
              <w:textAlignment w:val="auto"/>
              <w:rPr>
                <w:rFonts w:hint="eastAsia" w:ascii="宋体" w:hAnsi="宋体" w:eastAsia="宋体" w:cs="宋体"/>
                <w:color w:val="auto"/>
                <w:sz w:val="21"/>
                <w:szCs w:val="21"/>
                <w:highlight w:val="none"/>
              </w:rPr>
            </w:pPr>
          </w:p>
          <w:p w14:paraId="0C86BF2F">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480" w:lineRule="exact"/>
              <w:ind w:left="0" w:right="0" w:firstLine="422"/>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年   月   日 </w:t>
            </w:r>
          </w:p>
        </w:tc>
        <w:tc>
          <w:tcPr>
            <w:tcW w:w="4680" w:type="dxa"/>
            <w:tcBorders>
              <w:top w:val="single" w:color="auto" w:sz="4" w:space="0"/>
              <w:left w:val="single" w:color="auto" w:sz="4" w:space="0"/>
              <w:bottom w:val="single" w:color="auto" w:sz="4" w:space="0"/>
              <w:right w:val="single" w:color="auto" w:sz="4" w:space="0"/>
            </w:tcBorders>
            <w:noWrap w:val="0"/>
            <w:vAlign w:val="center"/>
          </w:tcPr>
          <w:p w14:paraId="110462DB">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480" w:lineRule="exact"/>
              <w:ind w:left="0" w:right="0" w:firstLine="422"/>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乙方（章）</w:t>
            </w:r>
          </w:p>
          <w:p w14:paraId="5227D448">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480" w:lineRule="exact"/>
              <w:ind w:left="0" w:right="0" w:firstLine="422"/>
              <w:textAlignment w:val="auto"/>
              <w:rPr>
                <w:rFonts w:hint="eastAsia" w:ascii="宋体" w:hAnsi="宋体" w:eastAsia="宋体" w:cs="宋体"/>
                <w:color w:val="auto"/>
                <w:sz w:val="21"/>
                <w:szCs w:val="21"/>
                <w:highlight w:val="none"/>
              </w:rPr>
            </w:pPr>
          </w:p>
          <w:p w14:paraId="65E5F322">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480" w:lineRule="exact"/>
              <w:ind w:left="0" w:right="0" w:firstLine="422"/>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年   月   日</w:t>
            </w:r>
          </w:p>
        </w:tc>
      </w:tr>
    </w:tbl>
    <w:p w14:paraId="55A1EFF4">
      <w:pPr>
        <w:keepNext w:val="0"/>
        <w:keepLines w:val="0"/>
        <w:pageBreakBefore w:val="0"/>
        <w:widowControl w:val="0"/>
        <w:kinsoku/>
        <w:wordWrap/>
        <w:overflowPunct/>
        <w:topLinePunct w:val="0"/>
        <w:autoSpaceDE/>
        <w:autoSpaceDN/>
        <w:bidi w:val="0"/>
        <w:adjustRightInd/>
        <w:snapToGrid w:val="0"/>
        <w:spacing w:line="48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注：售后服务事项填不下时可另加附页</w:t>
      </w:r>
    </w:p>
    <w:p w14:paraId="341BBF13">
      <w:pPr>
        <w:keepNext w:val="0"/>
        <w:keepLines w:val="0"/>
        <w:pageBreakBefore w:val="0"/>
        <w:widowControl w:val="0"/>
        <w:tabs>
          <w:tab w:val="left" w:pos="7380"/>
        </w:tabs>
        <w:kinsoku/>
        <w:wordWrap/>
        <w:overflowPunct/>
        <w:topLinePunct w:val="0"/>
        <w:autoSpaceDE/>
        <w:autoSpaceDN/>
        <w:bidi w:val="0"/>
        <w:adjustRightInd/>
        <w:spacing w:line="480" w:lineRule="exact"/>
        <w:jc w:val="both"/>
        <w:textAlignment w:val="auto"/>
        <w:rPr>
          <w:rFonts w:hint="eastAsia" w:ascii="宋体" w:hAnsi="宋体" w:eastAsia="宋体" w:cs="宋体"/>
          <w:color w:val="auto"/>
          <w:sz w:val="21"/>
          <w:szCs w:val="21"/>
          <w:highlight w:val="none"/>
        </w:rPr>
        <w:sectPr>
          <w:pgSz w:w="11906" w:h="16838"/>
          <w:pgMar w:top="1134" w:right="1134" w:bottom="1134" w:left="1134" w:header="720" w:footer="720" w:gutter="0"/>
          <w:pgBorders w:offsetFrom="page">
            <w:top w:val="none" w:sz="0" w:space="0"/>
            <w:left w:val="none" w:sz="0" w:space="0"/>
            <w:bottom w:val="none" w:sz="0" w:space="0"/>
            <w:right w:val="none" w:sz="0" w:space="0"/>
          </w:pgBorders>
          <w:pgNumType w:fmt="decimal"/>
          <w:cols w:space="720" w:num="1"/>
          <w:docGrid w:type="lines" w:linePitch="331" w:charSpace="0"/>
        </w:sectPr>
      </w:pPr>
    </w:p>
    <w:p w14:paraId="43D46CEA">
      <w:pPr>
        <w:snapToGrid w:val="0"/>
        <w:spacing w:line="360" w:lineRule="exact"/>
        <w:jc w:val="left"/>
        <w:rPr>
          <w:rFonts w:hAnsi="宋体" w:cs="宋体"/>
          <w:color w:val="auto"/>
          <w:highlight w:val="none"/>
        </w:rPr>
      </w:pPr>
      <w:r>
        <w:rPr>
          <w:rFonts w:hint="eastAsia" w:hAnsi="宋体" w:cs="宋体"/>
          <w:b/>
          <w:color w:val="auto"/>
          <w:highlight w:val="none"/>
        </w:rPr>
        <w:t>附件I：</w:t>
      </w:r>
    </w:p>
    <w:p w14:paraId="38C5750C">
      <w:pPr>
        <w:widowControl/>
        <w:jc w:val="center"/>
        <w:rPr>
          <w:rFonts w:hint="eastAsia" w:ascii="宋体" w:hAnsi="宋体" w:cs="宋体"/>
          <w:b/>
          <w:bCs/>
          <w:color w:val="auto"/>
          <w:kern w:val="0"/>
          <w:sz w:val="32"/>
          <w:szCs w:val="32"/>
          <w:highlight w:val="none"/>
        </w:rPr>
      </w:pPr>
      <w:r>
        <w:rPr>
          <w:rFonts w:hint="eastAsia" w:ascii="宋体" w:hAnsi="宋体" w:cs="宋体"/>
          <w:b/>
          <w:bCs/>
          <w:color w:val="auto"/>
          <w:kern w:val="0"/>
          <w:sz w:val="32"/>
          <w:szCs w:val="32"/>
          <w:highlight w:val="none"/>
        </w:rPr>
        <w:t>政府采购项目合同验收报告（格式）</w:t>
      </w:r>
    </w:p>
    <w:p w14:paraId="0F890EDF">
      <w:pPr>
        <w:widowControl/>
        <w:spacing w:line="360" w:lineRule="auto"/>
        <w:jc w:val="center"/>
        <w:rPr>
          <w:rFonts w:hint="eastAsia" w:ascii="宋体" w:hAnsi="宋体" w:cs="宋体"/>
          <w:b/>
          <w:bCs/>
          <w:color w:val="auto"/>
          <w:kern w:val="0"/>
          <w:szCs w:val="21"/>
          <w:highlight w:val="none"/>
        </w:rPr>
      </w:pPr>
    </w:p>
    <w:p w14:paraId="3EEDF158">
      <w:pPr>
        <w:widowControl/>
        <w:snapToGrid w:val="0"/>
        <w:spacing w:line="360" w:lineRule="auto"/>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 xml:space="preserve">    根据政府采购合同（采购合同编号：</w:t>
      </w:r>
      <w:r>
        <w:rPr>
          <w:rFonts w:hint="eastAsia" w:ascii="宋体" w:hAnsi="宋体" w:cs="宋体"/>
          <w:color w:val="auto"/>
          <w:kern w:val="0"/>
          <w:szCs w:val="21"/>
          <w:highlight w:val="none"/>
          <w:u w:val="single"/>
        </w:rPr>
        <w:softHyphen/>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）的约定，我单位对</w:t>
      </w:r>
      <w:r>
        <w:rPr>
          <w:rFonts w:hint="eastAsia" w:ascii="宋体" w:hAnsi="宋体" w:cs="宋体"/>
          <w:color w:val="auto"/>
          <w:kern w:val="0"/>
          <w:szCs w:val="21"/>
          <w:highlight w:val="none"/>
          <w:u w:val="single"/>
        </w:rPr>
        <w:t xml:space="preserve">（采购项目名称）       </w:t>
      </w:r>
      <w:r>
        <w:rPr>
          <w:rFonts w:hint="eastAsia" w:ascii="宋体" w:hAnsi="宋体" w:cs="宋体"/>
          <w:color w:val="auto"/>
          <w:kern w:val="0"/>
          <w:szCs w:val="21"/>
          <w:highlight w:val="none"/>
        </w:rPr>
        <w:t>政府采购项目中标（或成交）供应商</w:t>
      </w:r>
      <w:r>
        <w:rPr>
          <w:rFonts w:hint="eastAsia" w:ascii="宋体" w:hAnsi="宋体" w:cs="宋体"/>
          <w:color w:val="auto"/>
          <w:kern w:val="0"/>
          <w:szCs w:val="21"/>
          <w:highlight w:val="none"/>
          <w:u w:val="single"/>
        </w:rPr>
        <w:t xml:space="preserve">    （公司名称）    </w:t>
      </w:r>
      <w:r>
        <w:rPr>
          <w:rFonts w:hint="eastAsia" w:ascii="宋体" w:hAnsi="宋体" w:cs="宋体"/>
          <w:color w:val="auto"/>
          <w:kern w:val="0"/>
          <w:szCs w:val="21"/>
          <w:highlight w:val="none"/>
        </w:rPr>
        <w:t>提供的货物（或服务）进行了验收，验收情况如下：</w:t>
      </w:r>
    </w:p>
    <w:tbl>
      <w:tblPr>
        <w:tblStyle w:val="39"/>
        <w:tblW w:w="0" w:type="auto"/>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
      <w:tblGrid>
        <w:gridCol w:w="592"/>
        <w:gridCol w:w="744"/>
        <w:gridCol w:w="1961"/>
        <w:gridCol w:w="1278"/>
        <w:gridCol w:w="1822"/>
        <w:gridCol w:w="13"/>
        <w:gridCol w:w="847"/>
        <w:gridCol w:w="893"/>
        <w:gridCol w:w="1297"/>
      </w:tblGrid>
      <w:tr w14:paraId="4270F32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78" w:hRule="atLeast"/>
          <w:jc w:val="center"/>
        </w:trPr>
        <w:tc>
          <w:tcPr>
            <w:tcW w:w="592" w:type="dxa"/>
            <w:tcBorders>
              <w:top w:val="single" w:color="auto" w:sz="4" w:space="0"/>
              <w:left w:val="single" w:color="auto" w:sz="8" w:space="0"/>
              <w:bottom w:val="single" w:color="auto" w:sz="8" w:space="0"/>
              <w:right w:val="single" w:color="auto" w:sz="4" w:space="0"/>
            </w:tcBorders>
            <w:noWrap w:val="0"/>
            <w:vAlign w:val="center"/>
          </w:tcPr>
          <w:p w14:paraId="608B7A15">
            <w:pPr>
              <w:keepNext w:val="0"/>
              <w:keepLines w:val="0"/>
              <w:suppressLineNumbers w:val="0"/>
              <w:spacing w:before="0" w:beforeAutospacing="0" w:after="0" w:afterAutospacing="0"/>
              <w:ind w:left="0" w:right="0"/>
              <w:jc w:val="center"/>
              <w:rPr>
                <w:rFonts w:hint="default" w:ascii="宋体" w:hAnsi="宋体" w:cs="宋体"/>
                <w:color w:val="auto"/>
                <w:szCs w:val="21"/>
                <w:highlight w:val="none"/>
              </w:rPr>
            </w:pPr>
            <w:r>
              <w:rPr>
                <w:rFonts w:hint="eastAsia" w:ascii="宋体" w:hAnsi="宋体" w:cs="宋体"/>
                <w:color w:val="auto"/>
                <w:szCs w:val="21"/>
                <w:highlight w:val="none"/>
              </w:rPr>
              <w:t>序号</w:t>
            </w:r>
          </w:p>
        </w:tc>
        <w:tc>
          <w:tcPr>
            <w:tcW w:w="2705" w:type="dxa"/>
            <w:gridSpan w:val="2"/>
            <w:tcBorders>
              <w:top w:val="single" w:color="auto" w:sz="4" w:space="0"/>
              <w:left w:val="single" w:color="auto" w:sz="4" w:space="0"/>
              <w:bottom w:val="single" w:color="auto" w:sz="8" w:space="0"/>
              <w:right w:val="single" w:color="auto" w:sz="8" w:space="0"/>
            </w:tcBorders>
            <w:noWrap w:val="0"/>
            <w:vAlign w:val="center"/>
          </w:tcPr>
          <w:p w14:paraId="6CDBC5E9">
            <w:pPr>
              <w:keepNext w:val="0"/>
              <w:keepLines w:val="0"/>
              <w:suppressLineNumbers w:val="0"/>
              <w:spacing w:before="0" w:beforeAutospacing="0" w:after="0" w:afterAutospacing="0"/>
              <w:ind w:left="0" w:right="0"/>
              <w:jc w:val="center"/>
              <w:rPr>
                <w:rFonts w:hint="default" w:ascii="宋体" w:hAnsi="宋体" w:cs="宋体"/>
                <w:color w:val="auto"/>
                <w:szCs w:val="21"/>
                <w:highlight w:val="none"/>
              </w:rPr>
            </w:pPr>
            <w:r>
              <w:rPr>
                <w:rFonts w:hint="eastAsia" w:ascii="宋体" w:hAnsi="宋体" w:cs="宋体"/>
                <w:color w:val="auto"/>
                <w:szCs w:val="21"/>
                <w:highlight w:val="none"/>
              </w:rPr>
              <w:t>名    称</w:t>
            </w:r>
          </w:p>
        </w:tc>
        <w:tc>
          <w:tcPr>
            <w:tcW w:w="3100" w:type="dxa"/>
            <w:gridSpan w:val="2"/>
            <w:tcBorders>
              <w:top w:val="single" w:color="auto" w:sz="8" w:space="0"/>
              <w:left w:val="single" w:color="auto" w:sz="8" w:space="0"/>
              <w:bottom w:val="single" w:color="auto" w:sz="8" w:space="0"/>
              <w:right w:val="single" w:color="auto" w:sz="8" w:space="0"/>
            </w:tcBorders>
            <w:noWrap w:val="0"/>
            <w:vAlign w:val="center"/>
          </w:tcPr>
          <w:p w14:paraId="1662128E">
            <w:pPr>
              <w:keepNext w:val="0"/>
              <w:keepLines w:val="0"/>
              <w:suppressLineNumbers w:val="0"/>
              <w:spacing w:before="0" w:beforeAutospacing="0" w:after="0" w:afterAutospacing="0"/>
              <w:ind w:left="0" w:right="0"/>
              <w:jc w:val="center"/>
              <w:rPr>
                <w:rFonts w:hint="default" w:ascii="宋体" w:hAnsi="宋体" w:cs="宋体"/>
                <w:color w:val="auto"/>
                <w:szCs w:val="21"/>
                <w:highlight w:val="none"/>
              </w:rPr>
            </w:pPr>
            <w:r>
              <w:rPr>
                <w:rFonts w:hint="eastAsia" w:ascii="宋体" w:hAnsi="宋体" w:cs="宋体"/>
                <w:color w:val="auto"/>
                <w:szCs w:val="21"/>
                <w:highlight w:val="none"/>
              </w:rPr>
              <w:t>货物型号规格、标准及配置</w:t>
            </w:r>
          </w:p>
          <w:p w14:paraId="16D461C9">
            <w:pPr>
              <w:keepNext w:val="0"/>
              <w:keepLines w:val="0"/>
              <w:suppressLineNumbers w:val="0"/>
              <w:spacing w:before="0" w:beforeAutospacing="0" w:after="0" w:afterAutospacing="0"/>
              <w:ind w:left="0" w:right="0"/>
              <w:jc w:val="center"/>
              <w:rPr>
                <w:rFonts w:hint="default" w:ascii="宋体" w:hAnsi="宋体" w:cs="宋体"/>
                <w:color w:val="auto"/>
                <w:szCs w:val="21"/>
                <w:highlight w:val="none"/>
              </w:rPr>
            </w:pPr>
            <w:r>
              <w:rPr>
                <w:rFonts w:hint="eastAsia" w:ascii="宋体" w:hAnsi="宋体" w:cs="宋体"/>
                <w:color w:val="auto"/>
                <w:szCs w:val="21"/>
                <w:highlight w:val="none"/>
              </w:rPr>
              <w:t>（或服务内容、标准）</w:t>
            </w:r>
          </w:p>
        </w:tc>
        <w:tc>
          <w:tcPr>
            <w:tcW w:w="860" w:type="dxa"/>
            <w:gridSpan w:val="2"/>
            <w:tcBorders>
              <w:top w:val="single" w:color="auto" w:sz="8" w:space="0"/>
              <w:left w:val="single" w:color="auto" w:sz="8" w:space="0"/>
              <w:bottom w:val="single" w:color="auto" w:sz="8" w:space="0"/>
              <w:right w:val="single" w:color="auto" w:sz="8" w:space="0"/>
            </w:tcBorders>
            <w:noWrap w:val="0"/>
            <w:vAlign w:val="center"/>
          </w:tcPr>
          <w:p w14:paraId="37D58611">
            <w:pPr>
              <w:keepNext w:val="0"/>
              <w:keepLines w:val="0"/>
              <w:suppressLineNumbers w:val="0"/>
              <w:spacing w:before="0" w:beforeAutospacing="0" w:after="0" w:afterAutospacing="0"/>
              <w:ind w:left="0" w:right="0"/>
              <w:jc w:val="center"/>
              <w:rPr>
                <w:rFonts w:hint="default" w:ascii="宋体" w:hAnsi="宋体" w:cs="宋体"/>
                <w:color w:val="auto"/>
                <w:szCs w:val="21"/>
                <w:highlight w:val="none"/>
              </w:rPr>
            </w:pPr>
            <w:r>
              <w:rPr>
                <w:rFonts w:hint="eastAsia" w:ascii="宋体" w:hAnsi="宋体" w:cs="宋体"/>
                <w:color w:val="auto"/>
                <w:szCs w:val="21"/>
                <w:highlight w:val="none"/>
              </w:rPr>
              <w:t>数量</w:t>
            </w:r>
          </w:p>
        </w:tc>
        <w:tc>
          <w:tcPr>
            <w:tcW w:w="893" w:type="dxa"/>
            <w:tcBorders>
              <w:top w:val="single" w:color="auto" w:sz="8" w:space="0"/>
              <w:left w:val="single" w:color="auto" w:sz="8" w:space="0"/>
              <w:bottom w:val="single" w:color="auto" w:sz="8" w:space="0"/>
              <w:right w:val="single" w:color="auto" w:sz="4" w:space="0"/>
            </w:tcBorders>
            <w:noWrap w:val="0"/>
            <w:vAlign w:val="center"/>
          </w:tcPr>
          <w:p w14:paraId="37D861F5">
            <w:pPr>
              <w:keepNext w:val="0"/>
              <w:keepLines w:val="0"/>
              <w:suppressLineNumbers w:val="0"/>
              <w:spacing w:before="0" w:beforeAutospacing="0" w:after="0" w:afterAutospacing="0"/>
              <w:ind w:left="0" w:right="0"/>
              <w:jc w:val="center"/>
              <w:rPr>
                <w:rFonts w:hint="default" w:ascii="宋体" w:hAnsi="宋体" w:cs="宋体"/>
                <w:color w:val="auto"/>
                <w:szCs w:val="21"/>
                <w:highlight w:val="none"/>
              </w:rPr>
            </w:pPr>
            <w:r>
              <w:rPr>
                <w:rFonts w:hint="eastAsia" w:ascii="宋体" w:hAnsi="宋体" w:cs="宋体"/>
                <w:color w:val="auto"/>
                <w:szCs w:val="21"/>
                <w:highlight w:val="none"/>
              </w:rPr>
              <w:t>金额</w:t>
            </w:r>
          </w:p>
        </w:tc>
        <w:tc>
          <w:tcPr>
            <w:tcW w:w="1297" w:type="dxa"/>
            <w:tcBorders>
              <w:top w:val="single" w:color="auto" w:sz="8" w:space="0"/>
              <w:left w:val="single" w:color="auto" w:sz="4" w:space="0"/>
              <w:bottom w:val="single" w:color="auto" w:sz="8" w:space="0"/>
              <w:right w:val="single" w:color="auto" w:sz="8" w:space="0"/>
            </w:tcBorders>
            <w:noWrap w:val="0"/>
            <w:vAlign w:val="center"/>
          </w:tcPr>
          <w:p w14:paraId="7E574B20">
            <w:pPr>
              <w:keepNext w:val="0"/>
              <w:keepLines w:val="0"/>
              <w:suppressLineNumbers w:val="0"/>
              <w:spacing w:before="0" w:beforeAutospacing="0" w:after="0" w:afterAutospacing="0"/>
              <w:ind w:left="0" w:right="0"/>
              <w:jc w:val="center"/>
              <w:rPr>
                <w:rFonts w:hint="default" w:ascii="宋体" w:hAnsi="宋体" w:cs="宋体"/>
                <w:color w:val="auto"/>
                <w:szCs w:val="21"/>
                <w:highlight w:val="none"/>
              </w:rPr>
            </w:pPr>
            <w:r>
              <w:rPr>
                <w:rFonts w:hint="eastAsia" w:ascii="宋体" w:hAnsi="宋体" w:cs="宋体"/>
                <w:color w:val="auto"/>
                <w:szCs w:val="21"/>
                <w:highlight w:val="none"/>
              </w:rPr>
              <w:t>与合同约定</w:t>
            </w:r>
          </w:p>
          <w:p w14:paraId="54B70CE3">
            <w:pPr>
              <w:keepNext w:val="0"/>
              <w:keepLines w:val="0"/>
              <w:suppressLineNumbers w:val="0"/>
              <w:spacing w:before="0" w:beforeAutospacing="0" w:after="0" w:afterAutospacing="0"/>
              <w:ind w:left="0" w:right="0"/>
              <w:jc w:val="center"/>
              <w:rPr>
                <w:rFonts w:hint="default" w:ascii="宋体" w:hAnsi="宋体" w:cs="宋体"/>
                <w:color w:val="auto"/>
                <w:szCs w:val="21"/>
                <w:highlight w:val="none"/>
              </w:rPr>
            </w:pPr>
            <w:r>
              <w:rPr>
                <w:rFonts w:hint="eastAsia" w:ascii="宋体" w:hAnsi="宋体" w:cs="宋体"/>
                <w:color w:val="auto"/>
                <w:szCs w:val="21"/>
                <w:highlight w:val="none"/>
              </w:rPr>
              <w:t>是否一致</w:t>
            </w:r>
          </w:p>
        </w:tc>
      </w:tr>
      <w:tr w14:paraId="693F621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18" w:hRule="atLeast"/>
          <w:jc w:val="center"/>
        </w:trPr>
        <w:tc>
          <w:tcPr>
            <w:tcW w:w="592" w:type="dxa"/>
            <w:tcBorders>
              <w:top w:val="single" w:color="auto" w:sz="8" w:space="0"/>
              <w:left w:val="single" w:color="auto" w:sz="8" w:space="0"/>
              <w:bottom w:val="single" w:color="auto" w:sz="8" w:space="0"/>
              <w:right w:val="single" w:color="auto" w:sz="4" w:space="0"/>
            </w:tcBorders>
            <w:noWrap w:val="0"/>
            <w:vAlign w:val="center"/>
          </w:tcPr>
          <w:p w14:paraId="69CCB57C">
            <w:pPr>
              <w:keepNext w:val="0"/>
              <w:keepLines w:val="0"/>
              <w:suppressLineNumbers w:val="0"/>
              <w:spacing w:before="0" w:beforeAutospacing="0" w:after="0" w:afterAutospacing="0"/>
              <w:ind w:left="0" w:right="0"/>
              <w:rPr>
                <w:rFonts w:hint="default" w:ascii="宋体" w:hAnsi="宋体" w:cs="宋体"/>
                <w:color w:val="auto"/>
                <w:szCs w:val="21"/>
                <w:highlight w:val="none"/>
              </w:rPr>
            </w:pPr>
          </w:p>
        </w:tc>
        <w:tc>
          <w:tcPr>
            <w:tcW w:w="2705" w:type="dxa"/>
            <w:gridSpan w:val="2"/>
            <w:tcBorders>
              <w:top w:val="single" w:color="auto" w:sz="8" w:space="0"/>
              <w:left w:val="single" w:color="auto" w:sz="4" w:space="0"/>
              <w:bottom w:val="single" w:color="auto" w:sz="8" w:space="0"/>
              <w:right w:val="single" w:color="auto" w:sz="8" w:space="0"/>
            </w:tcBorders>
            <w:noWrap w:val="0"/>
            <w:vAlign w:val="center"/>
          </w:tcPr>
          <w:p w14:paraId="3B25B8F8">
            <w:pPr>
              <w:keepNext w:val="0"/>
              <w:keepLines w:val="0"/>
              <w:suppressLineNumbers w:val="0"/>
              <w:spacing w:before="0" w:beforeAutospacing="0" w:after="0" w:afterAutospacing="0"/>
              <w:ind w:left="0" w:right="0"/>
              <w:rPr>
                <w:rFonts w:hint="default" w:ascii="宋体" w:hAnsi="宋体" w:cs="宋体"/>
                <w:color w:val="auto"/>
                <w:szCs w:val="21"/>
                <w:highlight w:val="none"/>
              </w:rPr>
            </w:pPr>
            <w:r>
              <w:rPr>
                <w:rFonts w:hint="eastAsia" w:ascii="宋体" w:hAnsi="宋体" w:cs="宋体"/>
                <w:color w:val="auto"/>
                <w:szCs w:val="21"/>
                <w:highlight w:val="none"/>
              </w:rPr>
              <w:t> </w:t>
            </w:r>
          </w:p>
        </w:tc>
        <w:tc>
          <w:tcPr>
            <w:tcW w:w="3100" w:type="dxa"/>
            <w:gridSpan w:val="2"/>
            <w:tcBorders>
              <w:top w:val="single" w:color="auto" w:sz="8" w:space="0"/>
              <w:left w:val="single" w:color="auto" w:sz="8" w:space="0"/>
              <w:bottom w:val="single" w:color="auto" w:sz="8" w:space="0"/>
              <w:right w:val="single" w:color="auto" w:sz="8" w:space="0"/>
            </w:tcBorders>
            <w:noWrap w:val="0"/>
            <w:vAlign w:val="center"/>
          </w:tcPr>
          <w:p w14:paraId="10CBE5BD">
            <w:pPr>
              <w:keepNext w:val="0"/>
              <w:keepLines w:val="0"/>
              <w:suppressLineNumbers w:val="0"/>
              <w:spacing w:before="0" w:beforeAutospacing="0" w:after="0" w:afterAutospacing="0"/>
              <w:ind w:left="0" w:right="0"/>
              <w:rPr>
                <w:rFonts w:hint="default" w:ascii="宋体" w:hAnsi="宋体" w:cs="宋体"/>
                <w:color w:val="auto"/>
                <w:szCs w:val="21"/>
                <w:highlight w:val="none"/>
              </w:rPr>
            </w:pPr>
            <w:r>
              <w:rPr>
                <w:rFonts w:hint="eastAsia" w:ascii="宋体" w:hAnsi="宋体" w:cs="宋体"/>
                <w:color w:val="auto"/>
                <w:szCs w:val="21"/>
                <w:highlight w:val="none"/>
              </w:rPr>
              <w:t> </w:t>
            </w:r>
          </w:p>
        </w:tc>
        <w:tc>
          <w:tcPr>
            <w:tcW w:w="860" w:type="dxa"/>
            <w:gridSpan w:val="2"/>
            <w:tcBorders>
              <w:top w:val="single" w:color="auto" w:sz="8" w:space="0"/>
              <w:left w:val="single" w:color="auto" w:sz="8" w:space="0"/>
              <w:bottom w:val="single" w:color="auto" w:sz="8" w:space="0"/>
              <w:right w:val="single" w:color="auto" w:sz="8" w:space="0"/>
            </w:tcBorders>
            <w:noWrap w:val="0"/>
            <w:vAlign w:val="center"/>
          </w:tcPr>
          <w:p w14:paraId="7BEF8232">
            <w:pPr>
              <w:keepNext w:val="0"/>
              <w:keepLines w:val="0"/>
              <w:suppressLineNumbers w:val="0"/>
              <w:spacing w:before="0" w:beforeAutospacing="0" w:after="0" w:afterAutospacing="0"/>
              <w:ind w:left="0" w:right="0"/>
              <w:rPr>
                <w:rFonts w:hint="default" w:ascii="宋体" w:hAnsi="宋体" w:cs="宋体"/>
                <w:color w:val="auto"/>
                <w:szCs w:val="21"/>
                <w:highlight w:val="none"/>
              </w:rPr>
            </w:pPr>
            <w:r>
              <w:rPr>
                <w:rFonts w:hint="eastAsia" w:ascii="宋体" w:hAnsi="宋体" w:cs="宋体"/>
                <w:color w:val="auto"/>
                <w:szCs w:val="21"/>
                <w:highlight w:val="none"/>
              </w:rPr>
              <w:t> </w:t>
            </w:r>
          </w:p>
        </w:tc>
        <w:tc>
          <w:tcPr>
            <w:tcW w:w="893" w:type="dxa"/>
            <w:tcBorders>
              <w:top w:val="single" w:color="auto" w:sz="8" w:space="0"/>
              <w:left w:val="single" w:color="auto" w:sz="8" w:space="0"/>
              <w:bottom w:val="single" w:color="auto" w:sz="8" w:space="0"/>
              <w:right w:val="single" w:color="auto" w:sz="4" w:space="0"/>
            </w:tcBorders>
            <w:noWrap w:val="0"/>
            <w:vAlign w:val="center"/>
          </w:tcPr>
          <w:p w14:paraId="5A230089">
            <w:pPr>
              <w:keepNext w:val="0"/>
              <w:keepLines w:val="0"/>
              <w:suppressLineNumbers w:val="0"/>
              <w:spacing w:before="0" w:beforeAutospacing="0" w:after="0" w:afterAutospacing="0"/>
              <w:ind w:left="0" w:right="0"/>
              <w:rPr>
                <w:rFonts w:hint="default" w:ascii="宋体" w:hAnsi="宋体" w:cs="宋体"/>
                <w:color w:val="auto"/>
                <w:szCs w:val="21"/>
                <w:highlight w:val="none"/>
              </w:rPr>
            </w:pPr>
            <w:r>
              <w:rPr>
                <w:rFonts w:hint="eastAsia" w:ascii="宋体" w:hAnsi="宋体" w:cs="宋体"/>
                <w:color w:val="auto"/>
                <w:szCs w:val="21"/>
                <w:highlight w:val="none"/>
              </w:rPr>
              <w:t> </w:t>
            </w:r>
          </w:p>
        </w:tc>
        <w:tc>
          <w:tcPr>
            <w:tcW w:w="1297" w:type="dxa"/>
            <w:tcBorders>
              <w:top w:val="single" w:color="auto" w:sz="8" w:space="0"/>
              <w:left w:val="single" w:color="auto" w:sz="4" w:space="0"/>
              <w:bottom w:val="single" w:color="auto" w:sz="8" w:space="0"/>
              <w:right w:val="single" w:color="auto" w:sz="8" w:space="0"/>
            </w:tcBorders>
            <w:noWrap w:val="0"/>
            <w:vAlign w:val="center"/>
          </w:tcPr>
          <w:p w14:paraId="340BB2D2">
            <w:pPr>
              <w:keepNext w:val="0"/>
              <w:keepLines w:val="0"/>
              <w:suppressLineNumbers w:val="0"/>
              <w:spacing w:before="0" w:beforeAutospacing="0" w:after="0" w:afterAutospacing="0"/>
              <w:ind w:left="0" w:right="0"/>
              <w:rPr>
                <w:rFonts w:hint="default" w:ascii="宋体" w:hAnsi="宋体" w:cs="宋体"/>
                <w:color w:val="auto"/>
                <w:szCs w:val="21"/>
                <w:highlight w:val="none"/>
              </w:rPr>
            </w:pPr>
          </w:p>
        </w:tc>
      </w:tr>
      <w:tr w14:paraId="766AB01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18" w:hRule="atLeast"/>
          <w:jc w:val="center"/>
        </w:trPr>
        <w:tc>
          <w:tcPr>
            <w:tcW w:w="592" w:type="dxa"/>
            <w:tcBorders>
              <w:top w:val="single" w:color="auto" w:sz="8" w:space="0"/>
              <w:left w:val="single" w:color="auto" w:sz="8" w:space="0"/>
              <w:bottom w:val="single" w:color="auto" w:sz="8" w:space="0"/>
              <w:right w:val="single" w:color="auto" w:sz="4" w:space="0"/>
            </w:tcBorders>
            <w:noWrap w:val="0"/>
            <w:vAlign w:val="center"/>
          </w:tcPr>
          <w:p w14:paraId="130FCB09">
            <w:pPr>
              <w:keepNext w:val="0"/>
              <w:keepLines w:val="0"/>
              <w:suppressLineNumbers w:val="0"/>
              <w:spacing w:before="0" w:beforeAutospacing="0" w:after="0" w:afterAutospacing="0"/>
              <w:ind w:left="0" w:right="0"/>
              <w:rPr>
                <w:rFonts w:hint="default" w:ascii="宋体" w:hAnsi="宋体" w:cs="宋体"/>
                <w:color w:val="auto"/>
                <w:szCs w:val="21"/>
                <w:highlight w:val="none"/>
              </w:rPr>
            </w:pPr>
          </w:p>
        </w:tc>
        <w:tc>
          <w:tcPr>
            <w:tcW w:w="2705" w:type="dxa"/>
            <w:gridSpan w:val="2"/>
            <w:tcBorders>
              <w:top w:val="single" w:color="auto" w:sz="8" w:space="0"/>
              <w:left w:val="single" w:color="auto" w:sz="4" w:space="0"/>
              <w:bottom w:val="single" w:color="auto" w:sz="8" w:space="0"/>
              <w:right w:val="single" w:color="auto" w:sz="8" w:space="0"/>
            </w:tcBorders>
            <w:noWrap w:val="0"/>
            <w:vAlign w:val="center"/>
          </w:tcPr>
          <w:p w14:paraId="28A40741">
            <w:pPr>
              <w:keepNext w:val="0"/>
              <w:keepLines w:val="0"/>
              <w:suppressLineNumbers w:val="0"/>
              <w:spacing w:before="0" w:beforeAutospacing="0" w:after="0" w:afterAutospacing="0"/>
              <w:ind w:left="0" w:right="0"/>
              <w:rPr>
                <w:rFonts w:hint="default" w:ascii="宋体" w:hAnsi="宋体" w:cs="宋体"/>
                <w:color w:val="auto"/>
                <w:szCs w:val="21"/>
                <w:highlight w:val="none"/>
              </w:rPr>
            </w:pPr>
            <w:r>
              <w:rPr>
                <w:rFonts w:hint="eastAsia" w:ascii="宋体" w:hAnsi="宋体" w:cs="宋体"/>
                <w:color w:val="auto"/>
                <w:szCs w:val="21"/>
                <w:highlight w:val="none"/>
              </w:rPr>
              <w:t> </w:t>
            </w:r>
          </w:p>
        </w:tc>
        <w:tc>
          <w:tcPr>
            <w:tcW w:w="3100" w:type="dxa"/>
            <w:gridSpan w:val="2"/>
            <w:tcBorders>
              <w:top w:val="single" w:color="auto" w:sz="8" w:space="0"/>
              <w:left w:val="single" w:color="auto" w:sz="8" w:space="0"/>
              <w:bottom w:val="single" w:color="auto" w:sz="8" w:space="0"/>
              <w:right w:val="single" w:color="auto" w:sz="8" w:space="0"/>
            </w:tcBorders>
            <w:noWrap w:val="0"/>
            <w:vAlign w:val="center"/>
          </w:tcPr>
          <w:p w14:paraId="4D0776B7">
            <w:pPr>
              <w:keepNext w:val="0"/>
              <w:keepLines w:val="0"/>
              <w:suppressLineNumbers w:val="0"/>
              <w:spacing w:before="0" w:beforeAutospacing="0" w:after="0" w:afterAutospacing="0"/>
              <w:ind w:left="0" w:right="0"/>
              <w:rPr>
                <w:rFonts w:hint="default" w:ascii="宋体" w:hAnsi="宋体" w:cs="宋体"/>
                <w:color w:val="auto"/>
                <w:szCs w:val="21"/>
                <w:highlight w:val="none"/>
              </w:rPr>
            </w:pPr>
            <w:r>
              <w:rPr>
                <w:rFonts w:hint="eastAsia" w:ascii="宋体" w:hAnsi="宋体" w:cs="宋体"/>
                <w:color w:val="auto"/>
                <w:szCs w:val="21"/>
                <w:highlight w:val="none"/>
              </w:rPr>
              <w:t> </w:t>
            </w:r>
          </w:p>
        </w:tc>
        <w:tc>
          <w:tcPr>
            <w:tcW w:w="860" w:type="dxa"/>
            <w:gridSpan w:val="2"/>
            <w:tcBorders>
              <w:top w:val="single" w:color="auto" w:sz="8" w:space="0"/>
              <w:left w:val="single" w:color="auto" w:sz="8" w:space="0"/>
              <w:bottom w:val="single" w:color="auto" w:sz="8" w:space="0"/>
              <w:right w:val="single" w:color="auto" w:sz="8" w:space="0"/>
            </w:tcBorders>
            <w:noWrap w:val="0"/>
            <w:vAlign w:val="center"/>
          </w:tcPr>
          <w:p w14:paraId="4C5A6084">
            <w:pPr>
              <w:keepNext w:val="0"/>
              <w:keepLines w:val="0"/>
              <w:suppressLineNumbers w:val="0"/>
              <w:spacing w:before="0" w:beforeAutospacing="0" w:after="0" w:afterAutospacing="0"/>
              <w:ind w:left="0" w:right="0"/>
              <w:rPr>
                <w:rFonts w:hint="default" w:ascii="宋体" w:hAnsi="宋体" w:cs="宋体"/>
                <w:color w:val="auto"/>
                <w:szCs w:val="21"/>
                <w:highlight w:val="none"/>
              </w:rPr>
            </w:pPr>
            <w:r>
              <w:rPr>
                <w:rFonts w:hint="eastAsia" w:ascii="宋体" w:hAnsi="宋体" w:cs="宋体"/>
                <w:color w:val="auto"/>
                <w:szCs w:val="21"/>
                <w:highlight w:val="none"/>
              </w:rPr>
              <w:t> </w:t>
            </w:r>
          </w:p>
        </w:tc>
        <w:tc>
          <w:tcPr>
            <w:tcW w:w="893" w:type="dxa"/>
            <w:tcBorders>
              <w:top w:val="single" w:color="auto" w:sz="8" w:space="0"/>
              <w:left w:val="single" w:color="auto" w:sz="8" w:space="0"/>
              <w:bottom w:val="single" w:color="auto" w:sz="8" w:space="0"/>
              <w:right w:val="single" w:color="auto" w:sz="4" w:space="0"/>
            </w:tcBorders>
            <w:noWrap w:val="0"/>
            <w:vAlign w:val="center"/>
          </w:tcPr>
          <w:p w14:paraId="53D243AA">
            <w:pPr>
              <w:keepNext w:val="0"/>
              <w:keepLines w:val="0"/>
              <w:suppressLineNumbers w:val="0"/>
              <w:spacing w:before="0" w:beforeAutospacing="0" w:after="0" w:afterAutospacing="0"/>
              <w:ind w:left="0" w:right="0"/>
              <w:rPr>
                <w:rFonts w:hint="default" w:ascii="宋体" w:hAnsi="宋体" w:cs="宋体"/>
                <w:color w:val="auto"/>
                <w:szCs w:val="21"/>
                <w:highlight w:val="none"/>
              </w:rPr>
            </w:pPr>
            <w:r>
              <w:rPr>
                <w:rFonts w:hint="eastAsia" w:ascii="宋体" w:hAnsi="宋体" w:cs="宋体"/>
                <w:color w:val="auto"/>
                <w:szCs w:val="21"/>
                <w:highlight w:val="none"/>
              </w:rPr>
              <w:t> </w:t>
            </w:r>
          </w:p>
        </w:tc>
        <w:tc>
          <w:tcPr>
            <w:tcW w:w="1297" w:type="dxa"/>
            <w:tcBorders>
              <w:top w:val="single" w:color="auto" w:sz="8" w:space="0"/>
              <w:left w:val="single" w:color="auto" w:sz="4" w:space="0"/>
              <w:bottom w:val="single" w:color="auto" w:sz="8" w:space="0"/>
              <w:right w:val="single" w:color="auto" w:sz="8" w:space="0"/>
            </w:tcBorders>
            <w:noWrap w:val="0"/>
            <w:vAlign w:val="center"/>
          </w:tcPr>
          <w:p w14:paraId="0AF27A55">
            <w:pPr>
              <w:keepNext w:val="0"/>
              <w:keepLines w:val="0"/>
              <w:suppressLineNumbers w:val="0"/>
              <w:spacing w:before="0" w:beforeAutospacing="0" w:after="0" w:afterAutospacing="0"/>
              <w:ind w:left="0" w:right="0"/>
              <w:rPr>
                <w:rFonts w:hint="default" w:ascii="宋体" w:hAnsi="宋体" w:cs="宋体"/>
                <w:color w:val="auto"/>
                <w:szCs w:val="21"/>
                <w:highlight w:val="none"/>
              </w:rPr>
            </w:pPr>
          </w:p>
        </w:tc>
      </w:tr>
      <w:tr w14:paraId="4E9B3EF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18" w:hRule="atLeast"/>
          <w:jc w:val="center"/>
        </w:trPr>
        <w:tc>
          <w:tcPr>
            <w:tcW w:w="592" w:type="dxa"/>
            <w:tcBorders>
              <w:top w:val="single" w:color="auto" w:sz="8" w:space="0"/>
              <w:left w:val="single" w:color="auto" w:sz="8" w:space="0"/>
              <w:bottom w:val="single" w:color="auto" w:sz="8" w:space="0"/>
              <w:right w:val="single" w:color="auto" w:sz="4" w:space="0"/>
            </w:tcBorders>
            <w:noWrap w:val="0"/>
            <w:vAlign w:val="center"/>
          </w:tcPr>
          <w:p w14:paraId="5FE8F050">
            <w:pPr>
              <w:keepNext w:val="0"/>
              <w:keepLines w:val="0"/>
              <w:suppressLineNumbers w:val="0"/>
              <w:spacing w:before="0" w:beforeAutospacing="0" w:after="0" w:afterAutospacing="0"/>
              <w:ind w:left="0" w:right="0"/>
              <w:rPr>
                <w:rFonts w:hint="default" w:ascii="宋体" w:hAnsi="宋体" w:cs="宋体"/>
                <w:color w:val="auto"/>
                <w:szCs w:val="21"/>
                <w:highlight w:val="none"/>
              </w:rPr>
            </w:pPr>
          </w:p>
        </w:tc>
        <w:tc>
          <w:tcPr>
            <w:tcW w:w="2705" w:type="dxa"/>
            <w:gridSpan w:val="2"/>
            <w:tcBorders>
              <w:top w:val="single" w:color="auto" w:sz="8" w:space="0"/>
              <w:left w:val="single" w:color="auto" w:sz="4" w:space="0"/>
              <w:bottom w:val="single" w:color="auto" w:sz="8" w:space="0"/>
              <w:right w:val="single" w:color="auto" w:sz="8" w:space="0"/>
            </w:tcBorders>
            <w:noWrap w:val="0"/>
            <w:vAlign w:val="center"/>
          </w:tcPr>
          <w:p w14:paraId="7DA4EE18">
            <w:pPr>
              <w:keepNext w:val="0"/>
              <w:keepLines w:val="0"/>
              <w:suppressLineNumbers w:val="0"/>
              <w:spacing w:before="0" w:beforeAutospacing="0" w:after="0" w:afterAutospacing="0"/>
              <w:ind w:left="0" w:right="0"/>
              <w:rPr>
                <w:rFonts w:hint="default" w:ascii="宋体" w:hAnsi="宋体" w:cs="宋体"/>
                <w:color w:val="auto"/>
                <w:szCs w:val="21"/>
                <w:highlight w:val="none"/>
              </w:rPr>
            </w:pPr>
            <w:r>
              <w:rPr>
                <w:rFonts w:hint="eastAsia" w:ascii="宋体" w:hAnsi="宋体" w:cs="宋体"/>
                <w:color w:val="auto"/>
                <w:szCs w:val="21"/>
                <w:highlight w:val="none"/>
              </w:rPr>
              <w:t> </w:t>
            </w:r>
          </w:p>
        </w:tc>
        <w:tc>
          <w:tcPr>
            <w:tcW w:w="3100" w:type="dxa"/>
            <w:gridSpan w:val="2"/>
            <w:tcBorders>
              <w:top w:val="single" w:color="auto" w:sz="8" w:space="0"/>
              <w:left w:val="single" w:color="auto" w:sz="8" w:space="0"/>
              <w:bottom w:val="single" w:color="auto" w:sz="8" w:space="0"/>
              <w:right w:val="single" w:color="auto" w:sz="8" w:space="0"/>
            </w:tcBorders>
            <w:noWrap w:val="0"/>
            <w:vAlign w:val="center"/>
          </w:tcPr>
          <w:p w14:paraId="0E0EA259">
            <w:pPr>
              <w:keepNext w:val="0"/>
              <w:keepLines w:val="0"/>
              <w:suppressLineNumbers w:val="0"/>
              <w:spacing w:before="0" w:beforeAutospacing="0" w:after="0" w:afterAutospacing="0"/>
              <w:ind w:left="0" w:right="0"/>
              <w:rPr>
                <w:rFonts w:hint="default" w:ascii="宋体" w:hAnsi="宋体" w:cs="宋体"/>
                <w:color w:val="auto"/>
                <w:szCs w:val="21"/>
                <w:highlight w:val="none"/>
              </w:rPr>
            </w:pPr>
            <w:r>
              <w:rPr>
                <w:rFonts w:hint="eastAsia" w:ascii="宋体" w:hAnsi="宋体" w:cs="宋体"/>
                <w:color w:val="auto"/>
                <w:szCs w:val="21"/>
                <w:highlight w:val="none"/>
              </w:rPr>
              <w:t> </w:t>
            </w:r>
          </w:p>
        </w:tc>
        <w:tc>
          <w:tcPr>
            <w:tcW w:w="860" w:type="dxa"/>
            <w:gridSpan w:val="2"/>
            <w:tcBorders>
              <w:top w:val="single" w:color="auto" w:sz="8" w:space="0"/>
              <w:left w:val="single" w:color="auto" w:sz="8" w:space="0"/>
              <w:bottom w:val="single" w:color="auto" w:sz="8" w:space="0"/>
              <w:right w:val="single" w:color="auto" w:sz="8" w:space="0"/>
            </w:tcBorders>
            <w:noWrap w:val="0"/>
            <w:vAlign w:val="center"/>
          </w:tcPr>
          <w:p w14:paraId="3AAE6C30">
            <w:pPr>
              <w:keepNext w:val="0"/>
              <w:keepLines w:val="0"/>
              <w:suppressLineNumbers w:val="0"/>
              <w:spacing w:before="0" w:beforeAutospacing="0" w:after="0" w:afterAutospacing="0"/>
              <w:ind w:left="0" w:right="0"/>
              <w:rPr>
                <w:rFonts w:hint="default" w:ascii="宋体" w:hAnsi="宋体" w:cs="宋体"/>
                <w:color w:val="auto"/>
                <w:szCs w:val="21"/>
                <w:highlight w:val="none"/>
              </w:rPr>
            </w:pPr>
            <w:r>
              <w:rPr>
                <w:rFonts w:hint="eastAsia" w:ascii="宋体" w:hAnsi="宋体" w:cs="宋体"/>
                <w:color w:val="auto"/>
                <w:szCs w:val="21"/>
                <w:highlight w:val="none"/>
              </w:rPr>
              <w:t> </w:t>
            </w:r>
          </w:p>
        </w:tc>
        <w:tc>
          <w:tcPr>
            <w:tcW w:w="893" w:type="dxa"/>
            <w:tcBorders>
              <w:top w:val="single" w:color="auto" w:sz="8" w:space="0"/>
              <w:left w:val="single" w:color="auto" w:sz="8" w:space="0"/>
              <w:bottom w:val="single" w:color="auto" w:sz="8" w:space="0"/>
              <w:right w:val="single" w:color="auto" w:sz="4" w:space="0"/>
            </w:tcBorders>
            <w:noWrap w:val="0"/>
            <w:vAlign w:val="center"/>
          </w:tcPr>
          <w:p w14:paraId="73F062E1">
            <w:pPr>
              <w:keepNext w:val="0"/>
              <w:keepLines w:val="0"/>
              <w:suppressLineNumbers w:val="0"/>
              <w:spacing w:before="0" w:beforeAutospacing="0" w:after="0" w:afterAutospacing="0"/>
              <w:ind w:left="0" w:right="0"/>
              <w:rPr>
                <w:rFonts w:hint="default" w:ascii="宋体" w:hAnsi="宋体" w:cs="宋体"/>
                <w:color w:val="auto"/>
                <w:szCs w:val="21"/>
                <w:highlight w:val="none"/>
              </w:rPr>
            </w:pPr>
            <w:r>
              <w:rPr>
                <w:rFonts w:hint="eastAsia" w:ascii="宋体" w:hAnsi="宋体" w:cs="宋体"/>
                <w:color w:val="auto"/>
                <w:szCs w:val="21"/>
                <w:highlight w:val="none"/>
              </w:rPr>
              <w:t> </w:t>
            </w:r>
          </w:p>
        </w:tc>
        <w:tc>
          <w:tcPr>
            <w:tcW w:w="1297" w:type="dxa"/>
            <w:tcBorders>
              <w:top w:val="single" w:color="auto" w:sz="8" w:space="0"/>
              <w:left w:val="single" w:color="auto" w:sz="4" w:space="0"/>
              <w:bottom w:val="single" w:color="auto" w:sz="8" w:space="0"/>
              <w:right w:val="single" w:color="auto" w:sz="8" w:space="0"/>
            </w:tcBorders>
            <w:noWrap w:val="0"/>
            <w:vAlign w:val="center"/>
          </w:tcPr>
          <w:p w14:paraId="05A25DEB">
            <w:pPr>
              <w:keepNext w:val="0"/>
              <w:keepLines w:val="0"/>
              <w:suppressLineNumbers w:val="0"/>
              <w:spacing w:before="0" w:beforeAutospacing="0" w:after="0" w:afterAutospacing="0"/>
              <w:ind w:left="0" w:right="0"/>
              <w:rPr>
                <w:rFonts w:hint="default" w:ascii="宋体" w:hAnsi="宋体" w:cs="宋体"/>
                <w:color w:val="auto"/>
                <w:szCs w:val="21"/>
                <w:highlight w:val="none"/>
              </w:rPr>
            </w:pPr>
          </w:p>
        </w:tc>
      </w:tr>
      <w:tr w14:paraId="4DF5E76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18" w:hRule="atLeast"/>
          <w:jc w:val="center"/>
        </w:trPr>
        <w:tc>
          <w:tcPr>
            <w:tcW w:w="592" w:type="dxa"/>
            <w:tcBorders>
              <w:top w:val="single" w:color="auto" w:sz="8" w:space="0"/>
              <w:left w:val="single" w:color="auto" w:sz="8" w:space="0"/>
              <w:bottom w:val="single" w:color="auto" w:sz="8" w:space="0"/>
              <w:right w:val="single" w:color="auto" w:sz="4" w:space="0"/>
            </w:tcBorders>
            <w:noWrap w:val="0"/>
            <w:vAlign w:val="center"/>
          </w:tcPr>
          <w:p w14:paraId="26EDE605">
            <w:pPr>
              <w:keepNext w:val="0"/>
              <w:keepLines w:val="0"/>
              <w:suppressLineNumbers w:val="0"/>
              <w:spacing w:before="0" w:beforeAutospacing="0" w:after="0" w:afterAutospacing="0"/>
              <w:ind w:left="0" w:right="0"/>
              <w:rPr>
                <w:rFonts w:hint="default" w:ascii="宋体" w:hAnsi="宋体" w:cs="宋体"/>
                <w:color w:val="auto"/>
                <w:szCs w:val="21"/>
                <w:highlight w:val="none"/>
              </w:rPr>
            </w:pPr>
          </w:p>
        </w:tc>
        <w:tc>
          <w:tcPr>
            <w:tcW w:w="2705" w:type="dxa"/>
            <w:gridSpan w:val="2"/>
            <w:tcBorders>
              <w:top w:val="single" w:color="auto" w:sz="8" w:space="0"/>
              <w:left w:val="single" w:color="auto" w:sz="4" w:space="0"/>
              <w:bottom w:val="single" w:color="auto" w:sz="8" w:space="0"/>
              <w:right w:val="single" w:color="auto" w:sz="8" w:space="0"/>
            </w:tcBorders>
            <w:noWrap w:val="0"/>
            <w:vAlign w:val="center"/>
          </w:tcPr>
          <w:p w14:paraId="011FCFF4">
            <w:pPr>
              <w:keepNext w:val="0"/>
              <w:keepLines w:val="0"/>
              <w:suppressLineNumbers w:val="0"/>
              <w:spacing w:before="0" w:beforeAutospacing="0" w:after="0" w:afterAutospacing="0"/>
              <w:ind w:left="0" w:right="0"/>
              <w:rPr>
                <w:rFonts w:hint="default" w:ascii="宋体" w:hAnsi="宋体" w:cs="宋体"/>
                <w:color w:val="auto"/>
                <w:szCs w:val="21"/>
                <w:highlight w:val="none"/>
              </w:rPr>
            </w:pPr>
            <w:r>
              <w:rPr>
                <w:rFonts w:hint="eastAsia" w:ascii="宋体" w:hAnsi="宋体" w:cs="宋体"/>
                <w:color w:val="auto"/>
                <w:szCs w:val="21"/>
                <w:highlight w:val="none"/>
              </w:rPr>
              <w:t> </w:t>
            </w:r>
          </w:p>
        </w:tc>
        <w:tc>
          <w:tcPr>
            <w:tcW w:w="3100" w:type="dxa"/>
            <w:gridSpan w:val="2"/>
            <w:tcBorders>
              <w:top w:val="single" w:color="auto" w:sz="8" w:space="0"/>
              <w:left w:val="single" w:color="auto" w:sz="8" w:space="0"/>
              <w:bottom w:val="single" w:color="auto" w:sz="8" w:space="0"/>
              <w:right w:val="single" w:color="auto" w:sz="8" w:space="0"/>
            </w:tcBorders>
            <w:noWrap w:val="0"/>
            <w:vAlign w:val="center"/>
          </w:tcPr>
          <w:p w14:paraId="242A9911">
            <w:pPr>
              <w:keepNext w:val="0"/>
              <w:keepLines w:val="0"/>
              <w:suppressLineNumbers w:val="0"/>
              <w:spacing w:before="0" w:beforeAutospacing="0" w:after="0" w:afterAutospacing="0"/>
              <w:ind w:left="0" w:right="0"/>
              <w:rPr>
                <w:rFonts w:hint="default" w:ascii="宋体" w:hAnsi="宋体" w:cs="宋体"/>
                <w:color w:val="auto"/>
                <w:szCs w:val="21"/>
                <w:highlight w:val="none"/>
              </w:rPr>
            </w:pPr>
            <w:r>
              <w:rPr>
                <w:rFonts w:hint="eastAsia" w:ascii="宋体" w:hAnsi="宋体" w:cs="宋体"/>
                <w:color w:val="auto"/>
                <w:szCs w:val="21"/>
                <w:highlight w:val="none"/>
              </w:rPr>
              <w:t> </w:t>
            </w:r>
          </w:p>
        </w:tc>
        <w:tc>
          <w:tcPr>
            <w:tcW w:w="860" w:type="dxa"/>
            <w:gridSpan w:val="2"/>
            <w:tcBorders>
              <w:top w:val="single" w:color="auto" w:sz="8" w:space="0"/>
              <w:left w:val="single" w:color="auto" w:sz="8" w:space="0"/>
              <w:bottom w:val="single" w:color="auto" w:sz="8" w:space="0"/>
              <w:right w:val="single" w:color="auto" w:sz="8" w:space="0"/>
            </w:tcBorders>
            <w:noWrap w:val="0"/>
            <w:vAlign w:val="center"/>
          </w:tcPr>
          <w:p w14:paraId="61CC013A">
            <w:pPr>
              <w:keepNext w:val="0"/>
              <w:keepLines w:val="0"/>
              <w:suppressLineNumbers w:val="0"/>
              <w:spacing w:before="0" w:beforeAutospacing="0" w:after="0" w:afterAutospacing="0"/>
              <w:ind w:left="0" w:right="0"/>
              <w:rPr>
                <w:rFonts w:hint="default" w:ascii="宋体" w:hAnsi="宋体" w:cs="宋体"/>
                <w:color w:val="auto"/>
                <w:szCs w:val="21"/>
                <w:highlight w:val="none"/>
              </w:rPr>
            </w:pPr>
            <w:r>
              <w:rPr>
                <w:rFonts w:hint="eastAsia" w:ascii="宋体" w:hAnsi="宋体" w:cs="宋体"/>
                <w:color w:val="auto"/>
                <w:szCs w:val="21"/>
                <w:highlight w:val="none"/>
              </w:rPr>
              <w:t> </w:t>
            </w:r>
          </w:p>
        </w:tc>
        <w:tc>
          <w:tcPr>
            <w:tcW w:w="893" w:type="dxa"/>
            <w:tcBorders>
              <w:top w:val="single" w:color="auto" w:sz="8" w:space="0"/>
              <w:left w:val="single" w:color="auto" w:sz="8" w:space="0"/>
              <w:bottom w:val="single" w:color="auto" w:sz="8" w:space="0"/>
              <w:right w:val="single" w:color="auto" w:sz="4" w:space="0"/>
            </w:tcBorders>
            <w:noWrap w:val="0"/>
            <w:vAlign w:val="center"/>
          </w:tcPr>
          <w:p w14:paraId="4DF0208C">
            <w:pPr>
              <w:keepNext w:val="0"/>
              <w:keepLines w:val="0"/>
              <w:suppressLineNumbers w:val="0"/>
              <w:spacing w:before="0" w:beforeAutospacing="0" w:after="0" w:afterAutospacing="0"/>
              <w:ind w:left="0" w:right="0"/>
              <w:rPr>
                <w:rFonts w:hint="default" w:ascii="宋体" w:hAnsi="宋体" w:cs="宋体"/>
                <w:color w:val="auto"/>
                <w:szCs w:val="21"/>
                <w:highlight w:val="none"/>
              </w:rPr>
            </w:pPr>
            <w:r>
              <w:rPr>
                <w:rFonts w:hint="eastAsia" w:ascii="宋体" w:hAnsi="宋体" w:cs="宋体"/>
                <w:color w:val="auto"/>
                <w:szCs w:val="21"/>
                <w:highlight w:val="none"/>
              </w:rPr>
              <w:t> </w:t>
            </w:r>
          </w:p>
        </w:tc>
        <w:tc>
          <w:tcPr>
            <w:tcW w:w="1297" w:type="dxa"/>
            <w:tcBorders>
              <w:top w:val="single" w:color="auto" w:sz="8" w:space="0"/>
              <w:left w:val="single" w:color="auto" w:sz="4" w:space="0"/>
              <w:bottom w:val="single" w:color="auto" w:sz="8" w:space="0"/>
              <w:right w:val="single" w:color="auto" w:sz="8" w:space="0"/>
            </w:tcBorders>
            <w:noWrap w:val="0"/>
            <w:vAlign w:val="center"/>
          </w:tcPr>
          <w:p w14:paraId="418F1455">
            <w:pPr>
              <w:keepNext w:val="0"/>
              <w:keepLines w:val="0"/>
              <w:suppressLineNumbers w:val="0"/>
              <w:spacing w:before="0" w:beforeAutospacing="0" w:after="0" w:afterAutospacing="0"/>
              <w:ind w:left="0" w:right="0"/>
              <w:rPr>
                <w:rFonts w:hint="default" w:ascii="宋体" w:hAnsi="宋体" w:cs="宋体"/>
                <w:color w:val="auto"/>
                <w:szCs w:val="21"/>
                <w:highlight w:val="none"/>
              </w:rPr>
            </w:pPr>
          </w:p>
        </w:tc>
      </w:tr>
      <w:tr w14:paraId="7C0A9AE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18" w:hRule="atLeast"/>
          <w:jc w:val="center"/>
        </w:trPr>
        <w:tc>
          <w:tcPr>
            <w:tcW w:w="592" w:type="dxa"/>
            <w:tcBorders>
              <w:top w:val="single" w:color="auto" w:sz="8" w:space="0"/>
              <w:left w:val="single" w:color="auto" w:sz="8" w:space="0"/>
              <w:bottom w:val="single" w:color="auto" w:sz="8" w:space="0"/>
              <w:right w:val="single" w:color="auto" w:sz="4" w:space="0"/>
            </w:tcBorders>
            <w:noWrap w:val="0"/>
            <w:vAlign w:val="center"/>
          </w:tcPr>
          <w:p w14:paraId="34FFE70C">
            <w:pPr>
              <w:keepNext w:val="0"/>
              <w:keepLines w:val="0"/>
              <w:suppressLineNumbers w:val="0"/>
              <w:spacing w:before="0" w:beforeAutospacing="0" w:after="0" w:afterAutospacing="0"/>
              <w:ind w:left="0" w:right="0"/>
              <w:rPr>
                <w:rFonts w:hint="default" w:ascii="宋体" w:hAnsi="宋体" w:cs="宋体"/>
                <w:color w:val="auto"/>
                <w:szCs w:val="21"/>
                <w:highlight w:val="none"/>
              </w:rPr>
            </w:pPr>
          </w:p>
        </w:tc>
        <w:tc>
          <w:tcPr>
            <w:tcW w:w="2705" w:type="dxa"/>
            <w:gridSpan w:val="2"/>
            <w:tcBorders>
              <w:top w:val="single" w:color="auto" w:sz="8" w:space="0"/>
              <w:left w:val="single" w:color="auto" w:sz="4" w:space="0"/>
              <w:bottom w:val="single" w:color="auto" w:sz="8" w:space="0"/>
              <w:right w:val="single" w:color="auto" w:sz="8" w:space="0"/>
            </w:tcBorders>
            <w:noWrap w:val="0"/>
            <w:vAlign w:val="center"/>
          </w:tcPr>
          <w:p w14:paraId="1204C66A">
            <w:pPr>
              <w:keepNext w:val="0"/>
              <w:keepLines w:val="0"/>
              <w:suppressLineNumbers w:val="0"/>
              <w:spacing w:before="0" w:beforeAutospacing="0" w:after="0" w:afterAutospacing="0"/>
              <w:ind w:left="0" w:right="0"/>
              <w:rPr>
                <w:rFonts w:hint="default" w:ascii="宋体" w:hAnsi="宋体" w:cs="宋体"/>
                <w:color w:val="auto"/>
                <w:szCs w:val="21"/>
                <w:highlight w:val="none"/>
              </w:rPr>
            </w:pPr>
          </w:p>
        </w:tc>
        <w:tc>
          <w:tcPr>
            <w:tcW w:w="3100" w:type="dxa"/>
            <w:gridSpan w:val="2"/>
            <w:tcBorders>
              <w:top w:val="single" w:color="auto" w:sz="8" w:space="0"/>
              <w:left w:val="single" w:color="auto" w:sz="8" w:space="0"/>
              <w:bottom w:val="single" w:color="auto" w:sz="8" w:space="0"/>
              <w:right w:val="single" w:color="auto" w:sz="8" w:space="0"/>
            </w:tcBorders>
            <w:noWrap w:val="0"/>
            <w:vAlign w:val="center"/>
          </w:tcPr>
          <w:p w14:paraId="79EC88F0">
            <w:pPr>
              <w:keepNext w:val="0"/>
              <w:keepLines w:val="0"/>
              <w:suppressLineNumbers w:val="0"/>
              <w:spacing w:before="0" w:beforeAutospacing="0" w:after="0" w:afterAutospacing="0"/>
              <w:ind w:left="0" w:right="0"/>
              <w:rPr>
                <w:rFonts w:hint="default" w:ascii="宋体" w:hAnsi="宋体" w:cs="宋体"/>
                <w:color w:val="auto"/>
                <w:szCs w:val="21"/>
                <w:highlight w:val="none"/>
              </w:rPr>
            </w:pPr>
          </w:p>
        </w:tc>
        <w:tc>
          <w:tcPr>
            <w:tcW w:w="860" w:type="dxa"/>
            <w:gridSpan w:val="2"/>
            <w:tcBorders>
              <w:top w:val="single" w:color="auto" w:sz="8" w:space="0"/>
              <w:left w:val="single" w:color="auto" w:sz="8" w:space="0"/>
              <w:bottom w:val="single" w:color="auto" w:sz="8" w:space="0"/>
              <w:right w:val="single" w:color="auto" w:sz="8" w:space="0"/>
            </w:tcBorders>
            <w:noWrap w:val="0"/>
            <w:vAlign w:val="center"/>
          </w:tcPr>
          <w:p w14:paraId="669F4FE4">
            <w:pPr>
              <w:keepNext w:val="0"/>
              <w:keepLines w:val="0"/>
              <w:suppressLineNumbers w:val="0"/>
              <w:spacing w:before="0" w:beforeAutospacing="0" w:after="0" w:afterAutospacing="0"/>
              <w:ind w:left="0" w:right="0"/>
              <w:rPr>
                <w:rFonts w:hint="default" w:ascii="宋体" w:hAnsi="宋体" w:cs="宋体"/>
                <w:color w:val="auto"/>
                <w:szCs w:val="21"/>
                <w:highlight w:val="none"/>
              </w:rPr>
            </w:pPr>
          </w:p>
        </w:tc>
        <w:tc>
          <w:tcPr>
            <w:tcW w:w="893" w:type="dxa"/>
            <w:tcBorders>
              <w:top w:val="single" w:color="auto" w:sz="8" w:space="0"/>
              <w:left w:val="single" w:color="auto" w:sz="8" w:space="0"/>
              <w:bottom w:val="single" w:color="auto" w:sz="8" w:space="0"/>
              <w:right w:val="single" w:color="auto" w:sz="4" w:space="0"/>
            </w:tcBorders>
            <w:noWrap w:val="0"/>
            <w:vAlign w:val="center"/>
          </w:tcPr>
          <w:p w14:paraId="74D4EEDA">
            <w:pPr>
              <w:keepNext w:val="0"/>
              <w:keepLines w:val="0"/>
              <w:suppressLineNumbers w:val="0"/>
              <w:spacing w:before="0" w:beforeAutospacing="0" w:after="0" w:afterAutospacing="0"/>
              <w:ind w:left="0" w:right="0"/>
              <w:rPr>
                <w:rFonts w:hint="default" w:ascii="宋体" w:hAnsi="宋体" w:cs="宋体"/>
                <w:color w:val="auto"/>
                <w:szCs w:val="21"/>
                <w:highlight w:val="none"/>
              </w:rPr>
            </w:pPr>
          </w:p>
        </w:tc>
        <w:tc>
          <w:tcPr>
            <w:tcW w:w="1297" w:type="dxa"/>
            <w:tcBorders>
              <w:top w:val="single" w:color="auto" w:sz="8" w:space="0"/>
              <w:left w:val="single" w:color="auto" w:sz="4" w:space="0"/>
              <w:bottom w:val="single" w:color="auto" w:sz="8" w:space="0"/>
              <w:right w:val="single" w:color="auto" w:sz="8" w:space="0"/>
            </w:tcBorders>
            <w:noWrap w:val="0"/>
            <w:vAlign w:val="center"/>
          </w:tcPr>
          <w:p w14:paraId="3FE749DA">
            <w:pPr>
              <w:keepNext w:val="0"/>
              <w:keepLines w:val="0"/>
              <w:suppressLineNumbers w:val="0"/>
              <w:spacing w:before="0" w:beforeAutospacing="0" w:after="0" w:afterAutospacing="0"/>
              <w:ind w:left="0" w:right="0"/>
              <w:rPr>
                <w:rFonts w:hint="default" w:ascii="宋体" w:hAnsi="宋体" w:cs="宋体"/>
                <w:color w:val="auto"/>
                <w:szCs w:val="21"/>
                <w:highlight w:val="none"/>
              </w:rPr>
            </w:pPr>
          </w:p>
        </w:tc>
      </w:tr>
      <w:tr w14:paraId="4E0070E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18" w:hRule="atLeast"/>
          <w:jc w:val="center"/>
        </w:trPr>
        <w:tc>
          <w:tcPr>
            <w:tcW w:w="6397" w:type="dxa"/>
            <w:gridSpan w:val="5"/>
            <w:tcBorders>
              <w:top w:val="single" w:color="auto" w:sz="8" w:space="0"/>
              <w:left w:val="single" w:color="auto" w:sz="8" w:space="0"/>
              <w:bottom w:val="single" w:color="auto" w:sz="8" w:space="0"/>
              <w:right w:val="single" w:color="auto" w:sz="8" w:space="0"/>
            </w:tcBorders>
            <w:noWrap w:val="0"/>
            <w:vAlign w:val="center"/>
          </w:tcPr>
          <w:p w14:paraId="6899696F">
            <w:pPr>
              <w:keepNext w:val="0"/>
              <w:keepLines w:val="0"/>
              <w:suppressLineNumbers w:val="0"/>
              <w:spacing w:before="0" w:beforeAutospacing="0" w:after="0" w:afterAutospacing="0"/>
              <w:ind w:left="0" w:right="0"/>
              <w:rPr>
                <w:rFonts w:hint="default" w:ascii="宋体" w:hAnsi="宋体" w:cs="宋体"/>
                <w:color w:val="auto"/>
                <w:szCs w:val="21"/>
                <w:highlight w:val="none"/>
              </w:rPr>
            </w:pPr>
            <w:r>
              <w:rPr>
                <w:rFonts w:hint="eastAsia" w:ascii="宋体" w:hAnsi="宋体" w:cs="宋体"/>
                <w:color w:val="auto"/>
                <w:szCs w:val="21"/>
                <w:highlight w:val="none"/>
              </w:rPr>
              <w:t>合     计</w:t>
            </w:r>
          </w:p>
        </w:tc>
        <w:tc>
          <w:tcPr>
            <w:tcW w:w="860" w:type="dxa"/>
            <w:gridSpan w:val="2"/>
            <w:tcBorders>
              <w:top w:val="single" w:color="auto" w:sz="8" w:space="0"/>
              <w:left w:val="single" w:color="auto" w:sz="8" w:space="0"/>
              <w:bottom w:val="single" w:color="auto" w:sz="8" w:space="0"/>
              <w:right w:val="single" w:color="auto" w:sz="8" w:space="0"/>
            </w:tcBorders>
            <w:noWrap w:val="0"/>
            <w:vAlign w:val="center"/>
          </w:tcPr>
          <w:p w14:paraId="3CE37181">
            <w:pPr>
              <w:keepNext w:val="0"/>
              <w:keepLines w:val="0"/>
              <w:suppressLineNumbers w:val="0"/>
              <w:spacing w:before="0" w:beforeAutospacing="0" w:after="0" w:afterAutospacing="0"/>
              <w:ind w:left="0" w:right="0"/>
              <w:rPr>
                <w:rFonts w:hint="default" w:ascii="宋体" w:hAnsi="宋体" w:cs="宋体"/>
                <w:color w:val="auto"/>
                <w:szCs w:val="21"/>
                <w:highlight w:val="none"/>
              </w:rPr>
            </w:pPr>
          </w:p>
        </w:tc>
        <w:tc>
          <w:tcPr>
            <w:tcW w:w="893" w:type="dxa"/>
            <w:tcBorders>
              <w:top w:val="single" w:color="auto" w:sz="8" w:space="0"/>
              <w:left w:val="single" w:color="auto" w:sz="8" w:space="0"/>
              <w:bottom w:val="single" w:color="auto" w:sz="8" w:space="0"/>
              <w:right w:val="single" w:color="auto" w:sz="4" w:space="0"/>
            </w:tcBorders>
            <w:noWrap w:val="0"/>
            <w:vAlign w:val="center"/>
          </w:tcPr>
          <w:p w14:paraId="64B3CBE2">
            <w:pPr>
              <w:keepNext w:val="0"/>
              <w:keepLines w:val="0"/>
              <w:suppressLineNumbers w:val="0"/>
              <w:spacing w:before="0" w:beforeAutospacing="0" w:after="0" w:afterAutospacing="0"/>
              <w:ind w:left="0" w:right="0"/>
              <w:rPr>
                <w:rFonts w:hint="default" w:ascii="宋体" w:hAnsi="宋体" w:cs="宋体"/>
                <w:color w:val="auto"/>
                <w:szCs w:val="21"/>
                <w:highlight w:val="none"/>
              </w:rPr>
            </w:pPr>
          </w:p>
        </w:tc>
        <w:tc>
          <w:tcPr>
            <w:tcW w:w="1297" w:type="dxa"/>
            <w:tcBorders>
              <w:top w:val="single" w:color="auto" w:sz="8" w:space="0"/>
              <w:left w:val="single" w:color="auto" w:sz="4" w:space="0"/>
              <w:bottom w:val="single" w:color="auto" w:sz="8" w:space="0"/>
              <w:right w:val="single" w:color="auto" w:sz="8" w:space="0"/>
            </w:tcBorders>
            <w:noWrap w:val="0"/>
            <w:vAlign w:val="center"/>
          </w:tcPr>
          <w:p w14:paraId="24446ADD">
            <w:pPr>
              <w:keepNext w:val="0"/>
              <w:keepLines w:val="0"/>
              <w:suppressLineNumbers w:val="0"/>
              <w:spacing w:before="0" w:beforeAutospacing="0" w:after="0" w:afterAutospacing="0"/>
              <w:ind w:left="0" w:right="0"/>
              <w:rPr>
                <w:rFonts w:hint="default" w:ascii="宋体" w:hAnsi="宋体" w:cs="宋体"/>
                <w:color w:val="auto"/>
                <w:szCs w:val="21"/>
                <w:highlight w:val="none"/>
              </w:rPr>
            </w:pPr>
          </w:p>
        </w:tc>
      </w:tr>
      <w:tr w14:paraId="1CD6E73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18" w:hRule="atLeast"/>
          <w:jc w:val="center"/>
        </w:trPr>
        <w:tc>
          <w:tcPr>
            <w:tcW w:w="9447" w:type="dxa"/>
            <w:gridSpan w:val="9"/>
            <w:tcBorders>
              <w:top w:val="single" w:color="auto" w:sz="8" w:space="0"/>
              <w:left w:val="single" w:color="auto" w:sz="8" w:space="0"/>
              <w:bottom w:val="single" w:color="auto" w:sz="8" w:space="0"/>
              <w:right w:val="single" w:color="auto" w:sz="8" w:space="0"/>
            </w:tcBorders>
            <w:noWrap w:val="0"/>
            <w:vAlign w:val="center"/>
          </w:tcPr>
          <w:p w14:paraId="1D0B8263">
            <w:pPr>
              <w:keepNext w:val="0"/>
              <w:keepLines w:val="0"/>
              <w:suppressLineNumbers w:val="0"/>
              <w:spacing w:before="0" w:beforeAutospacing="0" w:after="0" w:afterAutospacing="0"/>
              <w:ind w:left="0" w:right="0"/>
              <w:rPr>
                <w:rFonts w:hint="default" w:ascii="宋体" w:hAnsi="宋体" w:cs="宋体"/>
                <w:color w:val="auto"/>
                <w:szCs w:val="21"/>
                <w:highlight w:val="none"/>
              </w:rPr>
            </w:pPr>
            <w:r>
              <w:rPr>
                <w:rFonts w:hint="eastAsia" w:ascii="宋体" w:hAnsi="宋体" w:cs="宋体"/>
                <w:color w:val="auto"/>
                <w:szCs w:val="21"/>
                <w:highlight w:val="none"/>
              </w:rPr>
              <w:t>合 计 大 写 金 额 ：人民币                             元</w:t>
            </w:r>
          </w:p>
        </w:tc>
      </w:tr>
      <w:tr w14:paraId="2831579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380" w:hRule="atLeast"/>
          <w:jc w:val="center"/>
        </w:trPr>
        <w:tc>
          <w:tcPr>
            <w:tcW w:w="1336" w:type="dxa"/>
            <w:gridSpan w:val="2"/>
            <w:tcBorders>
              <w:top w:val="single" w:color="auto" w:sz="8" w:space="0"/>
              <w:left w:val="single" w:color="auto" w:sz="8" w:space="0"/>
              <w:bottom w:val="single" w:color="auto" w:sz="8" w:space="0"/>
              <w:right w:val="single" w:color="auto" w:sz="8" w:space="0"/>
            </w:tcBorders>
            <w:noWrap w:val="0"/>
            <w:vAlign w:val="center"/>
          </w:tcPr>
          <w:p w14:paraId="3C995271">
            <w:pPr>
              <w:keepNext w:val="0"/>
              <w:keepLines w:val="0"/>
              <w:suppressLineNumbers w:val="0"/>
              <w:spacing w:before="0" w:beforeAutospacing="0" w:after="0" w:afterAutospacing="0"/>
              <w:ind w:left="0" w:right="0"/>
              <w:rPr>
                <w:rFonts w:hint="default" w:ascii="宋体" w:hAnsi="宋体" w:cs="宋体"/>
                <w:color w:val="auto"/>
                <w:szCs w:val="21"/>
                <w:highlight w:val="none"/>
              </w:rPr>
            </w:pPr>
            <w:r>
              <w:rPr>
                <w:rFonts w:hint="eastAsia" w:ascii="宋体" w:hAnsi="宋体" w:cs="宋体"/>
                <w:color w:val="auto"/>
                <w:szCs w:val="21"/>
                <w:highlight w:val="none"/>
              </w:rPr>
              <w:t>实际供货日期</w:t>
            </w:r>
          </w:p>
        </w:tc>
        <w:tc>
          <w:tcPr>
            <w:tcW w:w="3239" w:type="dxa"/>
            <w:gridSpan w:val="2"/>
            <w:tcBorders>
              <w:top w:val="single" w:color="auto" w:sz="8" w:space="0"/>
              <w:left w:val="single" w:color="auto" w:sz="8" w:space="0"/>
              <w:bottom w:val="single" w:color="auto" w:sz="8" w:space="0"/>
              <w:right w:val="single" w:color="auto" w:sz="8" w:space="0"/>
            </w:tcBorders>
            <w:noWrap w:val="0"/>
            <w:vAlign w:val="center"/>
          </w:tcPr>
          <w:p w14:paraId="71B4C05E">
            <w:pPr>
              <w:keepNext w:val="0"/>
              <w:keepLines w:val="0"/>
              <w:suppressLineNumbers w:val="0"/>
              <w:spacing w:before="0" w:beforeAutospacing="0" w:after="0" w:afterAutospacing="0"/>
              <w:ind w:left="0" w:right="0"/>
              <w:rPr>
                <w:rFonts w:hint="default" w:ascii="宋体" w:hAnsi="宋体" w:cs="宋体"/>
                <w:color w:val="auto"/>
                <w:szCs w:val="21"/>
                <w:highlight w:val="none"/>
              </w:rPr>
            </w:pPr>
          </w:p>
        </w:tc>
        <w:tc>
          <w:tcPr>
            <w:tcW w:w="1835" w:type="dxa"/>
            <w:gridSpan w:val="2"/>
            <w:tcBorders>
              <w:top w:val="single" w:color="auto" w:sz="8" w:space="0"/>
              <w:left w:val="single" w:color="auto" w:sz="8" w:space="0"/>
              <w:bottom w:val="single" w:color="auto" w:sz="8" w:space="0"/>
              <w:right w:val="single" w:color="auto" w:sz="8" w:space="0"/>
            </w:tcBorders>
            <w:noWrap w:val="0"/>
            <w:vAlign w:val="center"/>
          </w:tcPr>
          <w:p w14:paraId="198F5FE7">
            <w:pPr>
              <w:keepNext w:val="0"/>
              <w:keepLines w:val="0"/>
              <w:suppressLineNumbers w:val="0"/>
              <w:spacing w:before="0" w:beforeAutospacing="0" w:after="0" w:afterAutospacing="0"/>
              <w:ind w:left="0" w:right="0"/>
              <w:rPr>
                <w:rFonts w:hint="default" w:ascii="宋体" w:hAnsi="宋体" w:cs="宋体"/>
                <w:color w:val="auto"/>
                <w:szCs w:val="21"/>
                <w:highlight w:val="none"/>
              </w:rPr>
            </w:pPr>
            <w:r>
              <w:rPr>
                <w:rFonts w:hint="eastAsia" w:ascii="宋体" w:hAnsi="宋体" w:cs="宋体"/>
                <w:color w:val="auto"/>
                <w:szCs w:val="21"/>
                <w:highlight w:val="none"/>
              </w:rPr>
              <w:t>合同交货验收日期</w:t>
            </w:r>
          </w:p>
        </w:tc>
        <w:tc>
          <w:tcPr>
            <w:tcW w:w="3037" w:type="dxa"/>
            <w:gridSpan w:val="3"/>
            <w:tcBorders>
              <w:top w:val="single" w:color="auto" w:sz="8" w:space="0"/>
              <w:left w:val="single" w:color="auto" w:sz="8" w:space="0"/>
              <w:bottom w:val="single" w:color="auto" w:sz="8" w:space="0"/>
              <w:right w:val="single" w:color="auto" w:sz="8" w:space="0"/>
            </w:tcBorders>
            <w:noWrap w:val="0"/>
            <w:vAlign w:val="center"/>
          </w:tcPr>
          <w:p w14:paraId="36C03C43">
            <w:pPr>
              <w:keepNext w:val="0"/>
              <w:keepLines w:val="0"/>
              <w:suppressLineNumbers w:val="0"/>
              <w:spacing w:before="0" w:beforeAutospacing="0" w:after="0" w:afterAutospacing="0"/>
              <w:ind w:left="0" w:right="0"/>
              <w:rPr>
                <w:rFonts w:hint="default" w:ascii="宋体" w:hAnsi="宋体" w:cs="宋体"/>
                <w:color w:val="auto"/>
                <w:szCs w:val="21"/>
                <w:highlight w:val="none"/>
              </w:rPr>
            </w:pPr>
          </w:p>
        </w:tc>
      </w:tr>
      <w:tr w14:paraId="7856825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737" w:hRule="atLeast"/>
          <w:jc w:val="center"/>
        </w:trPr>
        <w:tc>
          <w:tcPr>
            <w:tcW w:w="1336" w:type="dxa"/>
            <w:gridSpan w:val="2"/>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4923BB55">
            <w:pPr>
              <w:keepNext w:val="0"/>
              <w:keepLines w:val="0"/>
              <w:suppressLineNumbers w:val="0"/>
              <w:spacing w:before="0" w:beforeAutospacing="0" w:after="0" w:afterAutospacing="0"/>
              <w:ind w:left="0" w:right="0"/>
              <w:rPr>
                <w:rFonts w:hint="default" w:ascii="宋体" w:hAnsi="宋体" w:cs="宋体"/>
                <w:color w:val="auto"/>
                <w:szCs w:val="21"/>
                <w:highlight w:val="none"/>
              </w:rPr>
            </w:pPr>
            <w:r>
              <w:rPr>
                <w:rFonts w:hint="eastAsia" w:ascii="宋体" w:hAnsi="宋体" w:cs="宋体"/>
                <w:color w:val="auto"/>
                <w:szCs w:val="21"/>
                <w:highlight w:val="none"/>
              </w:rPr>
              <w:t>验收具体内容</w:t>
            </w:r>
          </w:p>
        </w:tc>
        <w:tc>
          <w:tcPr>
            <w:tcW w:w="8111" w:type="dxa"/>
            <w:gridSpan w:val="7"/>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66DAF23E">
            <w:pPr>
              <w:keepNext w:val="0"/>
              <w:keepLines w:val="0"/>
              <w:suppressLineNumbers w:val="0"/>
              <w:spacing w:before="0" w:beforeAutospacing="0" w:after="0" w:afterAutospacing="0"/>
              <w:ind w:left="0" w:right="0"/>
              <w:rPr>
                <w:rFonts w:hint="default" w:ascii="宋体" w:hAnsi="宋体" w:cs="宋体"/>
                <w:color w:val="auto"/>
                <w:szCs w:val="21"/>
                <w:highlight w:val="none"/>
              </w:rPr>
            </w:pPr>
            <w:r>
              <w:rPr>
                <w:rFonts w:hint="eastAsia" w:ascii="宋体" w:hAnsi="宋体" w:cs="宋体"/>
                <w:color w:val="auto"/>
                <w:szCs w:val="21"/>
                <w:highlight w:val="none"/>
              </w:rPr>
              <w:t> (应按采购合同、采购文件、投标响应文件及验收方案等进行验收；并核对中标或成交供应商在安装调试等方面是否违反合同约定或服务规范要求、提供的质量保证证明材料是否齐全、应有的配件及附件是否达到合同约定等。可附件)</w:t>
            </w:r>
          </w:p>
        </w:tc>
      </w:tr>
      <w:tr w14:paraId="3721986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675" w:hRule="atLeast"/>
          <w:jc w:val="center"/>
        </w:trPr>
        <w:tc>
          <w:tcPr>
            <w:tcW w:w="1336" w:type="dxa"/>
            <w:gridSpan w:val="2"/>
            <w:vMerge w:val="restart"/>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53A24176">
            <w:pPr>
              <w:keepNext w:val="0"/>
              <w:keepLines w:val="0"/>
              <w:suppressLineNumbers w:val="0"/>
              <w:spacing w:before="0" w:beforeAutospacing="0" w:after="0" w:afterAutospacing="0"/>
              <w:ind w:left="0" w:right="0"/>
              <w:rPr>
                <w:rFonts w:hint="default" w:ascii="宋体" w:hAnsi="宋体" w:cs="宋体"/>
                <w:color w:val="auto"/>
                <w:szCs w:val="21"/>
                <w:highlight w:val="none"/>
              </w:rPr>
            </w:pPr>
            <w:r>
              <w:rPr>
                <w:rFonts w:hint="eastAsia" w:ascii="宋体" w:hAnsi="宋体" w:cs="宋体"/>
                <w:color w:val="auto"/>
                <w:szCs w:val="21"/>
                <w:highlight w:val="none"/>
              </w:rPr>
              <w:t>验收小组意见</w:t>
            </w:r>
          </w:p>
        </w:tc>
        <w:tc>
          <w:tcPr>
            <w:tcW w:w="8111" w:type="dxa"/>
            <w:gridSpan w:val="7"/>
            <w:tcBorders>
              <w:top w:val="single" w:color="auto" w:sz="8" w:space="0"/>
              <w:left w:val="single" w:color="auto" w:sz="8" w:space="0"/>
              <w:bottom w:val="single" w:color="auto" w:sz="4" w:space="0"/>
              <w:right w:val="single" w:color="auto" w:sz="8" w:space="0"/>
            </w:tcBorders>
            <w:noWrap w:val="0"/>
            <w:vAlign w:val="center"/>
          </w:tcPr>
          <w:p w14:paraId="64ADDFF6">
            <w:pPr>
              <w:keepNext w:val="0"/>
              <w:keepLines w:val="0"/>
              <w:suppressLineNumbers w:val="0"/>
              <w:spacing w:before="0" w:beforeAutospacing="0" w:after="0" w:afterAutospacing="0"/>
              <w:ind w:left="0" w:right="0"/>
              <w:rPr>
                <w:rFonts w:hint="default" w:ascii="宋体" w:hAnsi="宋体" w:cs="宋体"/>
                <w:color w:val="auto"/>
                <w:szCs w:val="21"/>
                <w:highlight w:val="none"/>
              </w:rPr>
            </w:pPr>
            <w:r>
              <w:rPr>
                <w:rFonts w:hint="eastAsia" w:ascii="宋体" w:hAnsi="宋体" w:cs="宋体"/>
                <w:color w:val="auto"/>
                <w:szCs w:val="21"/>
                <w:highlight w:val="none"/>
              </w:rPr>
              <w:t>验收结论性意见：</w:t>
            </w:r>
          </w:p>
          <w:p w14:paraId="294F2943">
            <w:pPr>
              <w:keepNext w:val="0"/>
              <w:keepLines w:val="0"/>
              <w:suppressLineNumbers w:val="0"/>
              <w:spacing w:before="0" w:beforeAutospacing="0" w:after="0" w:afterAutospacing="0"/>
              <w:ind w:left="0" w:right="0"/>
              <w:rPr>
                <w:rFonts w:hint="eastAsia" w:ascii="宋体" w:hAnsi="宋体" w:cs="宋体"/>
                <w:color w:val="auto"/>
                <w:szCs w:val="21"/>
                <w:highlight w:val="none"/>
              </w:rPr>
            </w:pPr>
          </w:p>
          <w:p w14:paraId="11B82907">
            <w:pPr>
              <w:keepNext w:val="0"/>
              <w:keepLines w:val="0"/>
              <w:suppressLineNumbers w:val="0"/>
              <w:spacing w:before="0" w:beforeAutospacing="0" w:after="0" w:afterAutospacing="0"/>
              <w:ind w:left="0" w:right="0"/>
              <w:rPr>
                <w:rFonts w:hint="default" w:ascii="宋体" w:hAnsi="宋体" w:cs="宋体"/>
                <w:color w:val="auto"/>
                <w:szCs w:val="21"/>
                <w:highlight w:val="none"/>
              </w:rPr>
            </w:pPr>
          </w:p>
        </w:tc>
      </w:tr>
      <w:tr w14:paraId="59DA693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858" w:hRule="atLeast"/>
          <w:jc w:val="center"/>
        </w:trPr>
        <w:tc>
          <w:tcPr>
            <w:tcW w:w="600" w:type="dxa"/>
            <w:gridSpan w:val="2"/>
            <w:vMerge w:val="continue"/>
            <w:tcBorders>
              <w:top w:val="single" w:color="auto" w:sz="8" w:space="0"/>
              <w:left w:val="single" w:color="auto" w:sz="8" w:space="0"/>
              <w:bottom w:val="single" w:color="auto" w:sz="8" w:space="0"/>
              <w:right w:val="single" w:color="auto" w:sz="8" w:space="0"/>
            </w:tcBorders>
            <w:noWrap w:val="0"/>
            <w:vAlign w:val="center"/>
          </w:tcPr>
          <w:p w14:paraId="29FB7D55">
            <w:pPr>
              <w:keepNext w:val="0"/>
              <w:keepLines w:val="0"/>
              <w:widowControl/>
              <w:suppressLineNumbers w:val="0"/>
              <w:spacing w:before="0" w:beforeAutospacing="0" w:after="0" w:afterAutospacing="0"/>
              <w:ind w:left="0" w:right="0"/>
              <w:jc w:val="left"/>
              <w:rPr>
                <w:rFonts w:hint="default" w:ascii="宋体" w:hAnsi="宋体" w:cs="宋体"/>
                <w:color w:val="auto"/>
                <w:szCs w:val="21"/>
                <w:highlight w:val="none"/>
              </w:rPr>
            </w:pPr>
          </w:p>
        </w:tc>
        <w:tc>
          <w:tcPr>
            <w:tcW w:w="8111" w:type="dxa"/>
            <w:gridSpan w:val="7"/>
            <w:tcBorders>
              <w:top w:val="single" w:color="auto" w:sz="4" w:space="0"/>
              <w:left w:val="single" w:color="auto" w:sz="8" w:space="0"/>
              <w:bottom w:val="single" w:color="auto" w:sz="8" w:space="0"/>
              <w:right w:val="single" w:color="auto" w:sz="8" w:space="0"/>
            </w:tcBorders>
            <w:noWrap w:val="0"/>
            <w:vAlign w:val="center"/>
          </w:tcPr>
          <w:p w14:paraId="6207F790">
            <w:pPr>
              <w:keepNext w:val="0"/>
              <w:keepLines w:val="0"/>
              <w:suppressLineNumbers w:val="0"/>
              <w:spacing w:before="0" w:beforeAutospacing="0" w:after="0" w:afterAutospacing="0"/>
              <w:ind w:left="0" w:right="0"/>
              <w:rPr>
                <w:rFonts w:hint="default" w:ascii="宋体" w:hAnsi="宋体" w:cs="宋体"/>
                <w:color w:val="auto"/>
                <w:szCs w:val="21"/>
                <w:highlight w:val="none"/>
              </w:rPr>
            </w:pPr>
            <w:r>
              <w:rPr>
                <w:rFonts w:hint="eastAsia" w:ascii="宋体" w:hAnsi="宋体" w:cs="宋体"/>
                <w:color w:val="auto"/>
                <w:szCs w:val="21"/>
                <w:highlight w:val="none"/>
              </w:rPr>
              <w:t>有异议的意见和说明理由：</w:t>
            </w:r>
          </w:p>
          <w:p w14:paraId="4AF7F153">
            <w:pPr>
              <w:keepNext w:val="0"/>
              <w:keepLines w:val="0"/>
              <w:suppressLineNumbers w:val="0"/>
              <w:spacing w:before="0" w:beforeAutospacing="0" w:after="0" w:afterAutospacing="0"/>
              <w:ind w:left="0" w:right="0"/>
              <w:rPr>
                <w:rFonts w:hint="eastAsia" w:ascii="宋体" w:hAnsi="宋体" w:cs="宋体"/>
                <w:color w:val="auto"/>
                <w:szCs w:val="21"/>
                <w:highlight w:val="none"/>
              </w:rPr>
            </w:pPr>
          </w:p>
          <w:p w14:paraId="46735EEF">
            <w:pPr>
              <w:keepNext w:val="0"/>
              <w:keepLines w:val="0"/>
              <w:suppressLineNumbers w:val="0"/>
              <w:spacing w:before="0" w:beforeAutospacing="0" w:after="0" w:afterAutospacing="0"/>
              <w:ind w:left="0" w:right="0"/>
              <w:rPr>
                <w:rFonts w:hint="default" w:ascii="宋体" w:hAnsi="宋体" w:cs="宋体"/>
                <w:color w:val="auto"/>
                <w:szCs w:val="21"/>
                <w:highlight w:val="none"/>
              </w:rPr>
            </w:pPr>
          </w:p>
        </w:tc>
      </w:tr>
      <w:tr w14:paraId="085A562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422" w:hRule="atLeast"/>
          <w:jc w:val="center"/>
        </w:trPr>
        <w:tc>
          <w:tcPr>
            <w:tcW w:w="9447" w:type="dxa"/>
            <w:gridSpan w:val="9"/>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21C3B532">
            <w:pPr>
              <w:keepNext w:val="0"/>
              <w:keepLines w:val="0"/>
              <w:suppressLineNumbers w:val="0"/>
              <w:spacing w:before="0" w:beforeAutospacing="0" w:after="0" w:afterAutospacing="0"/>
              <w:ind w:left="0" w:right="0"/>
              <w:rPr>
                <w:rFonts w:hint="default" w:ascii="宋体" w:hAnsi="宋体" w:cs="宋体"/>
                <w:color w:val="auto"/>
                <w:szCs w:val="21"/>
                <w:highlight w:val="none"/>
              </w:rPr>
            </w:pPr>
            <w:r>
              <w:rPr>
                <w:rFonts w:hint="eastAsia" w:ascii="宋体" w:hAnsi="宋体" w:cs="宋体"/>
                <w:color w:val="auto"/>
                <w:szCs w:val="21"/>
                <w:highlight w:val="none"/>
              </w:rPr>
              <w:t>验收小组成员签字：</w:t>
            </w:r>
          </w:p>
        </w:tc>
      </w:tr>
      <w:tr w14:paraId="578F990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650" w:hRule="atLeast"/>
          <w:jc w:val="center"/>
        </w:trPr>
        <w:tc>
          <w:tcPr>
            <w:tcW w:w="9447" w:type="dxa"/>
            <w:gridSpan w:val="9"/>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05E23914">
            <w:pPr>
              <w:keepNext w:val="0"/>
              <w:keepLines w:val="0"/>
              <w:suppressLineNumbers w:val="0"/>
              <w:spacing w:before="0" w:beforeAutospacing="0" w:after="0" w:afterAutospacing="0"/>
              <w:ind w:left="0" w:right="0"/>
              <w:rPr>
                <w:rFonts w:hint="default" w:ascii="宋体" w:hAnsi="宋体" w:cs="宋体"/>
                <w:color w:val="auto"/>
                <w:szCs w:val="21"/>
                <w:highlight w:val="none"/>
              </w:rPr>
            </w:pPr>
            <w:r>
              <w:rPr>
                <w:rFonts w:hint="eastAsia" w:ascii="宋体" w:hAnsi="宋体" w:cs="宋体"/>
                <w:color w:val="auto"/>
                <w:szCs w:val="21"/>
                <w:highlight w:val="none"/>
              </w:rPr>
              <w:t>参与验收其他或监督人员签字：</w:t>
            </w:r>
          </w:p>
        </w:tc>
      </w:tr>
      <w:tr w14:paraId="7C5E4B8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1184" w:hRule="atLeast"/>
          <w:jc w:val="center"/>
        </w:trPr>
        <w:tc>
          <w:tcPr>
            <w:tcW w:w="4575" w:type="dxa"/>
            <w:gridSpan w:val="4"/>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768B1819">
            <w:pPr>
              <w:keepNext w:val="0"/>
              <w:keepLines w:val="0"/>
              <w:suppressLineNumbers w:val="0"/>
              <w:spacing w:before="0" w:beforeAutospacing="0" w:after="0" w:afterAutospacing="0"/>
              <w:ind w:left="0" w:right="0"/>
              <w:rPr>
                <w:rFonts w:hint="default" w:ascii="宋体" w:hAnsi="宋体" w:cs="宋体"/>
                <w:color w:val="auto"/>
                <w:szCs w:val="21"/>
                <w:highlight w:val="none"/>
              </w:rPr>
            </w:pPr>
            <w:r>
              <w:rPr>
                <w:rFonts w:hint="eastAsia" w:ascii="宋体" w:hAnsi="宋体" w:cs="宋体"/>
                <w:color w:val="auto"/>
                <w:szCs w:val="21"/>
                <w:highlight w:val="none"/>
              </w:rPr>
              <w:t>中标（或成交）供应商签字或盖章：</w:t>
            </w:r>
          </w:p>
          <w:p w14:paraId="04313E69">
            <w:pPr>
              <w:keepNext w:val="0"/>
              <w:keepLines w:val="0"/>
              <w:suppressLineNumbers w:val="0"/>
              <w:spacing w:before="0" w:beforeAutospacing="0" w:after="0" w:afterAutospacing="0"/>
              <w:ind w:left="0" w:right="0"/>
              <w:rPr>
                <w:rFonts w:hint="eastAsia" w:ascii="宋体" w:hAnsi="宋体" w:cs="宋体"/>
                <w:color w:val="auto"/>
                <w:szCs w:val="21"/>
                <w:highlight w:val="none"/>
              </w:rPr>
            </w:pPr>
          </w:p>
          <w:p w14:paraId="2A4738A4">
            <w:pPr>
              <w:keepNext w:val="0"/>
              <w:keepLines w:val="0"/>
              <w:suppressLineNumbers w:val="0"/>
              <w:spacing w:before="0" w:beforeAutospacing="0" w:after="0" w:afterAutospacing="0"/>
              <w:ind w:left="0" w:right="0"/>
              <w:rPr>
                <w:rFonts w:hint="eastAsia" w:ascii="宋体" w:hAnsi="宋体" w:cs="宋体"/>
                <w:color w:val="auto"/>
                <w:szCs w:val="21"/>
                <w:highlight w:val="none"/>
              </w:rPr>
            </w:pPr>
            <w:r>
              <w:rPr>
                <w:rFonts w:hint="eastAsia" w:ascii="宋体" w:hAnsi="宋体" w:cs="宋体"/>
                <w:color w:val="auto"/>
                <w:szCs w:val="21"/>
                <w:highlight w:val="none"/>
              </w:rPr>
              <w:t>联系电话：</w:t>
            </w:r>
          </w:p>
          <w:p w14:paraId="290A42C5">
            <w:pPr>
              <w:keepNext w:val="0"/>
              <w:keepLines w:val="0"/>
              <w:suppressLineNumbers w:val="0"/>
              <w:spacing w:before="0" w:beforeAutospacing="0" w:after="0" w:afterAutospacing="0"/>
              <w:ind w:left="0" w:right="0"/>
              <w:rPr>
                <w:rFonts w:hint="eastAsia" w:ascii="宋体" w:hAnsi="宋体" w:cs="宋体"/>
                <w:color w:val="auto"/>
                <w:szCs w:val="21"/>
                <w:highlight w:val="none"/>
              </w:rPr>
            </w:pPr>
          </w:p>
          <w:p w14:paraId="4C573AE2">
            <w:pPr>
              <w:keepNext w:val="0"/>
              <w:keepLines w:val="0"/>
              <w:suppressLineNumbers w:val="0"/>
              <w:spacing w:before="0" w:beforeAutospacing="0" w:after="0" w:afterAutospacing="0"/>
              <w:ind w:left="0" w:right="0"/>
              <w:rPr>
                <w:rFonts w:hint="default" w:ascii="宋体" w:hAnsi="宋体" w:cs="宋体"/>
                <w:color w:val="auto"/>
                <w:szCs w:val="21"/>
                <w:highlight w:val="none"/>
              </w:rPr>
            </w:pPr>
            <w:r>
              <w:rPr>
                <w:rFonts w:hint="eastAsia" w:ascii="宋体" w:hAnsi="宋体" w:cs="宋体"/>
                <w:color w:val="auto"/>
                <w:szCs w:val="21"/>
                <w:highlight w:val="none"/>
              </w:rPr>
              <w:t>                            年  月   日</w:t>
            </w:r>
          </w:p>
        </w:tc>
        <w:tc>
          <w:tcPr>
            <w:tcW w:w="4872" w:type="dxa"/>
            <w:gridSpan w:val="5"/>
            <w:tcBorders>
              <w:top w:val="single" w:color="auto" w:sz="8" w:space="0"/>
              <w:left w:val="single" w:color="auto" w:sz="8" w:space="0"/>
              <w:bottom w:val="single" w:color="auto" w:sz="8" w:space="0"/>
              <w:right w:val="single" w:color="auto" w:sz="8" w:space="0"/>
            </w:tcBorders>
            <w:noWrap w:val="0"/>
            <w:vAlign w:val="center"/>
          </w:tcPr>
          <w:p w14:paraId="699F4CE4">
            <w:pPr>
              <w:keepNext w:val="0"/>
              <w:keepLines w:val="0"/>
              <w:suppressLineNumbers w:val="0"/>
              <w:spacing w:before="0" w:beforeAutospacing="0" w:after="0" w:afterAutospacing="0"/>
              <w:ind w:left="0" w:right="0"/>
              <w:rPr>
                <w:rFonts w:hint="default" w:ascii="宋体" w:hAnsi="宋体" w:cs="宋体"/>
                <w:color w:val="auto"/>
                <w:szCs w:val="21"/>
                <w:highlight w:val="none"/>
              </w:rPr>
            </w:pPr>
            <w:r>
              <w:rPr>
                <w:rFonts w:hint="eastAsia" w:ascii="宋体" w:hAnsi="宋体" w:cs="宋体"/>
                <w:color w:val="auto"/>
                <w:szCs w:val="21"/>
                <w:highlight w:val="none"/>
              </w:rPr>
              <w:t>采购人的意见（盖章）：</w:t>
            </w:r>
          </w:p>
          <w:p w14:paraId="43B91222">
            <w:pPr>
              <w:keepNext w:val="0"/>
              <w:keepLines w:val="0"/>
              <w:suppressLineNumbers w:val="0"/>
              <w:spacing w:before="0" w:beforeAutospacing="0" w:after="0" w:afterAutospacing="0"/>
              <w:ind w:left="0" w:right="0"/>
              <w:rPr>
                <w:rFonts w:hint="eastAsia" w:ascii="宋体" w:hAnsi="宋体" w:cs="宋体"/>
                <w:color w:val="auto"/>
                <w:szCs w:val="21"/>
                <w:highlight w:val="none"/>
              </w:rPr>
            </w:pPr>
          </w:p>
          <w:p w14:paraId="336E315B">
            <w:pPr>
              <w:keepNext w:val="0"/>
              <w:keepLines w:val="0"/>
              <w:suppressLineNumbers w:val="0"/>
              <w:spacing w:before="0" w:beforeAutospacing="0" w:after="0" w:afterAutospacing="0"/>
              <w:ind w:left="0" w:right="0"/>
              <w:rPr>
                <w:rFonts w:hint="eastAsia" w:ascii="宋体" w:hAnsi="宋体" w:cs="宋体"/>
                <w:color w:val="auto"/>
                <w:szCs w:val="21"/>
                <w:highlight w:val="none"/>
              </w:rPr>
            </w:pPr>
          </w:p>
          <w:p w14:paraId="2864012B">
            <w:pPr>
              <w:keepNext w:val="0"/>
              <w:keepLines w:val="0"/>
              <w:suppressLineNumbers w:val="0"/>
              <w:spacing w:before="0" w:beforeAutospacing="0" w:after="0" w:afterAutospacing="0"/>
              <w:ind w:left="0" w:right="0"/>
              <w:rPr>
                <w:rFonts w:hint="eastAsia" w:ascii="宋体" w:hAnsi="宋体" w:cs="宋体"/>
                <w:color w:val="auto"/>
                <w:szCs w:val="21"/>
                <w:highlight w:val="none"/>
              </w:rPr>
            </w:pPr>
            <w:r>
              <w:rPr>
                <w:rFonts w:hint="eastAsia" w:ascii="宋体" w:hAnsi="宋体" w:cs="宋体"/>
                <w:color w:val="auto"/>
                <w:szCs w:val="21"/>
                <w:highlight w:val="none"/>
              </w:rPr>
              <w:t>联系电话：</w:t>
            </w:r>
          </w:p>
          <w:p w14:paraId="68793030">
            <w:pPr>
              <w:keepNext w:val="0"/>
              <w:keepLines w:val="0"/>
              <w:suppressLineNumbers w:val="0"/>
              <w:spacing w:before="0" w:beforeAutospacing="0" w:after="0" w:afterAutospacing="0"/>
              <w:ind w:left="0" w:right="0"/>
              <w:rPr>
                <w:rFonts w:hint="eastAsia" w:ascii="宋体" w:hAnsi="宋体" w:cs="宋体"/>
                <w:color w:val="auto"/>
                <w:szCs w:val="21"/>
                <w:highlight w:val="none"/>
              </w:rPr>
            </w:pPr>
          </w:p>
          <w:p w14:paraId="61BF39C0">
            <w:pPr>
              <w:keepNext w:val="0"/>
              <w:keepLines w:val="0"/>
              <w:suppressLineNumbers w:val="0"/>
              <w:spacing w:before="0" w:beforeAutospacing="0" w:after="0" w:afterAutospacing="0"/>
              <w:ind w:left="0" w:right="0"/>
              <w:rPr>
                <w:rFonts w:hint="default" w:ascii="宋体" w:hAnsi="宋体" w:cs="宋体"/>
                <w:color w:val="auto"/>
                <w:szCs w:val="21"/>
                <w:highlight w:val="none"/>
              </w:rPr>
            </w:pPr>
            <w:r>
              <w:rPr>
                <w:rFonts w:hint="eastAsia" w:ascii="宋体" w:hAnsi="宋体" w:cs="宋体"/>
                <w:color w:val="auto"/>
                <w:szCs w:val="21"/>
                <w:highlight w:val="none"/>
              </w:rPr>
              <w:t xml:space="preserve">   年  月   日</w:t>
            </w:r>
          </w:p>
        </w:tc>
      </w:tr>
    </w:tbl>
    <w:p w14:paraId="4F172FE4">
      <w:pPr>
        <w:widowControl/>
        <w:ind w:firstLine="210" w:firstLineChars="1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备注：本报告单一式三份（采购人1份、中标人1份、采购代理机构1份）。</w:t>
      </w:r>
    </w:p>
    <w:p w14:paraId="2967D88E">
      <w:pPr>
        <w:snapToGrid w:val="0"/>
        <w:rPr>
          <w:rFonts w:hint="eastAsia"/>
          <w:color w:val="auto"/>
          <w:highlight w:val="none"/>
        </w:rPr>
        <w:sectPr>
          <w:pgSz w:w="11906" w:h="16838"/>
          <w:pgMar w:top="1440" w:right="1803" w:bottom="1440" w:left="1803" w:header="850" w:footer="850" w:gutter="0"/>
          <w:pgNumType w:fmt="decimal"/>
          <w:cols w:space="720" w:num="1"/>
          <w:docGrid w:linePitch="312" w:charSpace="0"/>
        </w:sectPr>
      </w:pPr>
      <w:r>
        <w:rPr>
          <w:rFonts w:ascii="宋体" w:hAnsi="宋体" w:cs="宋体"/>
          <w:b/>
          <w:color w:val="auto"/>
          <w:szCs w:val="20"/>
          <w:highlight w:val="none"/>
        </w:rPr>
        <w:br w:type="page"/>
      </w:r>
    </w:p>
    <w:p w14:paraId="37564CE1">
      <w:pPr>
        <w:rPr>
          <w:rFonts w:hint="eastAsia"/>
          <w:color w:val="auto"/>
          <w:highlight w:val="none"/>
        </w:rPr>
      </w:pPr>
    </w:p>
    <w:p w14:paraId="6596BF46">
      <w:pPr>
        <w:pStyle w:val="3"/>
        <w:jc w:val="center"/>
        <w:rPr>
          <w:rFonts w:hint="eastAsia" w:ascii="宋体" w:hAnsi="宋体" w:cs="宋体"/>
          <w:color w:val="auto"/>
          <w:highlight w:val="none"/>
        </w:rPr>
      </w:pPr>
      <w:r>
        <w:rPr>
          <w:rFonts w:hint="eastAsia" w:ascii="宋体" w:hAnsi="宋体" w:cs="宋体"/>
          <w:color w:val="auto"/>
          <w:highlight w:val="none"/>
        </w:rPr>
        <w:t>第六章　投标文件格式</w:t>
      </w:r>
      <w:bookmarkEnd w:id="187"/>
      <w:bookmarkEnd w:id="188"/>
      <w:bookmarkEnd w:id="189"/>
    </w:p>
    <w:p w14:paraId="70960E77">
      <w:pPr>
        <w:outlineLvl w:val="1"/>
        <w:rPr>
          <w:rFonts w:hint="eastAsia" w:ascii="宋体" w:hAnsi="宋体" w:cs="宋体"/>
          <w:b/>
          <w:color w:val="auto"/>
          <w:sz w:val="28"/>
          <w:szCs w:val="28"/>
          <w:highlight w:val="none"/>
        </w:rPr>
      </w:pPr>
      <w:bookmarkStart w:id="190" w:name="_Toc7400"/>
      <w:bookmarkStart w:id="191" w:name="_Toc19686836"/>
      <w:bookmarkStart w:id="192" w:name="_Toc2369"/>
      <w:bookmarkStart w:id="193" w:name="_Toc254970698"/>
      <w:bookmarkStart w:id="194" w:name="_Toc254970557"/>
      <w:r>
        <w:rPr>
          <w:rFonts w:hint="eastAsia" w:ascii="宋体" w:hAnsi="宋体" w:cs="宋体"/>
          <w:b/>
          <w:color w:val="auto"/>
          <w:sz w:val="28"/>
          <w:szCs w:val="28"/>
          <w:highlight w:val="none"/>
        </w:rPr>
        <w:t>一、报价文件格式</w:t>
      </w:r>
      <w:bookmarkEnd w:id="190"/>
      <w:bookmarkEnd w:id="191"/>
      <w:bookmarkEnd w:id="192"/>
    </w:p>
    <w:p w14:paraId="22B1FE91">
      <w:pPr>
        <w:snapToGrid w:val="0"/>
        <w:spacing w:before="120" w:beforeLines="50" w:after="50" w:line="360" w:lineRule="auto"/>
        <w:ind w:left="142"/>
        <w:jc w:val="left"/>
        <w:rPr>
          <w:rFonts w:hint="eastAsia" w:ascii="宋体" w:hAnsi="宋体" w:cs="宋体"/>
          <w:color w:val="auto"/>
          <w:sz w:val="24"/>
          <w:szCs w:val="20"/>
          <w:highlight w:val="none"/>
        </w:rPr>
      </w:pPr>
      <w:r>
        <w:rPr>
          <w:rFonts w:hint="eastAsia" w:ascii="宋体" w:hAnsi="宋体" w:cs="宋体"/>
          <w:b/>
          <w:color w:val="auto"/>
          <w:sz w:val="24"/>
          <w:highlight w:val="none"/>
        </w:rPr>
        <w:t xml:space="preserve">1. 报价文件封面格式： </w:t>
      </w:r>
    </w:p>
    <w:p w14:paraId="680CF1A4">
      <w:pPr>
        <w:snapToGrid w:val="0"/>
        <w:spacing w:before="120" w:beforeLines="50" w:after="50" w:line="360" w:lineRule="auto"/>
        <w:ind w:left="142"/>
        <w:jc w:val="center"/>
        <w:rPr>
          <w:rFonts w:hint="eastAsia" w:ascii="宋体" w:hAnsi="宋体" w:cs="宋体"/>
          <w:bCs/>
          <w:color w:val="auto"/>
          <w:sz w:val="48"/>
          <w:szCs w:val="48"/>
          <w:highlight w:val="none"/>
        </w:rPr>
      </w:pPr>
      <w:r>
        <w:rPr>
          <w:rFonts w:hint="eastAsia" w:ascii="宋体" w:hAnsi="宋体" w:cs="宋体"/>
          <w:bCs/>
          <w:color w:val="auto"/>
          <w:sz w:val="48"/>
          <w:szCs w:val="48"/>
          <w:highlight w:val="none"/>
        </w:rPr>
        <w:t>电子投标文件</w:t>
      </w:r>
    </w:p>
    <w:p w14:paraId="75EE620C">
      <w:pPr>
        <w:snapToGrid w:val="0"/>
        <w:spacing w:before="120" w:beforeLines="50" w:after="50" w:line="400" w:lineRule="exact"/>
        <w:rPr>
          <w:rFonts w:hint="eastAsia" w:ascii="宋体" w:hAnsi="宋体" w:cs="宋体"/>
          <w:bCs/>
          <w:color w:val="auto"/>
          <w:sz w:val="32"/>
          <w:szCs w:val="20"/>
          <w:highlight w:val="none"/>
        </w:rPr>
      </w:pPr>
      <w:r>
        <w:rPr>
          <w:rFonts w:hint="eastAsia" w:ascii="宋体" w:hAnsi="宋体" w:cs="宋体"/>
          <w:color w:val="auto"/>
          <w:sz w:val="24"/>
          <w:highlight w:val="none"/>
        </w:rPr>
        <w:t xml:space="preserve">                 </w:t>
      </w:r>
    </w:p>
    <w:p w14:paraId="29BE6EE2">
      <w:pPr>
        <w:snapToGrid w:val="0"/>
        <w:spacing w:before="120" w:beforeLines="50" w:after="50" w:line="400" w:lineRule="exact"/>
        <w:jc w:val="center"/>
        <w:rPr>
          <w:rFonts w:hint="eastAsia" w:ascii="宋体" w:hAnsi="宋体" w:cs="宋体"/>
          <w:bCs/>
          <w:color w:val="auto"/>
          <w:sz w:val="24"/>
          <w:szCs w:val="20"/>
          <w:highlight w:val="none"/>
        </w:rPr>
      </w:pPr>
    </w:p>
    <w:p w14:paraId="26F2E52C">
      <w:pPr>
        <w:snapToGrid w:val="0"/>
        <w:spacing w:before="120" w:beforeLines="50" w:after="50" w:line="400" w:lineRule="exact"/>
        <w:jc w:val="center"/>
        <w:rPr>
          <w:rFonts w:hint="eastAsia" w:ascii="宋体" w:hAnsi="宋体" w:cs="宋体"/>
          <w:b/>
          <w:bCs/>
          <w:color w:val="auto"/>
          <w:sz w:val="32"/>
          <w:szCs w:val="32"/>
          <w:highlight w:val="none"/>
        </w:rPr>
      </w:pPr>
      <w:r>
        <w:rPr>
          <w:rFonts w:hint="eastAsia" w:ascii="宋体" w:hAnsi="宋体" w:cs="宋体"/>
          <w:b/>
          <w:bCs/>
          <w:color w:val="auto"/>
          <w:sz w:val="32"/>
          <w:szCs w:val="32"/>
          <w:highlight w:val="none"/>
        </w:rPr>
        <w:t>报价文件</w:t>
      </w:r>
    </w:p>
    <w:p w14:paraId="32BA2EF4">
      <w:pPr>
        <w:snapToGrid w:val="0"/>
        <w:spacing w:before="120" w:beforeLines="50" w:after="50" w:line="400" w:lineRule="exact"/>
        <w:rPr>
          <w:rFonts w:hint="eastAsia" w:ascii="宋体" w:hAnsi="宋体" w:cs="宋体"/>
          <w:bCs/>
          <w:color w:val="auto"/>
          <w:sz w:val="24"/>
          <w:szCs w:val="20"/>
          <w:highlight w:val="none"/>
        </w:rPr>
      </w:pPr>
    </w:p>
    <w:p w14:paraId="0C20A093">
      <w:pPr>
        <w:snapToGrid w:val="0"/>
        <w:spacing w:before="120" w:beforeLines="50" w:after="50" w:line="400" w:lineRule="exact"/>
        <w:rPr>
          <w:rFonts w:hint="eastAsia" w:ascii="宋体" w:hAnsi="宋体" w:cs="宋体"/>
          <w:bCs/>
          <w:color w:val="auto"/>
          <w:sz w:val="24"/>
          <w:szCs w:val="20"/>
          <w:highlight w:val="none"/>
        </w:rPr>
      </w:pPr>
    </w:p>
    <w:p w14:paraId="6A9A6B5A">
      <w:pPr>
        <w:snapToGrid w:val="0"/>
        <w:spacing w:before="120" w:beforeLines="50" w:after="50" w:line="400" w:lineRule="exact"/>
        <w:rPr>
          <w:rFonts w:hint="eastAsia" w:ascii="宋体" w:hAnsi="宋体" w:cs="宋体"/>
          <w:bCs/>
          <w:color w:val="auto"/>
          <w:sz w:val="24"/>
          <w:szCs w:val="20"/>
          <w:highlight w:val="none"/>
        </w:rPr>
      </w:pPr>
    </w:p>
    <w:p w14:paraId="7D0FE64D">
      <w:pPr>
        <w:snapToGrid w:val="0"/>
        <w:spacing w:before="120" w:beforeLines="50" w:after="50" w:line="400" w:lineRule="exact"/>
        <w:rPr>
          <w:rFonts w:hint="eastAsia" w:ascii="宋体" w:hAnsi="宋体" w:cs="宋体"/>
          <w:bCs/>
          <w:color w:val="auto"/>
          <w:sz w:val="24"/>
          <w:szCs w:val="20"/>
          <w:highlight w:val="none"/>
        </w:rPr>
      </w:pPr>
    </w:p>
    <w:p w14:paraId="200E6300">
      <w:pPr>
        <w:snapToGrid w:val="0"/>
        <w:spacing w:before="120" w:beforeLines="50" w:after="50" w:line="400" w:lineRule="exact"/>
        <w:ind w:firstLine="360" w:firstLineChars="150"/>
        <w:rPr>
          <w:rFonts w:hint="eastAsia" w:ascii="宋体" w:hAnsi="宋体" w:cs="宋体"/>
          <w:bCs/>
          <w:color w:val="auto"/>
          <w:sz w:val="24"/>
          <w:highlight w:val="none"/>
        </w:rPr>
      </w:pPr>
      <w:r>
        <w:rPr>
          <w:rFonts w:hint="eastAsia" w:ascii="宋体" w:hAnsi="宋体" w:cs="宋体"/>
          <w:bCs/>
          <w:color w:val="auto"/>
          <w:sz w:val="24"/>
          <w:highlight w:val="none"/>
        </w:rPr>
        <w:t xml:space="preserve">项目名称： </w:t>
      </w:r>
    </w:p>
    <w:p w14:paraId="1D6772C7">
      <w:pPr>
        <w:snapToGrid w:val="0"/>
        <w:spacing w:before="120" w:beforeLines="50" w:after="50" w:line="400" w:lineRule="exact"/>
        <w:ind w:firstLine="360" w:firstLineChars="150"/>
        <w:rPr>
          <w:rFonts w:hint="eastAsia" w:ascii="宋体" w:hAnsi="宋体" w:cs="宋体"/>
          <w:bCs/>
          <w:color w:val="auto"/>
          <w:sz w:val="24"/>
          <w:highlight w:val="none"/>
        </w:rPr>
      </w:pPr>
    </w:p>
    <w:p w14:paraId="353FA0DA">
      <w:pPr>
        <w:snapToGrid w:val="0"/>
        <w:spacing w:before="120" w:beforeLines="50" w:after="50" w:line="400" w:lineRule="exact"/>
        <w:ind w:firstLine="360" w:firstLineChars="150"/>
        <w:rPr>
          <w:rFonts w:hint="eastAsia" w:ascii="宋体" w:hAnsi="宋体" w:cs="宋体"/>
          <w:bCs/>
          <w:color w:val="auto"/>
          <w:sz w:val="24"/>
          <w:highlight w:val="none"/>
        </w:rPr>
      </w:pPr>
      <w:r>
        <w:rPr>
          <w:rFonts w:hint="eastAsia" w:ascii="宋体" w:hAnsi="宋体" w:cs="宋体"/>
          <w:bCs/>
          <w:color w:val="auto"/>
          <w:sz w:val="24"/>
          <w:highlight w:val="none"/>
        </w:rPr>
        <w:t xml:space="preserve">项目编号： </w:t>
      </w:r>
    </w:p>
    <w:p w14:paraId="3E3F5E78">
      <w:pPr>
        <w:snapToGrid w:val="0"/>
        <w:spacing w:before="120" w:beforeLines="50" w:after="50" w:line="400" w:lineRule="exact"/>
        <w:ind w:firstLine="360" w:firstLineChars="150"/>
        <w:rPr>
          <w:rFonts w:hint="eastAsia" w:ascii="宋体" w:hAnsi="宋体" w:cs="宋体"/>
          <w:bCs/>
          <w:color w:val="auto"/>
          <w:sz w:val="24"/>
          <w:highlight w:val="none"/>
        </w:rPr>
      </w:pPr>
    </w:p>
    <w:p w14:paraId="40684E60">
      <w:pPr>
        <w:snapToGrid w:val="0"/>
        <w:spacing w:before="120" w:beforeLines="50" w:after="50" w:line="400" w:lineRule="exact"/>
        <w:ind w:firstLine="360" w:firstLineChars="150"/>
        <w:rPr>
          <w:rFonts w:hint="eastAsia" w:ascii="宋体" w:hAnsi="宋体" w:cs="宋体"/>
          <w:bCs/>
          <w:color w:val="auto"/>
          <w:sz w:val="24"/>
          <w:highlight w:val="none"/>
        </w:rPr>
      </w:pPr>
      <w:r>
        <w:rPr>
          <w:rFonts w:hint="eastAsia" w:ascii="宋体" w:hAnsi="宋体" w:cs="宋体"/>
          <w:bCs/>
          <w:color w:val="auto"/>
          <w:sz w:val="24"/>
          <w:highlight w:val="none"/>
        </w:rPr>
        <w:t>所投分标：</w:t>
      </w:r>
    </w:p>
    <w:p w14:paraId="6EA02F2D">
      <w:pPr>
        <w:snapToGrid w:val="0"/>
        <w:spacing w:before="120" w:beforeLines="50" w:after="50" w:line="400" w:lineRule="exact"/>
        <w:ind w:firstLine="360" w:firstLineChars="150"/>
        <w:rPr>
          <w:rFonts w:hint="eastAsia" w:ascii="宋体" w:hAnsi="宋体" w:cs="宋体"/>
          <w:bCs/>
          <w:color w:val="auto"/>
          <w:sz w:val="24"/>
          <w:highlight w:val="none"/>
        </w:rPr>
      </w:pPr>
    </w:p>
    <w:p w14:paraId="55FCBB03">
      <w:pPr>
        <w:snapToGrid w:val="0"/>
        <w:spacing w:before="120" w:beforeLines="50" w:after="50" w:line="400" w:lineRule="exact"/>
        <w:ind w:firstLine="360" w:firstLineChars="150"/>
        <w:rPr>
          <w:rFonts w:hint="eastAsia" w:ascii="宋体" w:hAnsi="宋体" w:cs="宋体"/>
          <w:bCs/>
          <w:color w:val="auto"/>
          <w:sz w:val="24"/>
          <w:highlight w:val="none"/>
        </w:rPr>
      </w:pPr>
      <w:r>
        <w:rPr>
          <w:rFonts w:hint="eastAsia" w:ascii="宋体" w:hAnsi="宋体" w:cs="宋体"/>
          <w:bCs/>
          <w:color w:val="auto"/>
          <w:sz w:val="24"/>
          <w:highlight w:val="none"/>
        </w:rPr>
        <w:t>投标人名称：</w:t>
      </w:r>
    </w:p>
    <w:p w14:paraId="2B0BB808">
      <w:pPr>
        <w:snapToGrid w:val="0"/>
        <w:spacing w:before="120" w:beforeLines="50" w:after="50" w:line="400" w:lineRule="exact"/>
        <w:ind w:firstLine="360" w:firstLineChars="150"/>
        <w:rPr>
          <w:rFonts w:hint="eastAsia" w:ascii="宋体" w:hAnsi="宋体" w:cs="宋体"/>
          <w:bCs/>
          <w:color w:val="auto"/>
          <w:sz w:val="24"/>
          <w:highlight w:val="none"/>
        </w:rPr>
      </w:pPr>
    </w:p>
    <w:p w14:paraId="35FB33BF">
      <w:pPr>
        <w:snapToGrid w:val="0"/>
        <w:spacing w:before="120" w:beforeLines="50" w:after="50" w:line="400" w:lineRule="exact"/>
        <w:ind w:firstLine="360" w:firstLineChars="150"/>
        <w:rPr>
          <w:rFonts w:hint="eastAsia" w:ascii="宋体" w:hAnsi="宋体" w:cs="宋体"/>
          <w:bCs/>
          <w:color w:val="auto"/>
          <w:sz w:val="24"/>
          <w:highlight w:val="none"/>
        </w:rPr>
      </w:pPr>
      <w:r>
        <w:rPr>
          <w:rFonts w:hint="eastAsia" w:ascii="宋体" w:hAnsi="宋体" w:cs="宋体"/>
          <w:bCs/>
          <w:color w:val="auto"/>
          <w:sz w:val="24"/>
          <w:highlight w:val="none"/>
        </w:rPr>
        <w:t>投标人地址：</w:t>
      </w:r>
    </w:p>
    <w:p w14:paraId="4F916E9C">
      <w:pPr>
        <w:pStyle w:val="9"/>
        <w:snapToGrid w:val="0"/>
        <w:spacing w:before="50" w:after="50" w:line="400" w:lineRule="exact"/>
        <w:ind w:firstLine="960" w:firstLineChars="400"/>
        <w:rPr>
          <w:rFonts w:hint="eastAsia" w:ascii="宋体" w:hAnsi="宋体" w:cs="宋体"/>
          <w:bCs/>
          <w:color w:val="auto"/>
          <w:sz w:val="24"/>
          <w:szCs w:val="24"/>
          <w:highlight w:val="none"/>
        </w:rPr>
      </w:pPr>
    </w:p>
    <w:p w14:paraId="141303BE">
      <w:pPr>
        <w:snapToGrid w:val="0"/>
        <w:spacing w:before="120" w:beforeLines="50" w:after="50" w:line="400" w:lineRule="exact"/>
        <w:rPr>
          <w:rFonts w:hint="eastAsia" w:ascii="宋体" w:hAnsi="宋体" w:cs="宋体"/>
          <w:color w:val="auto"/>
          <w:sz w:val="30"/>
          <w:szCs w:val="20"/>
          <w:highlight w:val="none"/>
        </w:rPr>
      </w:pPr>
      <w:r>
        <w:rPr>
          <w:rFonts w:hint="eastAsia" w:ascii="宋体" w:hAnsi="宋体" w:cs="宋体"/>
          <w:color w:val="auto"/>
          <w:sz w:val="24"/>
          <w:highlight w:val="none"/>
        </w:rPr>
        <w:t xml:space="preserve">                                   年  月  日</w:t>
      </w:r>
    </w:p>
    <w:p w14:paraId="4C04F394">
      <w:pPr>
        <w:keepNext w:val="0"/>
        <w:keepLines w:val="0"/>
        <w:pageBreakBefore w:val="0"/>
        <w:widowControl w:val="0"/>
        <w:kinsoku/>
        <w:wordWrap/>
        <w:overflowPunct/>
        <w:topLinePunct w:val="0"/>
        <w:autoSpaceDE/>
        <w:autoSpaceDN/>
        <w:bidi w:val="0"/>
        <w:adjustRightInd/>
        <w:snapToGrid w:val="0"/>
        <w:spacing w:before="120" w:beforeLines="50" w:after="50" w:line="400" w:lineRule="exact"/>
        <w:jc w:val="left"/>
        <w:textAlignment w:val="auto"/>
        <w:rPr>
          <w:rFonts w:hint="eastAsia" w:ascii="宋体" w:hAnsi="宋体" w:cs="宋体"/>
          <w:color w:val="auto"/>
          <w:sz w:val="24"/>
          <w:szCs w:val="20"/>
          <w:highlight w:val="none"/>
        </w:rPr>
      </w:pPr>
      <w:r>
        <w:rPr>
          <w:rFonts w:hint="eastAsia" w:ascii="宋体" w:hAnsi="宋体" w:cs="宋体"/>
          <w:b/>
          <w:color w:val="auto"/>
          <w:sz w:val="24"/>
          <w:highlight w:val="none"/>
        </w:rPr>
        <w:br w:type="page"/>
      </w:r>
      <w:r>
        <w:rPr>
          <w:rFonts w:hint="eastAsia" w:ascii="宋体" w:hAnsi="宋体" w:cs="宋体"/>
          <w:b/>
          <w:color w:val="auto"/>
          <w:sz w:val="24"/>
          <w:highlight w:val="none"/>
        </w:rPr>
        <w:t>2.</w:t>
      </w:r>
      <w:r>
        <w:rPr>
          <w:rFonts w:hint="eastAsia" w:ascii="宋体" w:hAnsi="宋体" w:cs="宋体"/>
          <w:b/>
          <w:bCs/>
          <w:color w:val="auto"/>
          <w:sz w:val="24"/>
          <w:highlight w:val="none"/>
        </w:rPr>
        <w:t>报价文件目录</w:t>
      </w:r>
    </w:p>
    <w:p w14:paraId="0D30157E">
      <w:pPr>
        <w:keepNext w:val="0"/>
        <w:keepLines w:val="0"/>
        <w:pageBreakBefore w:val="0"/>
        <w:widowControl w:val="0"/>
        <w:kinsoku/>
        <w:wordWrap/>
        <w:overflowPunct/>
        <w:topLinePunct w:val="0"/>
        <w:autoSpaceDE/>
        <w:autoSpaceDN/>
        <w:bidi w:val="0"/>
        <w:adjustRightInd/>
        <w:snapToGrid w:val="0"/>
        <w:spacing w:before="50" w:after="120" w:afterLines="50" w:line="400" w:lineRule="exact"/>
        <w:jc w:val="left"/>
        <w:textAlignment w:val="auto"/>
        <w:rPr>
          <w:rFonts w:hint="eastAsia" w:ascii="宋体" w:hAnsi="宋体" w:cs="宋体"/>
          <w:b/>
          <w:color w:val="auto"/>
          <w:sz w:val="24"/>
          <w:highlight w:val="none"/>
        </w:rPr>
      </w:pPr>
      <w:r>
        <w:rPr>
          <w:rFonts w:hint="eastAsia" w:ascii="宋体" w:hAnsi="宋体" w:cs="宋体"/>
          <w:color w:val="auto"/>
          <w:szCs w:val="21"/>
          <w:highlight w:val="none"/>
        </w:rPr>
        <w:t>根据招标文件规定及投标人提供的材料自行编写目录。</w:t>
      </w:r>
    </w:p>
    <w:p w14:paraId="0D7F032F">
      <w:pPr>
        <w:snapToGrid w:val="0"/>
        <w:spacing w:before="120" w:beforeLines="50" w:after="50"/>
        <w:rPr>
          <w:rFonts w:hint="eastAsia" w:ascii="宋体" w:hAnsi="宋体" w:cs="宋体"/>
          <w:b/>
          <w:color w:val="auto"/>
          <w:sz w:val="24"/>
          <w:highlight w:val="none"/>
        </w:rPr>
      </w:pPr>
    </w:p>
    <w:p w14:paraId="3AC2D3C9">
      <w:pPr>
        <w:snapToGrid w:val="0"/>
        <w:spacing w:before="120" w:beforeLines="50" w:after="50"/>
        <w:rPr>
          <w:rFonts w:hint="eastAsia" w:ascii="宋体" w:hAnsi="宋体" w:cs="宋体"/>
          <w:b/>
          <w:color w:val="auto"/>
          <w:sz w:val="24"/>
          <w:highlight w:val="none"/>
        </w:rPr>
      </w:pPr>
    </w:p>
    <w:p w14:paraId="67CBD23D">
      <w:pPr>
        <w:snapToGrid w:val="0"/>
        <w:spacing w:before="120" w:beforeLines="50" w:after="50"/>
        <w:rPr>
          <w:rFonts w:hint="eastAsia" w:ascii="宋体" w:hAnsi="宋体" w:cs="宋体"/>
          <w:b/>
          <w:color w:val="auto"/>
          <w:sz w:val="24"/>
          <w:highlight w:val="none"/>
        </w:rPr>
      </w:pPr>
    </w:p>
    <w:p w14:paraId="1B2BAD24">
      <w:pPr>
        <w:snapToGrid w:val="0"/>
        <w:spacing w:before="120" w:beforeLines="50" w:after="50"/>
        <w:ind w:left="142"/>
        <w:jc w:val="left"/>
        <w:rPr>
          <w:rFonts w:hint="eastAsia" w:ascii="宋体" w:hAnsi="宋体" w:cs="宋体"/>
          <w:b/>
          <w:color w:val="auto"/>
          <w:sz w:val="24"/>
          <w:highlight w:val="none"/>
        </w:rPr>
      </w:pPr>
      <w:r>
        <w:rPr>
          <w:rFonts w:hint="eastAsia" w:ascii="宋体" w:hAnsi="宋体" w:cs="宋体"/>
          <w:b/>
          <w:color w:val="auto"/>
          <w:sz w:val="24"/>
          <w:highlight w:val="none"/>
        </w:rPr>
        <w:br w:type="page"/>
      </w:r>
      <w:r>
        <w:rPr>
          <w:rFonts w:hint="eastAsia" w:ascii="宋体" w:hAnsi="宋体" w:cs="宋体"/>
          <w:b/>
          <w:color w:val="auto"/>
          <w:sz w:val="24"/>
          <w:highlight w:val="none"/>
        </w:rPr>
        <w:t>3. 投标函格式：</w:t>
      </w:r>
    </w:p>
    <w:p w14:paraId="77AA331D">
      <w:pPr>
        <w:snapToGrid w:val="0"/>
        <w:spacing w:before="120" w:beforeLines="50" w:after="50"/>
        <w:ind w:left="420"/>
        <w:jc w:val="center"/>
        <w:rPr>
          <w:rFonts w:hint="eastAsia" w:ascii="宋体" w:hAnsi="宋体" w:cs="宋体"/>
          <w:b/>
          <w:bCs/>
          <w:color w:val="auto"/>
          <w:spacing w:val="-17"/>
          <w:sz w:val="30"/>
          <w:szCs w:val="30"/>
          <w:highlight w:val="none"/>
        </w:rPr>
      </w:pPr>
      <w:r>
        <w:rPr>
          <w:rFonts w:hint="eastAsia" w:ascii="宋体" w:hAnsi="宋体" w:cs="宋体"/>
          <w:b/>
          <w:bCs/>
          <w:color w:val="auto"/>
          <w:spacing w:val="-17"/>
          <w:sz w:val="30"/>
          <w:szCs w:val="30"/>
          <w:highlight w:val="none"/>
        </w:rPr>
        <w:t>投 标 函</w:t>
      </w:r>
    </w:p>
    <w:p w14:paraId="6AAACD3B">
      <w:pPr>
        <w:keepNext w:val="0"/>
        <w:keepLines w:val="0"/>
        <w:pageBreakBefore w:val="0"/>
        <w:widowControl w:val="0"/>
        <w:kinsoku/>
        <w:wordWrap/>
        <w:overflowPunct/>
        <w:topLinePunct w:val="0"/>
        <w:autoSpaceDE/>
        <w:autoSpaceDN/>
        <w:bidi w:val="0"/>
        <w:adjustRightInd/>
        <w:snapToGrid w:val="0"/>
        <w:spacing w:line="400" w:lineRule="exact"/>
        <w:textAlignment w:val="auto"/>
        <w:rPr>
          <w:rFonts w:hint="eastAsia" w:ascii="宋体" w:hAnsi="宋体" w:cs="宋体"/>
          <w:color w:val="auto"/>
          <w:szCs w:val="21"/>
          <w:highlight w:val="none"/>
        </w:rPr>
      </w:pPr>
      <w:r>
        <w:rPr>
          <w:rFonts w:hint="eastAsia" w:ascii="宋体" w:hAnsi="宋体" w:cs="宋体"/>
          <w:color w:val="auto"/>
          <w:szCs w:val="21"/>
          <w:highlight w:val="none"/>
        </w:rPr>
        <w:t>致：</w:t>
      </w:r>
      <w:r>
        <w:rPr>
          <w:rFonts w:hint="eastAsia" w:ascii="宋体" w:hAnsi="宋体" w:cs="宋体"/>
          <w:color w:val="auto"/>
          <w:szCs w:val="21"/>
          <w:highlight w:val="none"/>
          <w:u w:val="single"/>
        </w:rPr>
        <w:t>采购人名称</w:t>
      </w:r>
    </w:p>
    <w:p w14:paraId="55887BAC">
      <w:pPr>
        <w:keepNext w:val="0"/>
        <w:keepLines w:val="0"/>
        <w:pageBreakBefore w:val="0"/>
        <w:widowControl w:val="0"/>
        <w:kinsoku/>
        <w:wordWrap/>
        <w:overflowPunct/>
        <w:topLinePunct w:val="0"/>
        <w:autoSpaceDE/>
        <w:autoSpaceDN/>
        <w:bidi w:val="0"/>
        <w:adjustRightInd/>
        <w:snapToGrid w:val="0"/>
        <w:spacing w:line="400" w:lineRule="exact"/>
        <w:ind w:firstLine="480"/>
        <w:textAlignment w:val="auto"/>
        <w:rPr>
          <w:rFonts w:hint="eastAsia" w:ascii="宋体" w:hAnsi="宋体" w:cs="宋体"/>
          <w:color w:val="auto"/>
          <w:szCs w:val="21"/>
          <w:highlight w:val="none"/>
        </w:rPr>
      </w:pPr>
      <w:r>
        <w:rPr>
          <w:rFonts w:hint="eastAsia" w:ascii="宋体" w:hAnsi="宋体" w:cs="宋体"/>
          <w:color w:val="auto"/>
          <w:szCs w:val="21"/>
          <w:highlight w:val="none"/>
        </w:rPr>
        <w:t>根据贵方</w:t>
      </w:r>
      <w:r>
        <w:rPr>
          <w:rFonts w:hint="eastAsia" w:ascii="宋体" w:hAnsi="宋体" w:cs="宋体"/>
          <w:color w:val="auto"/>
          <w:szCs w:val="21"/>
          <w:highlight w:val="none"/>
          <w:u w:val="single"/>
        </w:rPr>
        <w:t xml:space="preserve">     项目名称  </w:t>
      </w:r>
      <w:r>
        <w:rPr>
          <w:rFonts w:hint="eastAsia" w:ascii="宋体" w:hAnsi="宋体" w:cs="宋体"/>
          <w:color w:val="auto"/>
          <w:szCs w:val="21"/>
          <w:highlight w:val="none"/>
        </w:rPr>
        <w:t>（项目编号：</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）的招标文件，签字代表</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（姓名）经正式授权并代表投标人</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（投标人名称）提交投标文件。</w:t>
      </w:r>
    </w:p>
    <w:p w14:paraId="02CD6A5B">
      <w:pPr>
        <w:keepNext w:val="0"/>
        <w:keepLines w:val="0"/>
        <w:pageBreakBefore w:val="0"/>
        <w:widowControl w:val="0"/>
        <w:kinsoku/>
        <w:wordWrap/>
        <w:overflowPunct/>
        <w:topLinePunct w:val="0"/>
        <w:autoSpaceDE/>
        <w:autoSpaceDN/>
        <w:bidi w:val="0"/>
        <w:adjustRightInd/>
        <w:snapToGrid w:val="0"/>
        <w:spacing w:line="40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据此函，我方宣布同意如下：</w:t>
      </w:r>
    </w:p>
    <w:p w14:paraId="6EC17A6B">
      <w:pPr>
        <w:keepNext w:val="0"/>
        <w:keepLines w:val="0"/>
        <w:pageBreakBefore w:val="0"/>
        <w:widowControl w:val="0"/>
        <w:kinsoku/>
        <w:wordWrap/>
        <w:overflowPunct/>
        <w:topLinePunct w:val="0"/>
        <w:autoSpaceDE/>
        <w:autoSpaceDN/>
        <w:bidi w:val="0"/>
        <w:adjustRightInd/>
        <w:snapToGrid w:val="0"/>
        <w:spacing w:line="40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1.我方已详细审查全部“招标文件”，包括修改文件（如有的话）以及全部参考资料和有关附件，已经了解我方对于招标文件、采购过程、采购结果有依法进行询问、质疑、投诉的权利及相关渠道和要求。</w:t>
      </w:r>
    </w:p>
    <w:p w14:paraId="6E022351">
      <w:pPr>
        <w:keepNext w:val="0"/>
        <w:keepLines w:val="0"/>
        <w:pageBreakBefore w:val="0"/>
        <w:widowControl w:val="0"/>
        <w:kinsoku/>
        <w:wordWrap/>
        <w:overflowPunct/>
        <w:topLinePunct w:val="0"/>
        <w:autoSpaceDE/>
        <w:autoSpaceDN/>
        <w:bidi w:val="0"/>
        <w:adjustRightInd/>
        <w:snapToGrid w:val="0"/>
        <w:spacing w:line="40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2.我方在投标之前已经完全理解并接受招标文件的各项规定和要求，对招标文件的合理性、合法性不再有异议。</w:t>
      </w:r>
    </w:p>
    <w:p w14:paraId="3AD4552A">
      <w:pPr>
        <w:keepNext w:val="0"/>
        <w:keepLines w:val="0"/>
        <w:pageBreakBefore w:val="0"/>
        <w:widowControl w:val="0"/>
        <w:kinsoku/>
        <w:wordWrap/>
        <w:overflowPunct/>
        <w:topLinePunct w:val="0"/>
        <w:autoSpaceDE/>
        <w:autoSpaceDN/>
        <w:bidi w:val="0"/>
        <w:adjustRightInd/>
        <w:snapToGrid w:val="0"/>
        <w:spacing w:line="40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3.本投标有效期自投标截止之日起</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日。</w:t>
      </w:r>
    </w:p>
    <w:p w14:paraId="03BF2B57">
      <w:pPr>
        <w:keepNext w:val="0"/>
        <w:keepLines w:val="0"/>
        <w:pageBreakBefore w:val="0"/>
        <w:widowControl w:val="0"/>
        <w:kinsoku/>
        <w:wordWrap/>
        <w:overflowPunct/>
        <w:topLinePunct w:val="0"/>
        <w:autoSpaceDE/>
        <w:autoSpaceDN/>
        <w:bidi w:val="0"/>
        <w:adjustRightInd/>
        <w:snapToGrid w:val="0"/>
        <w:spacing w:line="40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4.如中标，本投标文件至本项目合同履行完毕止均保持有效，我方将按“招标文件”及政府采购</w:t>
      </w:r>
      <w:r>
        <w:rPr>
          <w:rFonts w:hint="eastAsia" w:ascii="宋体" w:hAnsi="宋体" w:cs="宋体"/>
          <w:color w:val="auto"/>
          <w:szCs w:val="21"/>
          <w:highlight w:val="none"/>
          <w:lang w:eastAsia="zh-CN"/>
        </w:rPr>
        <w:t>法律法规</w:t>
      </w:r>
      <w:r>
        <w:rPr>
          <w:rFonts w:hint="eastAsia" w:ascii="宋体" w:hAnsi="宋体" w:cs="宋体"/>
          <w:color w:val="auto"/>
          <w:szCs w:val="21"/>
          <w:highlight w:val="none"/>
        </w:rPr>
        <w:t>的规定履行合同责任和义务。</w:t>
      </w:r>
    </w:p>
    <w:p w14:paraId="54A9031C">
      <w:pPr>
        <w:keepNext w:val="0"/>
        <w:keepLines w:val="0"/>
        <w:pageBreakBefore w:val="0"/>
        <w:widowControl w:val="0"/>
        <w:kinsoku/>
        <w:wordWrap/>
        <w:overflowPunct/>
        <w:topLinePunct w:val="0"/>
        <w:autoSpaceDE/>
        <w:autoSpaceDN/>
        <w:bidi w:val="0"/>
        <w:adjustRightInd/>
        <w:snapToGrid w:val="0"/>
        <w:spacing w:line="40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5.我方同意按照贵方要求提供与投标有关的一切数据或者资料。</w:t>
      </w:r>
    </w:p>
    <w:p w14:paraId="02449BF6">
      <w:pPr>
        <w:keepNext w:val="0"/>
        <w:keepLines w:val="0"/>
        <w:pageBreakBefore w:val="0"/>
        <w:widowControl w:val="0"/>
        <w:kinsoku/>
        <w:wordWrap/>
        <w:overflowPunct/>
        <w:topLinePunct w:val="0"/>
        <w:autoSpaceDE/>
        <w:autoSpaceDN/>
        <w:bidi w:val="0"/>
        <w:adjustRightInd/>
        <w:snapToGrid w:val="0"/>
        <w:spacing w:line="40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6.我方向贵方提交的所有投标文件、资料都是准确的和真实的。</w:t>
      </w:r>
    </w:p>
    <w:p w14:paraId="6773813A">
      <w:pPr>
        <w:keepNext w:val="0"/>
        <w:keepLines w:val="0"/>
        <w:pageBreakBefore w:val="0"/>
        <w:widowControl w:val="0"/>
        <w:kinsoku/>
        <w:wordWrap/>
        <w:overflowPunct/>
        <w:topLinePunct w:val="0"/>
        <w:autoSpaceDE/>
        <w:autoSpaceDN/>
        <w:bidi w:val="0"/>
        <w:adjustRightInd/>
        <w:snapToGrid w:val="0"/>
        <w:spacing w:line="40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7.以上事项如有虚假或者隐瞒，我方愿意承担一切后果，并不再寻求任何旨在减轻或者免除法律责任的辩解。</w:t>
      </w:r>
    </w:p>
    <w:p w14:paraId="7DE23B50">
      <w:pPr>
        <w:keepNext w:val="0"/>
        <w:keepLines w:val="0"/>
        <w:pageBreakBefore w:val="0"/>
        <w:widowControl w:val="0"/>
        <w:kinsoku/>
        <w:wordWrap/>
        <w:overflowPunct/>
        <w:topLinePunct w:val="0"/>
        <w:autoSpaceDE/>
        <w:autoSpaceDN/>
        <w:bidi w:val="0"/>
        <w:adjustRightInd/>
        <w:spacing w:line="40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8.根据《中华人民共和国政府采购法实施条例》第五十条要求对政府采购合同进行公告，但政府采购合同中涉及国家秘密、商业秘密的内容除外。我方就对本次投标文件进行注明如下：（两项内容中必须选择一项）</w:t>
      </w:r>
    </w:p>
    <w:p w14:paraId="69FFF176">
      <w:pPr>
        <w:keepNext w:val="0"/>
        <w:keepLines w:val="0"/>
        <w:pageBreakBefore w:val="0"/>
        <w:widowControl w:val="0"/>
        <w:kinsoku/>
        <w:wordWrap/>
        <w:overflowPunct/>
        <w:topLinePunct w:val="0"/>
        <w:autoSpaceDE/>
        <w:autoSpaceDN/>
        <w:bidi w:val="0"/>
        <w:adjustRightInd/>
        <w:spacing w:line="40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□我方本次投标文件</w:t>
      </w:r>
      <w:r>
        <w:rPr>
          <w:rFonts w:hint="eastAsia" w:ascii="宋体" w:hAnsi="宋体" w:cs="宋体"/>
          <w:color w:val="auto"/>
          <w:kern w:val="0"/>
          <w:szCs w:val="21"/>
          <w:highlight w:val="none"/>
        </w:rPr>
        <w:t>内容中</w:t>
      </w:r>
      <w:r>
        <w:rPr>
          <w:rFonts w:hint="eastAsia" w:ascii="宋体" w:hAnsi="宋体" w:cs="宋体"/>
          <w:color w:val="auto"/>
          <w:szCs w:val="21"/>
          <w:highlight w:val="none"/>
        </w:rPr>
        <w:t>未</w:t>
      </w:r>
      <w:r>
        <w:rPr>
          <w:rFonts w:hint="eastAsia" w:ascii="宋体" w:hAnsi="宋体" w:cs="宋体"/>
          <w:color w:val="auto"/>
          <w:kern w:val="0"/>
          <w:szCs w:val="21"/>
          <w:highlight w:val="none"/>
        </w:rPr>
        <w:t>涉及商业秘密；</w:t>
      </w:r>
    </w:p>
    <w:p w14:paraId="297EC0A7">
      <w:pPr>
        <w:keepNext w:val="0"/>
        <w:keepLines w:val="0"/>
        <w:pageBreakBefore w:val="0"/>
        <w:widowControl w:val="0"/>
        <w:kinsoku/>
        <w:wordWrap/>
        <w:overflowPunct/>
        <w:topLinePunct w:val="0"/>
        <w:autoSpaceDE/>
        <w:autoSpaceDN/>
        <w:bidi w:val="0"/>
        <w:adjustRightInd/>
        <w:snapToGrid w:val="0"/>
        <w:spacing w:line="40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□我方本次投标文件</w:t>
      </w:r>
      <w:r>
        <w:rPr>
          <w:rFonts w:hint="eastAsia" w:ascii="宋体" w:hAnsi="宋体" w:cs="宋体"/>
          <w:color w:val="auto"/>
          <w:kern w:val="0"/>
          <w:szCs w:val="21"/>
          <w:highlight w:val="none"/>
        </w:rPr>
        <w:t>涉及商业秘密的内容有：</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w:t>
      </w:r>
    </w:p>
    <w:p w14:paraId="1A768B88">
      <w:pPr>
        <w:keepNext w:val="0"/>
        <w:keepLines w:val="0"/>
        <w:pageBreakBefore w:val="0"/>
        <w:widowControl w:val="0"/>
        <w:kinsoku/>
        <w:wordWrap/>
        <w:overflowPunct/>
        <w:topLinePunct w:val="0"/>
        <w:autoSpaceDE/>
        <w:autoSpaceDN/>
        <w:bidi w:val="0"/>
        <w:adjustRightInd/>
        <w:snapToGrid w:val="0"/>
        <w:spacing w:line="40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9.与本项目有关的一切正式往来信函请寄：</w:t>
      </w:r>
    </w:p>
    <w:p w14:paraId="030A90AA">
      <w:pPr>
        <w:keepNext w:val="0"/>
        <w:keepLines w:val="0"/>
        <w:pageBreakBefore w:val="0"/>
        <w:widowControl w:val="0"/>
        <w:kinsoku/>
        <w:wordWrap/>
        <w:overflowPunct/>
        <w:topLinePunct w:val="0"/>
        <w:autoSpaceDE/>
        <w:autoSpaceDN/>
        <w:bidi w:val="0"/>
        <w:adjustRightInd/>
        <w:snapToGrid w:val="0"/>
        <w:spacing w:line="400" w:lineRule="exact"/>
        <w:ind w:firstLine="420" w:firstLineChars="200"/>
        <w:textAlignment w:val="auto"/>
        <w:rPr>
          <w:rFonts w:hint="eastAsia" w:ascii="宋体" w:hAnsi="宋体" w:cs="宋体"/>
          <w:color w:val="auto"/>
          <w:szCs w:val="21"/>
          <w:highlight w:val="none"/>
          <w:u w:val="single"/>
        </w:rPr>
      </w:pPr>
      <w:r>
        <w:rPr>
          <w:rFonts w:hint="eastAsia" w:ascii="宋体" w:hAnsi="宋体" w:cs="宋体"/>
          <w:color w:val="auto"/>
          <w:szCs w:val="21"/>
          <w:highlight w:val="none"/>
        </w:rPr>
        <w:t>地址：</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邮编：</w:t>
      </w:r>
      <w:r>
        <w:rPr>
          <w:rFonts w:hint="eastAsia" w:ascii="宋体" w:hAnsi="宋体" w:cs="宋体"/>
          <w:color w:val="auto"/>
          <w:szCs w:val="21"/>
          <w:highlight w:val="none"/>
          <w:u w:val="single"/>
        </w:rPr>
        <w:t xml:space="preserve">            </w:t>
      </w:r>
    </w:p>
    <w:p w14:paraId="4A683AFE">
      <w:pPr>
        <w:keepNext w:val="0"/>
        <w:keepLines w:val="0"/>
        <w:pageBreakBefore w:val="0"/>
        <w:widowControl w:val="0"/>
        <w:kinsoku/>
        <w:wordWrap/>
        <w:overflowPunct/>
        <w:topLinePunct w:val="0"/>
        <w:autoSpaceDE/>
        <w:autoSpaceDN/>
        <w:bidi w:val="0"/>
        <w:adjustRightInd/>
        <w:snapToGrid w:val="0"/>
        <w:spacing w:line="40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联系人：</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电话：</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传真：</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电子邮箱：</w:t>
      </w:r>
      <w:r>
        <w:rPr>
          <w:rFonts w:hint="eastAsia" w:ascii="宋体" w:hAnsi="宋体" w:cs="宋体"/>
          <w:color w:val="auto"/>
          <w:szCs w:val="21"/>
          <w:highlight w:val="none"/>
          <w:u w:val="single"/>
        </w:rPr>
        <w:t xml:space="preserve">         </w:t>
      </w:r>
    </w:p>
    <w:p w14:paraId="2F24EF4E">
      <w:pPr>
        <w:keepNext w:val="0"/>
        <w:keepLines w:val="0"/>
        <w:pageBreakBefore w:val="0"/>
        <w:widowControl w:val="0"/>
        <w:kinsoku/>
        <w:wordWrap/>
        <w:overflowPunct/>
        <w:topLinePunct w:val="0"/>
        <w:autoSpaceDE/>
        <w:autoSpaceDN/>
        <w:bidi w:val="0"/>
        <w:adjustRightInd/>
        <w:snapToGrid w:val="0"/>
        <w:spacing w:line="40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投标人名称：</w:t>
      </w:r>
      <w:r>
        <w:rPr>
          <w:rFonts w:hint="eastAsia" w:ascii="宋体" w:hAnsi="宋体" w:cs="宋体"/>
          <w:color w:val="auto"/>
          <w:szCs w:val="21"/>
          <w:highlight w:val="none"/>
          <w:u w:val="single"/>
        </w:rPr>
        <w:t xml:space="preserve">                </w:t>
      </w:r>
    </w:p>
    <w:p w14:paraId="28F9F7BD">
      <w:pPr>
        <w:keepNext w:val="0"/>
        <w:keepLines w:val="0"/>
        <w:pageBreakBefore w:val="0"/>
        <w:widowControl w:val="0"/>
        <w:kinsoku/>
        <w:wordWrap/>
        <w:overflowPunct/>
        <w:topLinePunct w:val="0"/>
        <w:autoSpaceDE/>
        <w:autoSpaceDN/>
        <w:bidi w:val="0"/>
        <w:adjustRightInd/>
        <w:snapToGrid w:val="0"/>
        <w:spacing w:line="4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开户银行：</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银行账号：</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w:t>
      </w:r>
    </w:p>
    <w:p w14:paraId="59F2C939">
      <w:pPr>
        <w:keepNext w:val="0"/>
        <w:keepLines w:val="0"/>
        <w:pageBreakBefore w:val="0"/>
        <w:widowControl w:val="0"/>
        <w:kinsoku/>
        <w:wordWrap/>
        <w:overflowPunct/>
        <w:topLinePunct w:val="0"/>
        <w:autoSpaceDE/>
        <w:autoSpaceDN/>
        <w:bidi w:val="0"/>
        <w:adjustRightInd/>
        <w:snapToGrid w:val="0"/>
        <w:spacing w:line="4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 xml:space="preserve">                </w:t>
      </w:r>
    </w:p>
    <w:p w14:paraId="107BF4D5">
      <w:pPr>
        <w:keepNext w:val="0"/>
        <w:keepLines w:val="0"/>
        <w:pageBreakBefore w:val="0"/>
        <w:widowControl w:val="0"/>
        <w:kinsoku/>
        <w:wordWrap/>
        <w:overflowPunct/>
        <w:topLinePunct w:val="0"/>
        <w:autoSpaceDE/>
        <w:autoSpaceDN/>
        <w:bidi w:val="0"/>
        <w:adjustRightInd/>
        <w:snapToGrid w:val="0"/>
        <w:spacing w:line="400" w:lineRule="exact"/>
        <w:ind w:firstLine="3045" w:firstLineChars="145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法定代表人或者委托代理人（签字或者电子签名）：</w:t>
      </w:r>
      <w:r>
        <w:rPr>
          <w:rFonts w:hint="eastAsia" w:ascii="宋体" w:hAnsi="宋体" w:cs="宋体"/>
          <w:color w:val="auto"/>
          <w:szCs w:val="21"/>
          <w:highlight w:val="none"/>
          <w:u w:val="single"/>
        </w:rPr>
        <w:t xml:space="preserve">          </w:t>
      </w:r>
    </w:p>
    <w:p w14:paraId="16BA89A8">
      <w:pPr>
        <w:pStyle w:val="20"/>
        <w:keepNext w:val="0"/>
        <w:keepLines w:val="0"/>
        <w:pageBreakBefore w:val="0"/>
        <w:widowControl w:val="0"/>
        <w:kinsoku/>
        <w:wordWrap/>
        <w:overflowPunct/>
        <w:topLinePunct w:val="0"/>
        <w:autoSpaceDE/>
        <w:autoSpaceDN/>
        <w:bidi w:val="0"/>
        <w:adjustRightInd/>
        <w:snapToGrid w:val="0"/>
        <w:spacing w:before="295" w:after="295" w:line="400" w:lineRule="exact"/>
        <w:jc w:val="center"/>
        <w:textAlignment w:val="auto"/>
        <w:rPr>
          <w:rFonts w:hint="eastAsia" w:hAnsi="宋体" w:cs="宋体"/>
          <w:color w:val="auto"/>
          <w:highlight w:val="none"/>
          <w:u w:val="single"/>
        </w:rPr>
      </w:pPr>
      <w:r>
        <w:rPr>
          <w:rFonts w:hint="eastAsia" w:hAnsi="宋体" w:cs="宋体"/>
          <w:color w:val="auto"/>
          <w:highlight w:val="none"/>
        </w:rPr>
        <w:t xml:space="preserve">                                     投标人名称（电子签章）：</w:t>
      </w:r>
      <w:r>
        <w:rPr>
          <w:rFonts w:hint="eastAsia" w:hAnsi="宋体" w:cs="宋体"/>
          <w:color w:val="auto"/>
          <w:highlight w:val="none"/>
          <w:u w:val="single"/>
        </w:rPr>
        <w:t xml:space="preserve">          </w:t>
      </w:r>
    </w:p>
    <w:p w14:paraId="37E73EBC">
      <w:pPr>
        <w:pStyle w:val="20"/>
        <w:keepNext w:val="0"/>
        <w:keepLines w:val="0"/>
        <w:pageBreakBefore w:val="0"/>
        <w:widowControl w:val="0"/>
        <w:kinsoku/>
        <w:wordWrap/>
        <w:overflowPunct/>
        <w:topLinePunct w:val="0"/>
        <w:autoSpaceDE/>
        <w:autoSpaceDN/>
        <w:bidi w:val="0"/>
        <w:adjustRightInd/>
        <w:snapToGrid w:val="0"/>
        <w:spacing w:before="295" w:after="295" w:line="400" w:lineRule="exact"/>
        <w:textAlignment w:val="auto"/>
        <w:rPr>
          <w:rFonts w:hint="eastAsia" w:hAnsi="宋体" w:cs="宋体"/>
          <w:color w:val="auto"/>
          <w:highlight w:val="none"/>
        </w:rPr>
      </w:pPr>
      <w:r>
        <w:rPr>
          <w:rFonts w:hint="eastAsia" w:hAnsi="宋体" w:cs="宋体"/>
          <w:color w:val="auto"/>
          <w:highlight w:val="none"/>
        </w:rPr>
        <w:t xml:space="preserve">                                                </w:t>
      </w:r>
      <w:r>
        <w:rPr>
          <w:rFonts w:hint="eastAsia" w:hAnsi="宋体" w:cs="宋体"/>
          <w:color w:val="auto"/>
          <w:highlight w:val="none"/>
          <w:u w:val="single"/>
        </w:rPr>
        <w:t xml:space="preserve">      </w:t>
      </w:r>
      <w:r>
        <w:rPr>
          <w:rFonts w:hint="eastAsia" w:hAnsi="宋体" w:cs="宋体"/>
          <w:color w:val="auto"/>
          <w:highlight w:val="none"/>
        </w:rPr>
        <w:t>年</w:t>
      </w:r>
      <w:r>
        <w:rPr>
          <w:rFonts w:hint="eastAsia" w:hAnsi="宋体" w:cs="宋体"/>
          <w:color w:val="auto"/>
          <w:highlight w:val="none"/>
          <w:u w:val="single"/>
        </w:rPr>
        <w:t xml:space="preserve">    </w:t>
      </w:r>
      <w:r>
        <w:rPr>
          <w:rFonts w:hint="eastAsia" w:hAnsi="宋体" w:cs="宋体"/>
          <w:color w:val="auto"/>
          <w:highlight w:val="none"/>
        </w:rPr>
        <w:t>月</w:t>
      </w:r>
      <w:r>
        <w:rPr>
          <w:rFonts w:hint="eastAsia" w:hAnsi="宋体" w:cs="宋体"/>
          <w:color w:val="auto"/>
          <w:highlight w:val="none"/>
          <w:u w:val="single"/>
        </w:rPr>
        <w:t xml:space="preserve">     </w:t>
      </w:r>
      <w:r>
        <w:rPr>
          <w:rFonts w:hint="eastAsia" w:hAnsi="宋体" w:cs="宋体"/>
          <w:color w:val="auto"/>
          <w:highlight w:val="none"/>
        </w:rPr>
        <w:t>日</w:t>
      </w:r>
    </w:p>
    <w:p w14:paraId="4BA80216">
      <w:pPr>
        <w:snapToGrid w:val="0"/>
        <w:spacing w:before="120" w:beforeLines="50" w:after="50"/>
        <w:jc w:val="left"/>
        <w:rPr>
          <w:rFonts w:hint="eastAsia" w:ascii="宋体" w:hAnsi="宋体" w:cs="宋体"/>
          <w:b/>
          <w:color w:val="auto"/>
          <w:sz w:val="24"/>
          <w:szCs w:val="20"/>
          <w:highlight w:val="none"/>
        </w:rPr>
      </w:pPr>
      <w:r>
        <w:rPr>
          <w:rFonts w:hint="eastAsia" w:ascii="宋体" w:hAnsi="宋体" w:cs="宋体"/>
          <w:color w:val="auto"/>
          <w:highlight w:val="none"/>
          <w:u w:val="single"/>
        </w:rPr>
        <w:br w:type="page"/>
      </w:r>
      <w:r>
        <w:rPr>
          <w:rFonts w:hint="eastAsia" w:ascii="宋体" w:hAnsi="宋体" w:cs="宋体"/>
          <w:b/>
          <w:color w:val="auto"/>
          <w:sz w:val="24"/>
          <w:highlight w:val="none"/>
        </w:rPr>
        <w:t>4.开标一览表（服务类格式）</w:t>
      </w:r>
    </w:p>
    <w:p w14:paraId="49C81D18">
      <w:pPr>
        <w:snapToGrid w:val="0"/>
        <w:spacing w:before="120" w:beforeLines="50" w:after="50"/>
        <w:ind w:left="420"/>
        <w:jc w:val="center"/>
        <w:rPr>
          <w:rFonts w:hint="eastAsia" w:ascii="宋体" w:hAnsi="宋体" w:cs="宋体"/>
          <w:b/>
          <w:bCs/>
          <w:color w:val="auto"/>
          <w:spacing w:val="-17"/>
          <w:sz w:val="30"/>
          <w:szCs w:val="30"/>
          <w:highlight w:val="none"/>
        </w:rPr>
      </w:pPr>
      <w:r>
        <w:rPr>
          <w:rFonts w:hint="eastAsia" w:ascii="宋体" w:hAnsi="宋体" w:cs="宋体"/>
          <w:b/>
          <w:bCs/>
          <w:color w:val="auto"/>
          <w:spacing w:val="-17"/>
          <w:sz w:val="30"/>
          <w:szCs w:val="30"/>
          <w:highlight w:val="none"/>
        </w:rPr>
        <w:t>开标一览表</w:t>
      </w:r>
    </w:p>
    <w:p w14:paraId="595545DB">
      <w:pPr>
        <w:keepNext w:val="0"/>
        <w:keepLines w:val="0"/>
        <w:pageBreakBefore w:val="0"/>
        <w:wordWrap/>
        <w:overflowPunct/>
        <w:topLinePunct w:val="0"/>
        <w:bidi w:val="0"/>
        <w:snapToGrid w:val="0"/>
        <w:spacing w:before="50" w:after="50" w:line="400" w:lineRule="exact"/>
        <w:rPr>
          <w:rFonts w:hint="eastAsia" w:ascii="宋体" w:hAnsi="宋体" w:cs="宋体"/>
          <w:color w:val="auto"/>
          <w:szCs w:val="21"/>
          <w:highlight w:val="none"/>
          <w:u w:val="single"/>
        </w:rPr>
      </w:pPr>
      <w:r>
        <w:rPr>
          <w:rFonts w:hint="eastAsia" w:ascii="宋体" w:hAnsi="宋体" w:cs="宋体"/>
          <w:color w:val="auto"/>
          <w:szCs w:val="21"/>
          <w:highlight w:val="none"/>
        </w:rPr>
        <w:t>项目名称：</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项目编号：</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分标：</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w:t>
      </w:r>
      <w:r>
        <w:rPr>
          <w:rFonts w:hint="eastAsia" w:ascii="宋体" w:hAnsi="宋体" w:cs="宋体"/>
          <w:color w:val="auto"/>
          <w:szCs w:val="21"/>
          <w:highlight w:val="none"/>
          <w:u w:val="single"/>
        </w:rPr>
        <w:t xml:space="preserve">      </w:t>
      </w:r>
    </w:p>
    <w:p w14:paraId="390B4036">
      <w:pPr>
        <w:keepNext w:val="0"/>
        <w:keepLines w:val="0"/>
        <w:pageBreakBefore w:val="0"/>
        <w:wordWrap/>
        <w:overflowPunct/>
        <w:topLinePunct w:val="0"/>
        <w:bidi w:val="0"/>
        <w:snapToGrid w:val="0"/>
        <w:spacing w:before="50" w:after="50" w:line="400" w:lineRule="exact"/>
        <w:rPr>
          <w:rFonts w:hint="eastAsia" w:ascii="宋体" w:hAnsi="宋体" w:cs="宋体"/>
          <w:color w:val="auto"/>
          <w:szCs w:val="21"/>
          <w:highlight w:val="none"/>
          <w:u w:val="single"/>
        </w:rPr>
      </w:pPr>
      <w:r>
        <w:rPr>
          <w:rFonts w:hint="eastAsia" w:ascii="宋体" w:hAnsi="宋体" w:cs="宋体"/>
          <w:color w:val="auto"/>
          <w:szCs w:val="21"/>
          <w:highlight w:val="none"/>
        </w:rPr>
        <w:t>投标人名称：</w:t>
      </w:r>
      <w:r>
        <w:rPr>
          <w:rFonts w:hint="eastAsia" w:ascii="宋体" w:hAnsi="宋体" w:cs="宋体"/>
          <w:color w:val="auto"/>
          <w:szCs w:val="21"/>
          <w:highlight w:val="none"/>
          <w:u w:val="single"/>
        </w:rPr>
        <w:t xml:space="preserve">                  </w:t>
      </w:r>
    </w:p>
    <w:tbl>
      <w:tblPr>
        <w:tblStyle w:val="39"/>
        <w:tblW w:w="9575"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38"/>
        <w:gridCol w:w="2657"/>
        <w:gridCol w:w="993"/>
        <w:gridCol w:w="992"/>
        <w:gridCol w:w="2835"/>
        <w:gridCol w:w="1460"/>
      </w:tblGrid>
      <w:tr w14:paraId="4660E1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816" w:hRule="atLeast"/>
          <w:jc w:val="center"/>
        </w:trPr>
        <w:tc>
          <w:tcPr>
            <w:tcW w:w="638" w:type="dxa"/>
            <w:tcBorders>
              <w:top w:val="single" w:color="000000" w:sz="2" w:space="0"/>
              <w:left w:val="single" w:color="000000" w:sz="2" w:space="0"/>
              <w:bottom w:val="single" w:color="000000" w:sz="2" w:space="0"/>
              <w:right w:val="single" w:color="000000" w:sz="2" w:space="0"/>
            </w:tcBorders>
            <w:noWrap w:val="0"/>
            <w:vAlign w:val="top"/>
          </w:tcPr>
          <w:p w14:paraId="33510F9D">
            <w:pPr>
              <w:pStyle w:val="126"/>
              <w:keepNext w:val="0"/>
              <w:keepLines w:val="0"/>
              <w:pageBreakBefore w:val="0"/>
              <w:suppressLineNumbers w:val="0"/>
              <w:wordWrap/>
              <w:overflowPunct/>
              <w:topLinePunct w:val="0"/>
              <w:bidi w:val="0"/>
              <w:snapToGrid w:val="0"/>
              <w:spacing w:before="210" w:beforeAutospacing="0" w:after="0" w:afterAutospacing="0" w:line="400" w:lineRule="exact"/>
              <w:ind w:left="0" w:right="0"/>
              <w:jc w:val="center"/>
              <w:rPr>
                <w:rFonts w:hint="eastAsia"/>
                <w:color w:val="auto"/>
                <w:highlight w:val="none"/>
              </w:rPr>
            </w:pPr>
            <w:r>
              <w:rPr>
                <w:rFonts w:hint="eastAsia"/>
                <w:color w:val="auto"/>
                <w:spacing w:val="1"/>
                <w:highlight w:val="none"/>
              </w:rPr>
              <w:t>序号</w:t>
            </w:r>
          </w:p>
        </w:tc>
        <w:tc>
          <w:tcPr>
            <w:tcW w:w="2657" w:type="dxa"/>
            <w:tcBorders>
              <w:top w:val="single" w:color="000000" w:sz="2" w:space="0"/>
              <w:left w:val="single" w:color="000000" w:sz="2" w:space="0"/>
              <w:bottom w:val="single" w:color="000000" w:sz="2" w:space="0"/>
              <w:right w:val="single" w:color="000000" w:sz="2" w:space="0"/>
            </w:tcBorders>
            <w:noWrap w:val="0"/>
            <w:vAlign w:val="top"/>
          </w:tcPr>
          <w:p w14:paraId="5D028D2C">
            <w:pPr>
              <w:pStyle w:val="126"/>
              <w:keepNext w:val="0"/>
              <w:keepLines w:val="0"/>
              <w:pageBreakBefore w:val="0"/>
              <w:suppressLineNumbers w:val="0"/>
              <w:wordWrap/>
              <w:overflowPunct/>
              <w:topLinePunct w:val="0"/>
              <w:bidi w:val="0"/>
              <w:snapToGrid w:val="0"/>
              <w:spacing w:before="210" w:beforeAutospacing="0" w:after="0" w:afterAutospacing="0" w:line="400" w:lineRule="exact"/>
              <w:ind w:left="0" w:right="0"/>
              <w:jc w:val="center"/>
              <w:rPr>
                <w:rFonts w:hint="eastAsia"/>
                <w:color w:val="auto"/>
                <w:spacing w:val="1"/>
                <w:highlight w:val="none"/>
              </w:rPr>
            </w:pPr>
            <w:r>
              <w:rPr>
                <w:rFonts w:hint="eastAsia"/>
                <w:color w:val="auto"/>
                <w:spacing w:val="1"/>
                <w:highlight w:val="none"/>
              </w:rPr>
              <w:t>标的名称</w:t>
            </w:r>
          </w:p>
        </w:tc>
        <w:tc>
          <w:tcPr>
            <w:tcW w:w="993" w:type="dxa"/>
            <w:tcBorders>
              <w:top w:val="single" w:color="000000" w:sz="2" w:space="0"/>
              <w:left w:val="single" w:color="000000" w:sz="2" w:space="0"/>
              <w:bottom w:val="single" w:color="000000" w:sz="2" w:space="0"/>
              <w:right w:val="single" w:color="000000" w:sz="2" w:space="0"/>
            </w:tcBorders>
            <w:noWrap w:val="0"/>
            <w:vAlign w:val="top"/>
          </w:tcPr>
          <w:p w14:paraId="443428B9">
            <w:pPr>
              <w:pStyle w:val="126"/>
              <w:keepNext w:val="0"/>
              <w:keepLines w:val="0"/>
              <w:pageBreakBefore w:val="0"/>
              <w:suppressLineNumbers w:val="0"/>
              <w:wordWrap/>
              <w:overflowPunct/>
              <w:topLinePunct w:val="0"/>
              <w:bidi w:val="0"/>
              <w:snapToGrid w:val="0"/>
              <w:spacing w:before="210" w:beforeAutospacing="0" w:after="0" w:afterAutospacing="0" w:line="400" w:lineRule="exact"/>
              <w:ind w:left="0" w:right="0"/>
              <w:jc w:val="center"/>
              <w:rPr>
                <w:rFonts w:hint="eastAsia" w:eastAsia="宋体"/>
                <w:color w:val="auto"/>
                <w:spacing w:val="1"/>
                <w:highlight w:val="none"/>
                <w:lang w:val="en-US" w:eastAsia="zh-CN"/>
              </w:rPr>
            </w:pPr>
            <w:r>
              <w:rPr>
                <w:rFonts w:hint="eastAsia"/>
                <w:color w:val="auto"/>
                <w:spacing w:val="1"/>
                <w:highlight w:val="none"/>
              </w:rPr>
              <w:t>数量</w:t>
            </w:r>
            <w:r>
              <w:rPr>
                <w:rFonts w:hint="eastAsia"/>
                <w:color w:val="auto"/>
                <w:spacing w:val="1"/>
                <w:highlight w:val="none"/>
                <w:lang w:val="en-US" w:eastAsia="zh-CN"/>
              </w:rPr>
              <w:t>①</w:t>
            </w:r>
          </w:p>
        </w:tc>
        <w:tc>
          <w:tcPr>
            <w:tcW w:w="992" w:type="dxa"/>
            <w:tcBorders>
              <w:top w:val="single" w:color="000000" w:sz="2" w:space="0"/>
              <w:left w:val="single" w:color="000000" w:sz="2" w:space="0"/>
              <w:bottom w:val="single" w:color="000000" w:sz="2" w:space="0"/>
              <w:right w:val="single" w:color="000000" w:sz="2" w:space="0"/>
            </w:tcBorders>
            <w:noWrap w:val="0"/>
            <w:vAlign w:val="top"/>
          </w:tcPr>
          <w:p w14:paraId="19199DD4">
            <w:pPr>
              <w:pStyle w:val="126"/>
              <w:keepNext w:val="0"/>
              <w:keepLines w:val="0"/>
              <w:pageBreakBefore w:val="0"/>
              <w:suppressLineNumbers w:val="0"/>
              <w:wordWrap/>
              <w:overflowPunct/>
              <w:topLinePunct w:val="0"/>
              <w:bidi w:val="0"/>
              <w:snapToGrid w:val="0"/>
              <w:spacing w:before="210" w:beforeAutospacing="0" w:after="0" w:afterAutospacing="0" w:line="400" w:lineRule="exact"/>
              <w:ind w:left="0" w:right="0"/>
              <w:jc w:val="center"/>
              <w:rPr>
                <w:rFonts w:hint="default" w:eastAsia="宋体"/>
                <w:color w:val="auto"/>
                <w:spacing w:val="1"/>
                <w:highlight w:val="none"/>
                <w:lang w:val="en-US" w:eastAsia="zh-CN"/>
              </w:rPr>
            </w:pPr>
            <w:r>
              <w:rPr>
                <w:rFonts w:hint="eastAsia"/>
                <w:color w:val="auto"/>
                <w:spacing w:val="1"/>
                <w:highlight w:val="none"/>
                <w:lang w:val="en-US" w:eastAsia="zh-CN"/>
              </w:rPr>
              <w:t>单价②</w:t>
            </w:r>
          </w:p>
        </w:tc>
        <w:tc>
          <w:tcPr>
            <w:tcW w:w="2835" w:type="dxa"/>
            <w:tcBorders>
              <w:top w:val="single" w:color="000000" w:sz="2" w:space="0"/>
              <w:left w:val="single" w:color="000000" w:sz="2" w:space="0"/>
              <w:bottom w:val="single" w:color="000000" w:sz="2" w:space="0"/>
              <w:right w:val="single" w:color="000000" w:sz="2" w:space="0"/>
            </w:tcBorders>
            <w:noWrap w:val="0"/>
            <w:vAlign w:val="top"/>
          </w:tcPr>
          <w:p w14:paraId="117E215E">
            <w:pPr>
              <w:pStyle w:val="126"/>
              <w:keepNext w:val="0"/>
              <w:keepLines w:val="0"/>
              <w:pageBreakBefore w:val="0"/>
              <w:suppressLineNumbers w:val="0"/>
              <w:wordWrap/>
              <w:overflowPunct/>
              <w:topLinePunct w:val="0"/>
              <w:bidi w:val="0"/>
              <w:snapToGrid w:val="0"/>
              <w:spacing w:before="210" w:beforeAutospacing="0" w:after="0" w:afterAutospacing="0" w:line="400" w:lineRule="exact"/>
              <w:ind w:left="0" w:right="0"/>
              <w:jc w:val="center"/>
              <w:rPr>
                <w:rFonts w:hint="eastAsia"/>
                <w:color w:val="auto"/>
                <w:spacing w:val="1"/>
                <w:highlight w:val="none"/>
              </w:rPr>
            </w:pPr>
            <w:r>
              <w:rPr>
                <w:rFonts w:hint="eastAsia"/>
                <w:color w:val="auto"/>
                <w:spacing w:val="1"/>
                <w:highlight w:val="none"/>
              </w:rPr>
              <w:t>单项合价（元）</w:t>
            </w:r>
          </w:p>
          <w:p w14:paraId="1414FBBC">
            <w:pPr>
              <w:pStyle w:val="126"/>
              <w:keepNext w:val="0"/>
              <w:keepLines w:val="0"/>
              <w:pageBreakBefore w:val="0"/>
              <w:suppressLineNumbers w:val="0"/>
              <w:wordWrap/>
              <w:overflowPunct/>
              <w:topLinePunct w:val="0"/>
              <w:bidi w:val="0"/>
              <w:snapToGrid w:val="0"/>
              <w:spacing w:before="210" w:beforeAutospacing="0" w:after="0" w:afterAutospacing="0" w:line="400" w:lineRule="exact"/>
              <w:ind w:left="0" w:right="0"/>
              <w:jc w:val="center"/>
              <w:rPr>
                <w:rFonts w:hint="eastAsia"/>
                <w:color w:val="auto"/>
                <w:spacing w:val="1"/>
                <w:highlight w:val="none"/>
              </w:rPr>
            </w:pPr>
            <w:r>
              <w:rPr>
                <w:rFonts w:hint="eastAsia"/>
                <w:color w:val="auto"/>
                <w:spacing w:val="1"/>
                <w:highlight w:val="none"/>
              </w:rPr>
              <w:t>③＝①×②</w:t>
            </w:r>
          </w:p>
        </w:tc>
        <w:tc>
          <w:tcPr>
            <w:tcW w:w="1460" w:type="dxa"/>
            <w:tcBorders>
              <w:top w:val="single" w:color="000000" w:sz="2" w:space="0"/>
              <w:left w:val="single" w:color="000000" w:sz="2" w:space="0"/>
              <w:bottom w:val="single" w:color="000000" w:sz="2" w:space="0"/>
              <w:right w:val="single" w:color="000000" w:sz="2" w:space="0"/>
            </w:tcBorders>
            <w:noWrap w:val="0"/>
            <w:vAlign w:val="top"/>
          </w:tcPr>
          <w:p w14:paraId="2BA6D013">
            <w:pPr>
              <w:pStyle w:val="126"/>
              <w:keepNext w:val="0"/>
              <w:keepLines w:val="0"/>
              <w:pageBreakBefore w:val="0"/>
              <w:suppressLineNumbers w:val="0"/>
              <w:wordWrap/>
              <w:overflowPunct/>
              <w:topLinePunct w:val="0"/>
              <w:bidi w:val="0"/>
              <w:snapToGrid w:val="0"/>
              <w:spacing w:before="210" w:beforeAutospacing="0" w:after="0" w:afterAutospacing="0" w:line="400" w:lineRule="exact"/>
              <w:ind w:left="0" w:right="0"/>
              <w:jc w:val="center"/>
              <w:rPr>
                <w:rFonts w:hint="eastAsia"/>
                <w:color w:val="auto"/>
                <w:spacing w:val="1"/>
                <w:highlight w:val="none"/>
              </w:rPr>
            </w:pPr>
            <w:r>
              <w:rPr>
                <w:rFonts w:hint="eastAsia"/>
                <w:color w:val="auto"/>
                <w:spacing w:val="1"/>
                <w:highlight w:val="none"/>
              </w:rPr>
              <w:t>备注</w:t>
            </w:r>
          </w:p>
        </w:tc>
      </w:tr>
      <w:tr w14:paraId="1606F7D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51" w:hRule="atLeast"/>
          <w:jc w:val="center"/>
        </w:trPr>
        <w:tc>
          <w:tcPr>
            <w:tcW w:w="638" w:type="dxa"/>
            <w:tcBorders>
              <w:top w:val="single" w:color="000000" w:sz="2" w:space="0"/>
              <w:left w:val="single" w:color="000000" w:sz="2" w:space="0"/>
              <w:bottom w:val="single" w:color="000000" w:sz="2" w:space="0"/>
              <w:right w:val="single" w:color="000000" w:sz="2" w:space="0"/>
            </w:tcBorders>
            <w:noWrap w:val="0"/>
            <w:vAlign w:val="center"/>
          </w:tcPr>
          <w:p w14:paraId="5C1141B2">
            <w:pPr>
              <w:keepNext w:val="0"/>
              <w:keepLines w:val="0"/>
              <w:pageBreakBefore w:val="0"/>
              <w:suppressLineNumbers w:val="0"/>
              <w:kinsoku w:val="0"/>
              <w:wordWrap/>
              <w:overflowPunct/>
              <w:topLinePunct w:val="0"/>
              <w:autoSpaceDE w:val="0"/>
              <w:autoSpaceDN w:val="0"/>
              <w:bidi w:val="0"/>
              <w:adjustRightInd w:val="0"/>
              <w:snapToGrid w:val="0"/>
              <w:spacing w:before="60" w:beforeAutospacing="0" w:after="0" w:afterAutospacing="0" w:line="400" w:lineRule="exact"/>
              <w:ind w:left="288" w:right="0"/>
              <w:textAlignment w:val="baseline"/>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1</w:t>
            </w:r>
          </w:p>
        </w:tc>
        <w:tc>
          <w:tcPr>
            <w:tcW w:w="2657" w:type="dxa"/>
            <w:tcBorders>
              <w:top w:val="single" w:color="000000" w:sz="2" w:space="0"/>
              <w:left w:val="single" w:color="000000" w:sz="2" w:space="0"/>
              <w:bottom w:val="single" w:color="000000" w:sz="2" w:space="0"/>
              <w:right w:val="single" w:color="000000" w:sz="2" w:space="0"/>
            </w:tcBorders>
            <w:noWrap w:val="0"/>
            <w:vAlign w:val="center"/>
          </w:tcPr>
          <w:p w14:paraId="09484B2A">
            <w:pPr>
              <w:pStyle w:val="126"/>
              <w:keepNext w:val="0"/>
              <w:keepLines w:val="0"/>
              <w:pageBreakBefore w:val="0"/>
              <w:suppressLineNumbers w:val="0"/>
              <w:wordWrap/>
              <w:overflowPunct/>
              <w:topLinePunct w:val="0"/>
              <w:bidi w:val="0"/>
              <w:snapToGrid w:val="0"/>
              <w:spacing w:before="107" w:beforeAutospacing="0" w:after="0" w:afterAutospacing="0" w:line="400" w:lineRule="exact"/>
              <w:ind w:left="205" w:right="195"/>
              <w:jc w:val="center"/>
              <w:rPr>
                <w:rFonts w:hint="eastAsia"/>
                <w:color w:val="auto"/>
                <w:highlight w:val="none"/>
              </w:rPr>
            </w:pPr>
            <w:r>
              <w:rPr>
                <w:rFonts w:hint="eastAsia" w:cs="宋体"/>
                <w:color w:val="auto"/>
                <w:highlight w:val="none"/>
                <w:lang w:eastAsia="zh-CN"/>
              </w:rPr>
              <w:t xml:space="preserve">广西壮族自治区2026年度计划生育特殊家庭综合保险项目 </w:t>
            </w:r>
          </w:p>
        </w:tc>
        <w:tc>
          <w:tcPr>
            <w:tcW w:w="993" w:type="dxa"/>
            <w:tcBorders>
              <w:top w:val="single" w:color="000000" w:sz="2" w:space="0"/>
              <w:left w:val="single" w:color="000000" w:sz="2" w:space="0"/>
              <w:bottom w:val="single" w:color="000000" w:sz="2" w:space="0"/>
              <w:right w:val="single" w:color="000000" w:sz="2" w:space="0"/>
            </w:tcBorders>
            <w:noWrap w:val="0"/>
            <w:vAlign w:val="center"/>
          </w:tcPr>
          <w:p w14:paraId="3D879F36">
            <w:pPr>
              <w:keepNext w:val="0"/>
              <w:keepLines w:val="0"/>
              <w:pageBreakBefore w:val="0"/>
              <w:suppressLineNumbers w:val="0"/>
              <w:kinsoku w:val="0"/>
              <w:wordWrap/>
              <w:overflowPunct/>
              <w:topLinePunct w:val="0"/>
              <w:autoSpaceDE w:val="0"/>
              <w:autoSpaceDN w:val="0"/>
              <w:bidi w:val="0"/>
              <w:adjustRightInd w:val="0"/>
              <w:snapToGrid w:val="0"/>
              <w:spacing w:before="60" w:beforeAutospacing="0" w:after="0" w:afterAutospacing="0" w:line="400" w:lineRule="exact"/>
              <w:ind w:left="0" w:right="0"/>
              <w:textAlignment w:val="baseline"/>
              <w:rPr>
                <w:rFonts w:hint="default" w:ascii="宋体" w:hAnsi="宋体" w:cs="宋体"/>
                <w:color w:val="auto"/>
                <w:szCs w:val="21"/>
                <w:highlight w:val="none"/>
                <w:lang w:val="en-US"/>
              </w:rPr>
            </w:pPr>
            <w:r>
              <w:rPr>
                <w:rFonts w:hint="eastAsia" w:ascii="宋体" w:hAnsi="宋体" w:eastAsia="宋体" w:cs="宋体"/>
                <w:b w:val="0"/>
                <w:bCs w:val="0"/>
                <w:color w:val="auto"/>
                <w:kern w:val="2"/>
                <w:sz w:val="21"/>
                <w:szCs w:val="21"/>
                <w:highlight w:val="none"/>
                <w:lang w:val="en-US" w:eastAsia="zh-CN" w:bidi="ar"/>
              </w:rPr>
              <w:t>34000</w:t>
            </w:r>
            <w:r>
              <w:rPr>
                <w:rFonts w:hint="eastAsia" w:ascii="宋体" w:hAnsi="宋体" w:cs="宋体"/>
                <w:b w:val="0"/>
                <w:bCs w:val="0"/>
                <w:color w:val="auto"/>
                <w:kern w:val="2"/>
                <w:sz w:val="21"/>
                <w:szCs w:val="21"/>
                <w:highlight w:val="none"/>
                <w:lang w:val="en-US" w:eastAsia="zh-CN" w:bidi="ar"/>
              </w:rPr>
              <w:t>份</w:t>
            </w:r>
          </w:p>
        </w:tc>
        <w:tc>
          <w:tcPr>
            <w:tcW w:w="992" w:type="dxa"/>
            <w:tcBorders>
              <w:top w:val="single" w:color="000000" w:sz="2" w:space="0"/>
              <w:left w:val="single" w:color="000000" w:sz="2" w:space="0"/>
              <w:bottom w:val="single" w:color="000000" w:sz="2" w:space="0"/>
              <w:right w:val="single" w:color="000000" w:sz="2" w:space="0"/>
            </w:tcBorders>
            <w:noWrap w:val="0"/>
            <w:vAlign w:val="center"/>
          </w:tcPr>
          <w:p w14:paraId="49C868F4">
            <w:pPr>
              <w:pStyle w:val="126"/>
              <w:keepNext w:val="0"/>
              <w:keepLines w:val="0"/>
              <w:pageBreakBefore w:val="0"/>
              <w:suppressLineNumbers w:val="0"/>
              <w:wordWrap/>
              <w:overflowPunct/>
              <w:topLinePunct w:val="0"/>
              <w:bidi w:val="0"/>
              <w:snapToGrid w:val="0"/>
              <w:spacing w:before="68" w:beforeAutospacing="0" w:after="0" w:afterAutospacing="0" w:line="400" w:lineRule="exact"/>
              <w:ind w:left="0" w:right="0"/>
              <w:jc w:val="center"/>
              <w:rPr>
                <w:rFonts w:hint="default" w:eastAsia="宋体"/>
                <w:color w:val="auto"/>
                <w:highlight w:val="none"/>
                <w:lang w:val="en-US" w:eastAsia="zh-CN"/>
              </w:rPr>
            </w:pPr>
            <w:r>
              <w:rPr>
                <w:rFonts w:hint="eastAsia"/>
                <w:color w:val="auto"/>
                <w:highlight w:val="none"/>
                <w:lang w:val="en-US" w:eastAsia="zh-CN"/>
              </w:rPr>
              <w:t>500</w:t>
            </w:r>
          </w:p>
        </w:tc>
        <w:tc>
          <w:tcPr>
            <w:tcW w:w="2835" w:type="dxa"/>
            <w:tcBorders>
              <w:top w:val="single" w:color="000000" w:sz="2" w:space="0"/>
              <w:left w:val="single" w:color="000000" w:sz="2" w:space="0"/>
              <w:bottom w:val="single" w:color="000000" w:sz="2" w:space="0"/>
              <w:right w:val="single" w:color="000000" w:sz="2" w:space="0"/>
            </w:tcBorders>
            <w:noWrap w:val="0"/>
            <w:vAlign w:val="center"/>
          </w:tcPr>
          <w:p w14:paraId="178F7E9D">
            <w:pPr>
              <w:keepNext w:val="0"/>
              <w:keepLines w:val="0"/>
              <w:pageBreakBefore w:val="0"/>
              <w:suppressLineNumbers w:val="0"/>
              <w:kinsoku w:val="0"/>
              <w:wordWrap/>
              <w:overflowPunct/>
              <w:topLinePunct w:val="0"/>
              <w:autoSpaceDE w:val="0"/>
              <w:autoSpaceDN w:val="0"/>
              <w:bidi w:val="0"/>
              <w:adjustRightInd w:val="0"/>
              <w:snapToGrid w:val="0"/>
              <w:spacing w:before="0" w:beforeAutospacing="0" w:after="0" w:afterAutospacing="0" w:line="400" w:lineRule="exact"/>
              <w:ind w:left="0" w:right="0"/>
              <w:jc w:val="center"/>
              <w:textAlignment w:val="baseline"/>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17000000.00</w:t>
            </w:r>
          </w:p>
        </w:tc>
        <w:tc>
          <w:tcPr>
            <w:tcW w:w="1460" w:type="dxa"/>
            <w:tcBorders>
              <w:top w:val="single" w:color="000000" w:sz="2" w:space="0"/>
              <w:left w:val="single" w:color="000000" w:sz="2" w:space="0"/>
              <w:bottom w:val="single" w:color="000000" w:sz="2" w:space="0"/>
              <w:right w:val="single" w:color="000000" w:sz="2" w:space="0"/>
            </w:tcBorders>
            <w:noWrap w:val="0"/>
            <w:vAlign w:val="center"/>
          </w:tcPr>
          <w:p w14:paraId="5CC3CA75">
            <w:pPr>
              <w:keepNext w:val="0"/>
              <w:keepLines w:val="0"/>
              <w:pageBreakBefore w:val="0"/>
              <w:suppressLineNumbers w:val="0"/>
              <w:kinsoku w:val="0"/>
              <w:wordWrap/>
              <w:overflowPunct/>
              <w:topLinePunct w:val="0"/>
              <w:autoSpaceDE w:val="0"/>
              <w:autoSpaceDN w:val="0"/>
              <w:bidi w:val="0"/>
              <w:adjustRightInd w:val="0"/>
              <w:snapToGrid w:val="0"/>
              <w:spacing w:before="0" w:beforeAutospacing="0" w:after="0" w:afterAutospacing="0" w:line="400" w:lineRule="exact"/>
              <w:ind w:left="0" w:right="0"/>
              <w:jc w:val="center"/>
              <w:textAlignment w:val="baseline"/>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eastAsia="zh-CN"/>
              </w:rPr>
              <w:t>合同金额以双方实际确认的人数为准</w:t>
            </w:r>
          </w:p>
        </w:tc>
      </w:tr>
      <w:tr w14:paraId="583FC3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5" w:hRule="atLeast"/>
          <w:jc w:val="center"/>
        </w:trPr>
        <w:tc>
          <w:tcPr>
            <w:tcW w:w="9575" w:type="dxa"/>
            <w:gridSpan w:val="6"/>
            <w:tcBorders>
              <w:top w:val="single" w:color="000000" w:sz="2" w:space="0"/>
              <w:left w:val="single" w:color="000000" w:sz="2" w:space="0"/>
              <w:right w:val="single" w:color="000000" w:sz="2" w:space="0"/>
            </w:tcBorders>
            <w:noWrap w:val="0"/>
            <w:vAlign w:val="top"/>
          </w:tcPr>
          <w:p w14:paraId="3D2953A4">
            <w:pPr>
              <w:keepNext w:val="0"/>
              <w:keepLines w:val="0"/>
              <w:pageBreakBefore w:val="0"/>
              <w:suppressLineNumbers w:val="0"/>
              <w:wordWrap/>
              <w:overflowPunct/>
              <w:topLinePunct w:val="0"/>
              <w:bidi w:val="0"/>
              <w:snapToGrid w:val="0"/>
              <w:spacing w:before="50" w:beforeAutospacing="0" w:after="50" w:afterAutospacing="0"/>
              <w:ind w:left="0" w:right="0" w:firstLine="602" w:firstLineChars="250"/>
              <w:jc w:val="both"/>
              <w:rPr>
                <w:rFonts w:hint="eastAsia"/>
                <w:color w:val="auto"/>
                <w:highlight w:val="none"/>
              </w:rPr>
            </w:pPr>
            <w:r>
              <w:rPr>
                <w:rFonts w:hint="eastAsia" w:ascii="宋体" w:hAnsi="宋体" w:cs="宋体"/>
                <w:b/>
                <w:color w:val="auto"/>
                <w:sz w:val="24"/>
                <w:highlight w:val="none"/>
              </w:rPr>
              <w:t>投标报价：</w:t>
            </w:r>
            <w:r>
              <w:rPr>
                <w:rFonts w:hint="eastAsia" w:ascii="宋体" w:hAnsi="宋体"/>
                <w:color w:val="auto"/>
                <w:szCs w:val="22"/>
                <w:highlight w:val="none"/>
                <w:u w:val="single"/>
              </w:rPr>
              <w:t xml:space="preserve">（大写）人民币 </w:t>
            </w:r>
            <w:r>
              <w:rPr>
                <w:rFonts w:hint="eastAsia" w:ascii="宋体" w:hAnsi="宋体"/>
                <w:color w:val="auto"/>
                <w:szCs w:val="22"/>
                <w:highlight w:val="none"/>
                <w:u w:val="single"/>
                <w:lang w:val="en-US" w:eastAsia="zh-CN"/>
              </w:rPr>
              <w:t>壹仟柒佰万元整</w:t>
            </w:r>
            <w:r>
              <w:rPr>
                <w:rFonts w:hint="eastAsia" w:ascii="宋体" w:hAnsi="宋体"/>
                <w:color w:val="auto"/>
                <w:szCs w:val="22"/>
                <w:highlight w:val="none"/>
                <w:u w:val="single"/>
              </w:rPr>
              <w:t>（￥</w:t>
            </w:r>
            <w:r>
              <w:rPr>
                <w:rFonts w:hint="eastAsia" w:ascii="宋体" w:hAnsi="宋体"/>
                <w:color w:val="auto"/>
                <w:szCs w:val="22"/>
                <w:highlight w:val="none"/>
                <w:u w:val="single"/>
                <w:lang w:val="en-US" w:eastAsia="zh-CN"/>
              </w:rPr>
              <w:t>1700</w:t>
            </w:r>
            <w:r>
              <w:rPr>
                <w:rFonts w:hint="default" w:ascii="宋体" w:hAnsi="宋体"/>
                <w:color w:val="auto"/>
                <w:szCs w:val="22"/>
                <w:highlight w:val="none"/>
                <w:u w:val="single"/>
              </w:rPr>
              <w:t>0000</w:t>
            </w:r>
            <w:r>
              <w:rPr>
                <w:rFonts w:hint="eastAsia" w:ascii="宋体" w:hAnsi="宋体"/>
                <w:color w:val="auto"/>
                <w:szCs w:val="22"/>
                <w:highlight w:val="none"/>
                <w:u w:val="single"/>
              </w:rPr>
              <w:t>.00元）</w:t>
            </w:r>
            <w:r>
              <w:rPr>
                <w:rFonts w:hint="eastAsia" w:ascii="宋体" w:hAnsi="宋体" w:cs="宋体"/>
                <w:b/>
                <w:bCs/>
                <w:color w:val="auto"/>
                <w:sz w:val="24"/>
                <w:highlight w:val="none"/>
              </w:rPr>
              <w:t>。</w:t>
            </w:r>
          </w:p>
        </w:tc>
      </w:tr>
    </w:tbl>
    <w:p w14:paraId="306EF64B">
      <w:pPr>
        <w:keepNext w:val="0"/>
        <w:keepLines w:val="0"/>
        <w:pageBreakBefore w:val="0"/>
        <w:wordWrap/>
        <w:overflowPunct/>
        <w:topLinePunct w:val="0"/>
        <w:bidi w:val="0"/>
        <w:snapToGrid w:val="0"/>
        <w:spacing w:line="400" w:lineRule="exact"/>
        <w:jc w:val="left"/>
        <w:rPr>
          <w:rFonts w:hint="eastAsia" w:ascii="宋体" w:hAnsi="宋体" w:cs="宋体"/>
          <w:color w:val="auto"/>
          <w:szCs w:val="21"/>
          <w:highlight w:val="none"/>
        </w:rPr>
      </w:pPr>
      <w:r>
        <w:rPr>
          <w:rFonts w:hint="eastAsia" w:ascii="宋体" w:hAnsi="宋体" w:cs="宋体"/>
          <w:color w:val="auto"/>
          <w:szCs w:val="21"/>
          <w:highlight w:val="none"/>
        </w:rPr>
        <w:t xml:space="preserve">注： </w:t>
      </w:r>
    </w:p>
    <w:p w14:paraId="200729FE">
      <w:pPr>
        <w:keepNext w:val="0"/>
        <w:keepLines w:val="0"/>
        <w:pageBreakBefore w:val="0"/>
        <w:wordWrap/>
        <w:overflowPunct/>
        <w:topLinePunct w:val="0"/>
        <w:bidi w:val="0"/>
        <w:snapToGrid w:val="0"/>
        <w:spacing w:line="40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1.投标人的开标一览表必须加盖投标人电子签章并由法定代表人或者委托代理人签字或者电子签名，</w:t>
      </w:r>
      <w:r>
        <w:rPr>
          <w:rFonts w:hint="eastAsia" w:ascii="宋体" w:hAnsi="宋体" w:cs="宋体"/>
          <w:b/>
          <w:color w:val="auto"/>
          <w:szCs w:val="21"/>
          <w:highlight w:val="none"/>
        </w:rPr>
        <w:t>否则其投标作无效标处理</w:t>
      </w:r>
      <w:r>
        <w:rPr>
          <w:rFonts w:hint="eastAsia" w:ascii="宋体" w:hAnsi="宋体" w:cs="宋体"/>
          <w:color w:val="auto"/>
          <w:szCs w:val="21"/>
          <w:highlight w:val="none"/>
        </w:rPr>
        <w:t>。</w:t>
      </w:r>
    </w:p>
    <w:p w14:paraId="4A8639BE">
      <w:pPr>
        <w:keepNext w:val="0"/>
        <w:keepLines w:val="0"/>
        <w:pageBreakBefore w:val="0"/>
        <w:wordWrap/>
        <w:overflowPunct/>
        <w:topLinePunct w:val="0"/>
        <w:bidi w:val="0"/>
        <w:snapToGrid w:val="0"/>
        <w:spacing w:line="400" w:lineRule="exact"/>
        <w:ind w:firstLine="420" w:firstLineChars="200"/>
        <w:jc w:val="left"/>
        <w:rPr>
          <w:rFonts w:hint="eastAsia" w:ascii="宋体" w:hAnsi="宋体" w:cs="宋体"/>
          <w:b/>
          <w:color w:val="auto"/>
          <w:szCs w:val="21"/>
          <w:highlight w:val="none"/>
        </w:rPr>
      </w:pPr>
      <w:r>
        <w:rPr>
          <w:rFonts w:hint="eastAsia" w:ascii="宋体" w:hAnsi="宋体" w:cs="宋体"/>
          <w:bCs/>
          <w:color w:val="auto"/>
          <w:szCs w:val="21"/>
          <w:highlight w:val="none"/>
        </w:rPr>
        <w:t>2.</w:t>
      </w:r>
      <w:r>
        <w:rPr>
          <w:rFonts w:hint="eastAsia" w:ascii="宋体" w:hAnsi="宋体" w:cs="宋体"/>
          <w:b/>
          <w:bCs w:val="0"/>
          <w:color w:val="auto"/>
          <w:szCs w:val="21"/>
          <w:highlight w:val="none"/>
        </w:rPr>
        <w:t>本项目采用固定报价的方式，以上报价为本项目的保险费标准，投标人不得修改。否则其投标作无效标处理。</w:t>
      </w:r>
    </w:p>
    <w:p w14:paraId="583D4E05">
      <w:pPr>
        <w:keepNext w:val="0"/>
        <w:keepLines w:val="0"/>
        <w:pageBreakBefore w:val="0"/>
        <w:wordWrap/>
        <w:overflowPunct/>
        <w:topLinePunct w:val="0"/>
        <w:bidi w:val="0"/>
        <w:snapToGrid w:val="0"/>
        <w:spacing w:line="40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3.如为联合体投标，“投标人名称”处必须列明联合体各方名称，并标注联合体牵头人名称，</w:t>
      </w:r>
      <w:r>
        <w:rPr>
          <w:rFonts w:hint="eastAsia" w:ascii="宋体" w:hAnsi="宋体" w:cs="宋体"/>
          <w:b/>
          <w:color w:val="auto"/>
          <w:szCs w:val="21"/>
          <w:highlight w:val="none"/>
        </w:rPr>
        <w:t>否则其投标作无效标处理。</w:t>
      </w:r>
    </w:p>
    <w:p w14:paraId="2EB086FD">
      <w:pPr>
        <w:keepNext w:val="0"/>
        <w:keepLines w:val="0"/>
        <w:pageBreakBefore w:val="0"/>
        <w:wordWrap/>
        <w:overflowPunct/>
        <w:topLinePunct w:val="0"/>
        <w:bidi w:val="0"/>
        <w:snapToGrid w:val="0"/>
        <w:spacing w:line="400" w:lineRule="exact"/>
        <w:ind w:firstLine="396" w:firstLineChars="200"/>
        <w:jc w:val="left"/>
        <w:rPr>
          <w:rFonts w:hint="eastAsia" w:ascii="宋体" w:hAnsi="宋体" w:cs="宋体"/>
          <w:color w:val="auto"/>
          <w:spacing w:val="-6"/>
          <w:szCs w:val="21"/>
          <w:highlight w:val="none"/>
        </w:rPr>
      </w:pPr>
      <w:r>
        <w:rPr>
          <w:rFonts w:hint="eastAsia" w:ascii="宋体" w:hAnsi="宋体" w:cs="宋体"/>
          <w:color w:val="auto"/>
          <w:spacing w:val="-6"/>
          <w:szCs w:val="21"/>
          <w:highlight w:val="none"/>
        </w:rPr>
        <w:t>4.如为联合体投标，盖章处须加盖联合体牵头人电子签章，</w:t>
      </w:r>
      <w:r>
        <w:rPr>
          <w:rFonts w:hint="eastAsia" w:ascii="宋体" w:hAnsi="宋体" w:cs="宋体"/>
          <w:b/>
          <w:color w:val="auto"/>
          <w:spacing w:val="-6"/>
          <w:szCs w:val="21"/>
          <w:highlight w:val="none"/>
        </w:rPr>
        <w:t>否则其投标作无效标处理。</w:t>
      </w:r>
    </w:p>
    <w:p w14:paraId="7C207F5B">
      <w:pPr>
        <w:keepNext w:val="0"/>
        <w:keepLines w:val="0"/>
        <w:pageBreakBefore w:val="0"/>
        <w:wordWrap/>
        <w:overflowPunct/>
        <w:topLinePunct w:val="0"/>
        <w:bidi w:val="0"/>
        <w:snapToGrid w:val="0"/>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5.如有多分标，按分标分别提供开标一览表，</w:t>
      </w:r>
      <w:r>
        <w:rPr>
          <w:rFonts w:hint="eastAsia" w:ascii="宋体" w:hAnsi="宋体" w:cs="宋体"/>
          <w:b/>
          <w:color w:val="auto"/>
          <w:szCs w:val="21"/>
          <w:highlight w:val="none"/>
        </w:rPr>
        <w:t>否则投标无效。</w:t>
      </w:r>
    </w:p>
    <w:p w14:paraId="040A7315">
      <w:pPr>
        <w:keepNext w:val="0"/>
        <w:keepLines w:val="0"/>
        <w:pageBreakBefore w:val="0"/>
        <w:wordWrap/>
        <w:overflowPunct/>
        <w:topLinePunct w:val="0"/>
        <w:bidi w:val="0"/>
        <w:snapToGrid w:val="0"/>
        <w:spacing w:line="400" w:lineRule="exact"/>
        <w:ind w:left="-2" w:leftChars="-1" w:right="-817" w:rightChars="-389"/>
        <w:rPr>
          <w:rFonts w:hint="eastAsia" w:ascii="宋体" w:hAnsi="宋体" w:cs="宋体"/>
          <w:color w:val="auto"/>
          <w:szCs w:val="21"/>
          <w:highlight w:val="none"/>
        </w:rPr>
      </w:pPr>
    </w:p>
    <w:p w14:paraId="6547A8C1">
      <w:pPr>
        <w:keepNext w:val="0"/>
        <w:keepLines w:val="0"/>
        <w:pageBreakBefore w:val="0"/>
        <w:wordWrap/>
        <w:overflowPunct/>
        <w:topLinePunct w:val="0"/>
        <w:bidi w:val="0"/>
        <w:snapToGrid w:val="0"/>
        <w:spacing w:line="400" w:lineRule="exact"/>
        <w:ind w:left="-2" w:leftChars="-1" w:right="-817" w:rightChars="-389"/>
        <w:rPr>
          <w:rFonts w:hint="eastAsia" w:ascii="宋体" w:hAnsi="宋体" w:cs="宋体"/>
          <w:color w:val="auto"/>
          <w:szCs w:val="21"/>
          <w:highlight w:val="none"/>
        </w:rPr>
      </w:pPr>
      <w:r>
        <w:rPr>
          <w:rFonts w:hint="eastAsia" w:ascii="宋体" w:hAnsi="宋体" w:cs="宋体"/>
          <w:color w:val="auto"/>
          <w:szCs w:val="21"/>
          <w:highlight w:val="none"/>
        </w:rPr>
        <w:t xml:space="preserve">                           法定代表人或者委托代理人（签字或者电子签名）： </w:t>
      </w:r>
    </w:p>
    <w:p w14:paraId="0CD0A07C">
      <w:pPr>
        <w:keepNext w:val="0"/>
        <w:keepLines w:val="0"/>
        <w:pageBreakBefore w:val="0"/>
        <w:wordWrap/>
        <w:overflowPunct/>
        <w:topLinePunct w:val="0"/>
        <w:bidi w:val="0"/>
        <w:snapToGrid w:val="0"/>
        <w:spacing w:line="400" w:lineRule="exact"/>
        <w:ind w:left="-6" w:leftChars="-15" w:right="-817" w:rightChars="-389" w:hanging="25" w:hangingChars="12"/>
        <w:rPr>
          <w:rFonts w:hint="eastAsia" w:ascii="宋体" w:hAnsi="宋体" w:cs="宋体"/>
          <w:color w:val="auto"/>
          <w:szCs w:val="21"/>
          <w:highlight w:val="none"/>
        </w:rPr>
      </w:pPr>
      <w:r>
        <w:rPr>
          <w:rFonts w:hint="eastAsia" w:ascii="宋体" w:hAnsi="宋体" w:cs="宋体"/>
          <w:color w:val="auto"/>
          <w:szCs w:val="21"/>
          <w:highlight w:val="none"/>
        </w:rPr>
        <w:t xml:space="preserve">                                  投标人名称（电子签章）：</w:t>
      </w:r>
    </w:p>
    <w:p w14:paraId="14A39677">
      <w:pPr>
        <w:keepNext w:val="0"/>
        <w:keepLines w:val="0"/>
        <w:pageBreakBefore w:val="0"/>
        <w:wordWrap/>
        <w:overflowPunct/>
        <w:topLinePunct w:val="0"/>
        <w:bidi w:val="0"/>
        <w:snapToGrid w:val="0"/>
        <w:spacing w:line="400" w:lineRule="exact"/>
        <w:ind w:left="-6" w:leftChars="-15" w:right="-817" w:rightChars="-389" w:hanging="25" w:hangingChars="12"/>
        <w:rPr>
          <w:rFonts w:hint="eastAsia" w:ascii="宋体" w:hAnsi="宋体" w:cs="宋体"/>
          <w:color w:val="auto"/>
          <w:szCs w:val="21"/>
          <w:highlight w:val="none"/>
        </w:rPr>
      </w:pPr>
      <w:r>
        <w:rPr>
          <w:rFonts w:hint="eastAsia" w:ascii="宋体" w:hAnsi="宋体" w:cs="宋体"/>
          <w:color w:val="auto"/>
          <w:szCs w:val="21"/>
          <w:highlight w:val="none"/>
        </w:rPr>
        <w:t xml:space="preserve">                                  日期：    年   月   日</w:t>
      </w:r>
    </w:p>
    <w:p w14:paraId="7EEA78FE">
      <w:pPr>
        <w:rPr>
          <w:rFonts w:hint="eastAsia" w:ascii="宋体" w:hAnsi="宋体" w:cs="宋体"/>
          <w:color w:val="auto"/>
          <w:highlight w:val="none"/>
        </w:rPr>
      </w:pPr>
      <w:r>
        <w:rPr>
          <w:rFonts w:hint="eastAsia" w:ascii="宋体" w:hAnsi="宋体" w:cs="宋体"/>
          <w:b/>
          <w:bCs/>
          <w:color w:val="auto"/>
          <w:sz w:val="24"/>
          <w:highlight w:val="none"/>
        </w:rPr>
        <w:br w:type="page"/>
      </w:r>
      <w:bookmarkStart w:id="195" w:name="_Toc19686837"/>
      <w:r>
        <w:rPr>
          <w:rFonts w:hint="eastAsia" w:ascii="宋体" w:hAnsi="宋体" w:cs="宋体"/>
          <w:b/>
          <w:color w:val="auto"/>
          <w:sz w:val="24"/>
          <w:highlight w:val="none"/>
        </w:rPr>
        <w:t>3.中小企业声明函格式</w:t>
      </w:r>
    </w:p>
    <w:p w14:paraId="4B8EE5C3">
      <w:pPr>
        <w:rPr>
          <w:rFonts w:hint="eastAsia" w:ascii="宋体" w:hAnsi="宋体" w:cs="宋体"/>
          <w:color w:val="auto"/>
          <w:highlight w:val="none"/>
        </w:rPr>
      </w:pPr>
    </w:p>
    <w:p w14:paraId="14AD950D">
      <w:pPr>
        <w:jc w:val="center"/>
        <w:rPr>
          <w:rFonts w:hint="eastAsia" w:ascii="宋体" w:hAnsi="宋体" w:cs="宋体"/>
          <w:b/>
          <w:color w:val="auto"/>
          <w:sz w:val="30"/>
          <w:szCs w:val="30"/>
          <w:highlight w:val="none"/>
        </w:rPr>
      </w:pPr>
      <w:r>
        <w:rPr>
          <w:rFonts w:hint="eastAsia" w:ascii="宋体" w:hAnsi="宋体" w:cs="宋体"/>
          <w:b/>
          <w:color w:val="auto"/>
          <w:sz w:val="30"/>
          <w:szCs w:val="30"/>
          <w:highlight w:val="none"/>
        </w:rPr>
        <w:t>中小企业声明函（服务）</w:t>
      </w:r>
    </w:p>
    <w:p w14:paraId="5C9AF50B">
      <w:pPr>
        <w:spacing w:before="2" w:line="500" w:lineRule="exact"/>
        <w:rPr>
          <w:rFonts w:hint="eastAsia" w:ascii="宋体" w:hAnsi="宋体" w:cs="宋体"/>
          <w:b/>
          <w:bCs/>
          <w:color w:val="auto"/>
          <w:szCs w:val="21"/>
          <w:highlight w:val="none"/>
        </w:rPr>
      </w:pPr>
    </w:p>
    <w:p w14:paraId="7F66E291">
      <w:pPr>
        <w:pStyle w:val="15"/>
        <w:keepNext w:val="0"/>
        <w:keepLines w:val="0"/>
        <w:pageBreakBefore w:val="0"/>
        <w:widowControl w:val="0"/>
        <w:kinsoku/>
        <w:wordWrap/>
        <w:overflowPunct/>
        <w:topLinePunct w:val="0"/>
        <w:autoSpaceDE/>
        <w:autoSpaceDN/>
        <w:bidi w:val="0"/>
        <w:adjustRightInd/>
        <w:snapToGrid/>
        <w:spacing w:line="400" w:lineRule="exact"/>
        <w:ind w:right="142"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本公司（联合体）郑重声明，根据《政府采购促进中小企业发展管理办法》（财库﹝2020﹞46号）的规定，本公司（联合体）参加</w:t>
      </w:r>
      <w:r>
        <w:rPr>
          <w:rFonts w:hint="eastAsia" w:ascii="宋体" w:hAnsi="宋体" w:cs="宋体"/>
          <w:color w:val="auto"/>
          <w:szCs w:val="21"/>
          <w:highlight w:val="none"/>
          <w:u w:val="single"/>
        </w:rPr>
        <w:t>（单位名称）</w:t>
      </w:r>
      <w:r>
        <w:rPr>
          <w:rFonts w:hint="eastAsia" w:ascii="宋体" w:hAnsi="宋体" w:cs="宋体"/>
          <w:color w:val="auto"/>
          <w:szCs w:val="21"/>
          <w:highlight w:val="none"/>
        </w:rPr>
        <w:t>的</w:t>
      </w:r>
      <w:r>
        <w:rPr>
          <w:rFonts w:hint="eastAsia" w:ascii="宋体" w:hAnsi="宋体" w:cs="宋体"/>
          <w:color w:val="auto"/>
          <w:szCs w:val="21"/>
          <w:highlight w:val="none"/>
          <w:u w:val="single"/>
        </w:rPr>
        <w:t>（项目名称）</w:t>
      </w:r>
      <w:r>
        <w:rPr>
          <w:rFonts w:hint="eastAsia" w:ascii="宋体" w:hAnsi="宋体" w:cs="宋体"/>
          <w:color w:val="auto"/>
          <w:szCs w:val="21"/>
          <w:highlight w:val="none"/>
        </w:rPr>
        <w:t>采购活动，服务全部由符合政策要求的中小企业承接。相关企业（含联合体中的中小企业、签订分包意向协议的中小企业）的具体情况如下：</w:t>
      </w:r>
    </w:p>
    <w:p w14:paraId="5DD65EE7">
      <w:pPr>
        <w:keepNext w:val="0"/>
        <w:keepLines w:val="0"/>
        <w:pageBreakBefore w:val="0"/>
        <w:widowControl w:val="0"/>
        <w:tabs>
          <w:tab w:val="left" w:pos="1384"/>
          <w:tab w:val="left" w:pos="4562"/>
          <w:tab w:val="left" w:pos="6803"/>
        </w:tabs>
        <w:kinsoku/>
        <w:wordWrap/>
        <w:overflowPunct/>
        <w:topLinePunct w:val="0"/>
        <w:autoSpaceDE/>
        <w:autoSpaceDN/>
        <w:bidi w:val="0"/>
        <w:adjustRightInd/>
        <w:snapToGrid/>
        <w:spacing w:before="13" w:line="400" w:lineRule="exact"/>
        <w:ind w:right="142" w:firstLine="600" w:firstLineChars="286"/>
        <w:textAlignment w:val="auto"/>
        <w:rPr>
          <w:rFonts w:hint="eastAsia" w:ascii="宋体" w:hAnsi="宋体" w:cs="宋体"/>
          <w:color w:val="auto"/>
          <w:szCs w:val="21"/>
          <w:highlight w:val="none"/>
        </w:rPr>
      </w:pPr>
      <w:r>
        <w:rPr>
          <w:rFonts w:hint="eastAsia" w:ascii="宋体" w:hAnsi="宋体" w:cs="宋体"/>
          <w:color w:val="auto"/>
          <w:szCs w:val="21"/>
          <w:highlight w:val="none"/>
        </w:rPr>
        <w:t>1.</w:t>
      </w:r>
      <w:r>
        <w:rPr>
          <w:rFonts w:hint="eastAsia" w:ascii="宋体" w:hAnsi="宋体" w:cs="宋体"/>
          <w:color w:val="auto"/>
          <w:szCs w:val="21"/>
          <w:highlight w:val="none"/>
          <w:u w:val="single"/>
        </w:rPr>
        <w:t>（标的名称）</w:t>
      </w:r>
      <w:r>
        <w:rPr>
          <w:rFonts w:hint="eastAsia" w:ascii="宋体" w:hAnsi="宋体" w:cs="宋体"/>
          <w:color w:val="auto"/>
          <w:szCs w:val="21"/>
          <w:highlight w:val="none"/>
        </w:rPr>
        <w:t>，属于</w:t>
      </w:r>
      <w:r>
        <w:rPr>
          <w:rFonts w:hint="eastAsia" w:ascii="宋体" w:hAnsi="宋体" w:cs="宋体"/>
          <w:color w:val="auto"/>
          <w:szCs w:val="21"/>
          <w:highlight w:val="none"/>
          <w:u w:val="single"/>
        </w:rPr>
        <w:t>（采购文件中明确的所属行业）</w:t>
      </w:r>
      <w:r>
        <w:rPr>
          <w:rFonts w:hint="eastAsia" w:ascii="宋体" w:hAnsi="宋体" w:cs="宋体"/>
          <w:color w:val="auto"/>
          <w:szCs w:val="21"/>
          <w:highlight w:val="none"/>
        </w:rPr>
        <w:t>；承接企业为</w:t>
      </w:r>
      <w:r>
        <w:rPr>
          <w:rFonts w:hint="eastAsia" w:ascii="宋体" w:hAnsi="宋体" w:cs="宋体"/>
          <w:color w:val="auto"/>
          <w:szCs w:val="21"/>
          <w:highlight w:val="none"/>
          <w:u w:val="single"/>
        </w:rPr>
        <w:t>（企业名称）</w:t>
      </w:r>
      <w:r>
        <w:rPr>
          <w:rFonts w:hint="eastAsia" w:ascii="宋体" w:hAnsi="宋体" w:cs="宋体"/>
          <w:color w:val="auto"/>
          <w:szCs w:val="21"/>
          <w:highlight w:val="none"/>
        </w:rPr>
        <w:t>，从业人员</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人，营业收入为</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万元，资产总额为</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万元，属于</w:t>
      </w:r>
      <w:r>
        <w:rPr>
          <w:rFonts w:hint="eastAsia" w:ascii="宋体" w:hAnsi="宋体" w:cs="宋体"/>
          <w:color w:val="auto"/>
          <w:szCs w:val="21"/>
          <w:highlight w:val="none"/>
          <w:u w:val="single"/>
        </w:rPr>
        <w:t>（中型企业、小型企业、微型企业）</w:t>
      </w:r>
      <w:r>
        <w:rPr>
          <w:rFonts w:hint="eastAsia" w:ascii="宋体" w:hAnsi="宋体" w:cs="宋体"/>
          <w:color w:val="auto"/>
          <w:szCs w:val="21"/>
          <w:highlight w:val="none"/>
        </w:rPr>
        <w:t>；</w:t>
      </w:r>
    </w:p>
    <w:p w14:paraId="7B2DE2E7">
      <w:pPr>
        <w:pStyle w:val="15"/>
        <w:keepNext w:val="0"/>
        <w:keepLines w:val="0"/>
        <w:pageBreakBefore w:val="0"/>
        <w:widowControl w:val="0"/>
        <w:kinsoku/>
        <w:wordWrap/>
        <w:overflowPunct/>
        <w:topLinePunct w:val="0"/>
        <w:autoSpaceDE/>
        <w:autoSpaceDN/>
        <w:bidi w:val="0"/>
        <w:adjustRightInd/>
        <w:snapToGrid/>
        <w:spacing w:before="34" w:line="400" w:lineRule="exact"/>
        <w:ind w:left="765" w:right="142" w:hanging="5"/>
        <w:textAlignment w:val="auto"/>
        <w:rPr>
          <w:rFonts w:hint="eastAsia" w:ascii="宋体" w:hAnsi="宋体" w:cs="宋体"/>
          <w:color w:val="auto"/>
          <w:szCs w:val="21"/>
          <w:highlight w:val="none"/>
        </w:rPr>
      </w:pPr>
      <w:r>
        <w:rPr>
          <w:rFonts w:hint="eastAsia" w:ascii="宋体" w:hAnsi="宋体" w:cs="宋体"/>
          <w:color w:val="auto"/>
          <w:szCs w:val="21"/>
          <w:highlight w:val="none"/>
        </w:rPr>
        <w:t xml:space="preserve">…… </w:t>
      </w:r>
    </w:p>
    <w:p w14:paraId="21EE2D95">
      <w:pPr>
        <w:pStyle w:val="15"/>
        <w:keepNext w:val="0"/>
        <w:keepLines w:val="0"/>
        <w:pageBreakBefore w:val="0"/>
        <w:widowControl w:val="0"/>
        <w:kinsoku/>
        <w:wordWrap/>
        <w:overflowPunct/>
        <w:topLinePunct w:val="0"/>
        <w:autoSpaceDE/>
        <w:autoSpaceDN/>
        <w:bidi w:val="0"/>
        <w:adjustRightInd/>
        <w:snapToGrid/>
        <w:spacing w:before="34" w:line="400" w:lineRule="exact"/>
        <w:ind w:right="142"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以上企业，不属于大企业的分支机构，不存在控股股东为大企业的情形，也不存在与大企业的负责人为同一人的情形。</w:t>
      </w:r>
    </w:p>
    <w:p w14:paraId="183B1FC9">
      <w:pPr>
        <w:pStyle w:val="15"/>
        <w:keepNext w:val="0"/>
        <w:keepLines w:val="0"/>
        <w:pageBreakBefore w:val="0"/>
        <w:widowControl w:val="0"/>
        <w:kinsoku/>
        <w:wordWrap/>
        <w:overflowPunct/>
        <w:topLinePunct w:val="0"/>
        <w:autoSpaceDE/>
        <w:autoSpaceDN/>
        <w:bidi w:val="0"/>
        <w:adjustRightInd/>
        <w:snapToGrid/>
        <w:spacing w:before="34" w:line="400" w:lineRule="exact"/>
        <w:ind w:right="142"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本企业对上述声明内容的真实性负责。如有虚假，将依法承担相应责任。</w:t>
      </w:r>
    </w:p>
    <w:p w14:paraId="0116D3C7">
      <w:pPr>
        <w:pStyle w:val="15"/>
        <w:keepNext w:val="0"/>
        <w:keepLines w:val="0"/>
        <w:pageBreakBefore w:val="0"/>
        <w:widowControl w:val="0"/>
        <w:kinsoku/>
        <w:wordWrap/>
        <w:overflowPunct/>
        <w:topLinePunct w:val="0"/>
        <w:autoSpaceDE/>
        <w:autoSpaceDN/>
        <w:bidi w:val="0"/>
        <w:adjustRightInd/>
        <w:snapToGrid/>
        <w:spacing w:before="56" w:line="400" w:lineRule="exact"/>
        <w:ind w:left="3960" w:right="1808"/>
        <w:textAlignment w:val="auto"/>
        <w:rPr>
          <w:rFonts w:hint="eastAsia" w:ascii="宋体" w:hAnsi="宋体" w:cs="宋体"/>
          <w:color w:val="auto"/>
          <w:szCs w:val="21"/>
          <w:highlight w:val="none"/>
        </w:rPr>
      </w:pPr>
      <w:r>
        <w:rPr>
          <w:rFonts w:hint="eastAsia" w:ascii="宋体" w:hAnsi="宋体" w:cs="宋体"/>
          <w:color w:val="auto"/>
          <w:kern w:val="24"/>
          <w:szCs w:val="21"/>
          <w:highlight w:val="none"/>
        </w:rPr>
        <w:t>企业名称（电子签章）：</w:t>
      </w:r>
      <w:r>
        <w:rPr>
          <w:rFonts w:hint="eastAsia" w:ascii="宋体" w:hAnsi="宋体" w:cs="宋体"/>
          <w:color w:val="auto"/>
          <w:szCs w:val="21"/>
          <w:highlight w:val="none"/>
        </w:rPr>
        <w:t xml:space="preserve"> </w:t>
      </w:r>
    </w:p>
    <w:p w14:paraId="044029F0">
      <w:pPr>
        <w:pStyle w:val="15"/>
        <w:keepNext w:val="0"/>
        <w:keepLines w:val="0"/>
        <w:pageBreakBefore w:val="0"/>
        <w:widowControl w:val="0"/>
        <w:kinsoku/>
        <w:wordWrap/>
        <w:overflowPunct/>
        <w:topLinePunct w:val="0"/>
        <w:autoSpaceDE/>
        <w:autoSpaceDN/>
        <w:bidi w:val="0"/>
        <w:adjustRightInd/>
        <w:snapToGrid/>
        <w:spacing w:before="56" w:line="400" w:lineRule="exact"/>
        <w:ind w:left="3960" w:right="1808"/>
        <w:textAlignment w:val="auto"/>
        <w:rPr>
          <w:rFonts w:hint="eastAsia" w:ascii="宋体" w:hAnsi="宋体" w:cs="宋体"/>
          <w:color w:val="auto"/>
          <w:szCs w:val="21"/>
          <w:highlight w:val="none"/>
        </w:rPr>
      </w:pPr>
      <w:r>
        <w:rPr>
          <w:rFonts w:hint="eastAsia" w:ascii="宋体" w:hAnsi="宋体" w:cs="宋体"/>
          <w:color w:val="auto"/>
          <w:szCs w:val="21"/>
          <w:highlight w:val="none"/>
        </w:rPr>
        <w:t>日 期：</w:t>
      </w:r>
    </w:p>
    <w:p w14:paraId="6CE8C588">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cs="宋体"/>
          <w:color w:val="auto"/>
          <w:szCs w:val="21"/>
          <w:highlight w:val="none"/>
        </w:rPr>
      </w:pPr>
      <w:r>
        <w:rPr>
          <w:rFonts w:hint="eastAsia" w:ascii="宋体" w:hAnsi="宋体" w:cs="宋体"/>
          <w:color w:val="auto"/>
          <w:spacing w:val="6"/>
          <w:szCs w:val="21"/>
          <w:highlight w:val="none"/>
        </w:rPr>
        <w:t xml:space="preserve"> </w:t>
      </w:r>
    </w:p>
    <w:p w14:paraId="429BDF3F">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cs="宋体"/>
          <w:b/>
          <w:color w:val="auto"/>
          <w:sz w:val="24"/>
          <w:highlight w:val="none"/>
        </w:rPr>
      </w:pPr>
      <w:r>
        <w:rPr>
          <w:rFonts w:hint="eastAsia" w:ascii="宋体" w:hAnsi="宋体" w:cs="宋体"/>
          <w:color w:val="auto"/>
          <w:szCs w:val="21"/>
          <w:highlight w:val="none"/>
        </w:rPr>
        <w:t>注：享受《政府采购促进中小企业发展管理办法》（财库〔2020〕46号）规定的中小企业扶持政策的，采购人、采购代理机构应当随中标结果公开中标供应商的《中小企业声明函》。从业人员、营业收入、资产总额填报上一年度数据，无上一年度数据的新成立企业可不填报。</w:t>
      </w:r>
      <w:r>
        <w:rPr>
          <w:rFonts w:hint="eastAsia" w:ascii="宋体" w:hAnsi="宋体" w:cs="宋体"/>
          <w:color w:val="auto"/>
          <w:highlight w:val="none"/>
        </w:rPr>
        <w:br w:type="page"/>
      </w:r>
      <w:r>
        <w:rPr>
          <w:rFonts w:hint="eastAsia" w:ascii="宋体" w:hAnsi="宋体" w:cs="宋体"/>
          <w:color w:val="auto"/>
          <w:highlight w:val="none"/>
        </w:rPr>
        <w:t>4</w:t>
      </w:r>
      <w:r>
        <w:rPr>
          <w:rFonts w:hint="eastAsia" w:ascii="宋体" w:hAnsi="宋体" w:cs="宋体"/>
          <w:b/>
          <w:color w:val="auto"/>
          <w:sz w:val="24"/>
          <w:highlight w:val="none"/>
        </w:rPr>
        <w:t>.残疾人福利性单位声明函格式</w:t>
      </w:r>
    </w:p>
    <w:p w14:paraId="02D47E7C">
      <w:pPr>
        <w:spacing w:line="588" w:lineRule="exact"/>
        <w:jc w:val="center"/>
        <w:rPr>
          <w:rFonts w:hint="eastAsia" w:ascii="宋体" w:hAnsi="宋体" w:cs="宋体"/>
          <w:b/>
          <w:color w:val="auto"/>
          <w:spacing w:val="6"/>
          <w:sz w:val="32"/>
          <w:szCs w:val="32"/>
          <w:highlight w:val="none"/>
        </w:rPr>
      </w:pPr>
    </w:p>
    <w:p w14:paraId="3BA331CA">
      <w:pPr>
        <w:spacing w:line="588" w:lineRule="exact"/>
        <w:jc w:val="center"/>
        <w:rPr>
          <w:rFonts w:hint="eastAsia" w:ascii="宋体" w:hAnsi="宋体" w:cs="宋体"/>
          <w:b/>
          <w:bCs/>
          <w:color w:val="auto"/>
          <w:spacing w:val="6"/>
          <w:sz w:val="30"/>
          <w:szCs w:val="30"/>
          <w:highlight w:val="none"/>
        </w:rPr>
      </w:pPr>
      <w:r>
        <w:rPr>
          <w:rFonts w:hint="eastAsia" w:ascii="宋体" w:hAnsi="宋体" w:cs="宋体"/>
          <w:b/>
          <w:bCs/>
          <w:color w:val="auto"/>
          <w:spacing w:val="6"/>
          <w:sz w:val="30"/>
          <w:szCs w:val="30"/>
          <w:highlight w:val="none"/>
        </w:rPr>
        <w:t>残疾人福利性单位声明函</w:t>
      </w:r>
    </w:p>
    <w:p w14:paraId="5A3F0708">
      <w:pPr>
        <w:spacing w:line="588" w:lineRule="exact"/>
        <w:rPr>
          <w:rFonts w:hint="eastAsia" w:ascii="宋体" w:hAnsi="宋体" w:cs="宋体"/>
          <w:b/>
          <w:color w:val="auto"/>
          <w:spacing w:val="6"/>
          <w:sz w:val="30"/>
          <w:szCs w:val="30"/>
          <w:highlight w:val="none"/>
        </w:rPr>
      </w:pPr>
    </w:p>
    <w:p w14:paraId="7C893C21">
      <w:pPr>
        <w:keepNext w:val="0"/>
        <w:keepLines w:val="0"/>
        <w:pageBreakBefore w:val="0"/>
        <w:widowControl w:val="0"/>
        <w:kinsoku/>
        <w:wordWrap/>
        <w:overflowPunct/>
        <w:topLinePunct w:val="0"/>
        <w:autoSpaceDE/>
        <w:autoSpaceDN/>
        <w:bidi w:val="0"/>
        <w:adjustRightInd/>
        <w:snapToGrid/>
        <w:spacing w:line="400" w:lineRule="exact"/>
        <w:ind w:firstLine="444" w:firstLineChars="200"/>
        <w:textAlignment w:val="auto"/>
        <w:rPr>
          <w:rFonts w:hint="eastAsia" w:ascii="宋体" w:hAnsi="宋体" w:cs="宋体"/>
          <w:color w:val="auto"/>
          <w:spacing w:val="6"/>
          <w:szCs w:val="21"/>
          <w:highlight w:val="none"/>
        </w:rPr>
      </w:pPr>
      <w:r>
        <w:rPr>
          <w:rFonts w:hint="eastAsia" w:ascii="宋体" w:hAnsi="宋体" w:cs="宋体"/>
          <w:color w:val="auto"/>
          <w:spacing w:val="6"/>
          <w:szCs w:val="21"/>
          <w:highlight w:val="none"/>
        </w:rPr>
        <w:t>本单位郑重声明，根据《财政部 民政部 中国残疾人联合会关于促进残疾人就业政府采购政策的通知》（财库</w:t>
      </w:r>
      <w:r>
        <w:rPr>
          <w:rFonts w:hint="eastAsia" w:ascii="宋体" w:hAnsi="宋体" w:cs="宋体"/>
          <w:color w:val="auto"/>
          <w:spacing w:val="6"/>
          <w:szCs w:val="21"/>
          <w:highlight w:val="none"/>
          <w:lang w:eastAsia="zh-CN"/>
        </w:rPr>
        <w:t>〔2017〕141号</w:t>
      </w:r>
      <w:r>
        <w:rPr>
          <w:rFonts w:hint="eastAsia" w:ascii="宋体" w:hAnsi="宋体" w:cs="宋体"/>
          <w:color w:val="auto"/>
          <w:spacing w:val="6"/>
          <w:szCs w:val="21"/>
          <w:highlight w:val="none"/>
        </w:rPr>
        <w:t>）的规定，本单位为符合条件的残疾人福利性单位，且本单位参加______单位的______项目采购活动提供本单位制造的货物（由本单位承担工程/提供服务），或者提供其他残</w:t>
      </w:r>
      <w:r>
        <w:rPr>
          <w:rFonts w:hint="eastAsia" w:ascii="宋体" w:hAnsi="宋体" w:cs="宋体"/>
          <w:color w:val="auto"/>
          <w:spacing w:val="-6"/>
          <w:szCs w:val="21"/>
          <w:highlight w:val="none"/>
        </w:rPr>
        <w:t>疾人福利性单位制造的货物（不包括使用非残疾人福利性单位注册商标的货物）。</w:t>
      </w:r>
    </w:p>
    <w:p w14:paraId="757AE3AD">
      <w:pPr>
        <w:keepNext w:val="0"/>
        <w:keepLines w:val="0"/>
        <w:pageBreakBefore w:val="0"/>
        <w:widowControl w:val="0"/>
        <w:kinsoku/>
        <w:wordWrap/>
        <w:overflowPunct/>
        <w:topLinePunct w:val="0"/>
        <w:autoSpaceDE/>
        <w:autoSpaceDN/>
        <w:bidi w:val="0"/>
        <w:adjustRightInd/>
        <w:snapToGrid/>
        <w:spacing w:line="400" w:lineRule="exact"/>
        <w:ind w:firstLine="444" w:firstLineChars="200"/>
        <w:textAlignment w:val="auto"/>
        <w:rPr>
          <w:rFonts w:hint="eastAsia" w:ascii="宋体" w:hAnsi="宋体" w:cs="宋体"/>
          <w:color w:val="auto"/>
          <w:spacing w:val="6"/>
          <w:szCs w:val="21"/>
          <w:highlight w:val="none"/>
        </w:rPr>
      </w:pPr>
      <w:r>
        <w:rPr>
          <w:rFonts w:hint="eastAsia" w:ascii="宋体" w:hAnsi="宋体" w:cs="宋体"/>
          <w:color w:val="auto"/>
          <w:spacing w:val="6"/>
          <w:szCs w:val="21"/>
          <w:highlight w:val="none"/>
        </w:rPr>
        <w:t>本单位对上述声明的真实性负责。如有虚假，将依法承担相应责任。</w:t>
      </w:r>
    </w:p>
    <w:p w14:paraId="7C398A86">
      <w:pPr>
        <w:keepNext w:val="0"/>
        <w:keepLines w:val="0"/>
        <w:pageBreakBefore w:val="0"/>
        <w:widowControl w:val="0"/>
        <w:kinsoku/>
        <w:wordWrap/>
        <w:overflowPunct/>
        <w:topLinePunct w:val="0"/>
        <w:autoSpaceDE/>
        <w:autoSpaceDN/>
        <w:bidi w:val="0"/>
        <w:adjustRightInd/>
        <w:snapToGrid/>
        <w:spacing w:line="400" w:lineRule="exact"/>
        <w:ind w:firstLine="444" w:firstLineChars="200"/>
        <w:textAlignment w:val="auto"/>
        <w:rPr>
          <w:rFonts w:hint="eastAsia" w:ascii="宋体" w:hAnsi="宋体" w:cs="宋体"/>
          <w:color w:val="auto"/>
          <w:spacing w:val="6"/>
          <w:szCs w:val="21"/>
          <w:highlight w:val="none"/>
        </w:rPr>
      </w:pPr>
    </w:p>
    <w:p w14:paraId="0DFD181F">
      <w:pPr>
        <w:keepNext w:val="0"/>
        <w:keepLines w:val="0"/>
        <w:pageBreakBefore w:val="0"/>
        <w:widowControl w:val="0"/>
        <w:kinsoku/>
        <w:wordWrap/>
        <w:overflowPunct/>
        <w:topLinePunct w:val="0"/>
        <w:autoSpaceDE/>
        <w:autoSpaceDN/>
        <w:bidi w:val="0"/>
        <w:adjustRightInd/>
        <w:snapToGrid/>
        <w:spacing w:line="400" w:lineRule="exact"/>
        <w:ind w:firstLine="444" w:firstLineChars="200"/>
        <w:textAlignment w:val="auto"/>
        <w:rPr>
          <w:rFonts w:hint="eastAsia" w:ascii="宋体" w:hAnsi="宋体" w:cs="宋体"/>
          <w:color w:val="auto"/>
          <w:spacing w:val="6"/>
          <w:szCs w:val="21"/>
          <w:highlight w:val="none"/>
        </w:rPr>
      </w:pPr>
    </w:p>
    <w:p w14:paraId="7BBCC995">
      <w:pPr>
        <w:keepNext w:val="0"/>
        <w:keepLines w:val="0"/>
        <w:pageBreakBefore w:val="0"/>
        <w:widowControl w:val="0"/>
        <w:tabs>
          <w:tab w:val="left" w:pos="4860"/>
        </w:tabs>
        <w:kinsoku/>
        <w:wordWrap/>
        <w:overflowPunct/>
        <w:topLinePunct w:val="0"/>
        <w:autoSpaceDE/>
        <w:autoSpaceDN/>
        <w:bidi w:val="0"/>
        <w:adjustRightInd/>
        <w:snapToGrid/>
        <w:spacing w:line="400" w:lineRule="exact"/>
        <w:ind w:right="1560" w:firstLine="444" w:firstLineChars="200"/>
        <w:contextualSpacing/>
        <w:jc w:val="center"/>
        <w:textAlignment w:val="auto"/>
        <w:rPr>
          <w:rFonts w:hint="eastAsia" w:ascii="宋体" w:hAnsi="宋体" w:cs="宋体"/>
          <w:color w:val="auto"/>
          <w:spacing w:val="6"/>
          <w:szCs w:val="21"/>
          <w:highlight w:val="none"/>
        </w:rPr>
      </w:pPr>
      <w:r>
        <w:rPr>
          <w:rFonts w:hint="eastAsia" w:ascii="宋体" w:hAnsi="宋体" w:cs="宋体"/>
          <w:color w:val="auto"/>
          <w:spacing w:val="6"/>
          <w:szCs w:val="21"/>
          <w:highlight w:val="none"/>
        </w:rPr>
        <w:t>单位名称（电子签章）：</w:t>
      </w:r>
    </w:p>
    <w:p w14:paraId="453CBA46">
      <w:pPr>
        <w:keepNext w:val="0"/>
        <w:keepLines w:val="0"/>
        <w:pageBreakBefore w:val="0"/>
        <w:widowControl w:val="0"/>
        <w:tabs>
          <w:tab w:val="left" w:pos="4860"/>
        </w:tabs>
        <w:kinsoku/>
        <w:wordWrap/>
        <w:overflowPunct/>
        <w:topLinePunct w:val="0"/>
        <w:autoSpaceDE/>
        <w:autoSpaceDN/>
        <w:bidi w:val="0"/>
        <w:adjustRightInd/>
        <w:snapToGrid/>
        <w:spacing w:line="400" w:lineRule="exact"/>
        <w:ind w:right="1560" w:firstLine="444" w:firstLineChars="200"/>
        <w:contextualSpacing/>
        <w:jc w:val="center"/>
        <w:textAlignment w:val="auto"/>
        <w:rPr>
          <w:rFonts w:hint="eastAsia" w:ascii="宋体" w:hAnsi="宋体" w:cs="宋体"/>
          <w:color w:val="auto"/>
          <w:spacing w:val="6"/>
          <w:szCs w:val="21"/>
          <w:highlight w:val="none"/>
        </w:rPr>
      </w:pPr>
      <w:r>
        <w:rPr>
          <w:rFonts w:hint="eastAsia" w:ascii="宋体" w:hAnsi="宋体" w:cs="宋体"/>
          <w:color w:val="auto"/>
          <w:spacing w:val="6"/>
          <w:szCs w:val="21"/>
          <w:highlight w:val="none"/>
        </w:rPr>
        <w:t>日  期：</w:t>
      </w:r>
    </w:p>
    <w:p w14:paraId="7A249015">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cs="宋体"/>
          <w:color w:val="auto"/>
          <w:szCs w:val="21"/>
          <w:highlight w:val="none"/>
        </w:rPr>
      </w:pPr>
    </w:p>
    <w:p w14:paraId="658E0803">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cs="宋体"/>
          <w:color w:val="auto"/>
          <w:szCs w:val="21"/>
          <w:highlight w:val="none"/>
        </w:rPr>
      </w:pPr>
    </w:p>
    <w:p w14:paraId="728167AB">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cs="宋体"/>
          <w:color w:val="auto"/>
          <w:szCs w:val="21"/>
          <w:highlight w:val="none"/>
        </w:rPr>
      </w:pPr>
    </w:p>
    <w:p w14:paraId="3092E9AA">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cs="宋体"/>
          <w:color w:val="auto"/>
          <w:szCs w:val="21"/>
          <w:highlight w:val="none"/>
        </w:rPr>
      </w:pPr>
      <w:r>
        <w:rPr>
          <w:rFonts w:hint="eastAsia" w:ascii="宋体" w:hAnsi="宋体" w:cs="宋体"/>
          <w:color w:val="auto"/>
          <w:szCs w:val="21"/>
          <w:highlight w:val="none"/>
        </w:rPr>
        <w:t>注：请根据自己的真实情况出具《残疾人福利性单位声明函》。依法享受中小企业优惠政策的，采购人或者采购代理机构在公告中标结果时，同时公告其《残疾人福利性单位声明函》，接受社会监督。</w:t>
      </w:r>
    </w:p>
    <w:p w14:paraId="5EAB4397">
      <w:pPr>
        <w:ind w:firstLine="3990" w:firstLineChars="1900"/>
        <w:rPr>
          <w:rFonts w:hint="eastAsia" w:ascii="宋体" w:hAnsi="宋体" w:cs="宋体"/>
          <w:color w:val="auto"/>
          <w:szCs w:val="21"/>
          <w:highlight w:val="none"/>
        </w:rPr>
      </w:pPr>
    </w:p>
    <w:p w14:paraId="14882A89">
      <w:pPr>
        <w:spacing w:line="360" w:lineRule="auto"/>
        <w:rPr>
          <w:rFonts w:hint="eastAsia"/>
          <w:color w:val="auto"/>
          <w:szCs w:val="21"/>
          <w:highlight w:val="none"/>
        </w:rPr>
      </w:pPr>
    </w:p>
    <w:p w14:paraId="6BD9867D">
      <w:pPr>
        <w:rPr>
          <w:rFonts w:hint="eastAsia"/>
          <w:color w:val="auto"/>
          <w:szCs w:val="21"/>
          <w:highlight w:val="none"/>
        </w:rPr>
      </w:pPr>
    </w:p>
    <w:p w14:paraId="4D6D8A6B">
      <w:pPr>
        <w:spacing w:line="360" w:lineRule="auto"/>
        <w:rPr>
          <w:rFonts w:hint="eastAsia"/>
          <w:color w:val="auto"/>
          <w:highlight w:val="none"/>
        </w:rPr>
      </w:pPr>
    </w:p>
    <w:p w14:paraId="24ABA176">
      <w:pPr>
        <w:spacing w:line="360" w:lineRule="auto"/>
        <w:rPr>
          <w:rFonts w:hint="eastAsia"/>
          <w:color w:val="auto"/>
          <w:highlight w:val="none"/>
        </w:rPr>
      </w:pPr>
    </w:p>
    <w:p w14:paraId="64B43554">
      <w:pPr>
        <w:rPr>
          <w:rFonts w:hint="eastAsia" w:ascii="宋体" w:hAnsi="宋体" w:cs="宋体"/>
          <w:color w:val="auto"/>
          <w:sz w:val="24"/>
          <w:highlight w:val="none"/>
        </w:rPr>
      </w:pPr>
    </w:p>
    <w:p w14:paraId="3172B988">
      <w:pPr>
        <w:pStyle w:val="4"/>
        <w:rPr>
          <w:rFonts w:hint="eastAsia"/>
          <w:color w:val="auto"/>
          <w:highlight w:val="none"/>
        </w:rPr>
      </w:pPr>
      <w:r>
        <w:rPr>
          <w:rFonts w:hint="eastAsia"/>
          <w:color w:val="auto"/>
          <w:highlight w:val="none"/>
        </w:rPr>
        <w:br w:type="page"/>
      </w:r>
      <w:bookmarkStart w:id="196" w:name="_Toc23452"/>
      <w:bookmarkStart w:id="197" w:name="_Toc560"/>
      <w:r>
        <w:rPr>
          <w:rFonts w:hint="eastAsia"/>
          <w:color w:val="auto"/>
          <w:highlight w:val="none"/>
        </w:rPr>
        <w:t>二、资格证明文件格式</w:t>
      </w:r>
      <w:bookmarkEnd w:id="193"/>
      <w:bookmarkEnd w:id="194"/>
      <w:bookmarkEnd w:id="195"/>
      <w:bookmarkEnd w:id="196"/>
      <w:bookmarkEnd w:id="197"/>
    </w:p>
    <w:p w14:paraId="5A2487F6">
      <w:pPr>
        <w:snapToGrid w:val="0"/>
        <w:spacing w:before="120" w:beforeLines="50" w:after="50" w:line="360" w:lineRule="auto"/>
        <w:jc w:val="left"/>
        <w:rPr>
          <w:rFonts w:hint="eastAsia" w:ascii="宋体" w:hAnsi="宋体" w:cs="宋体"/>
          <w:b/>
          <w:color w:val="auto"/>
          <w:sz w:val="24"/>
          <w:highlight w:val="none"/>
        </w:rPr>
      </w:pPr>
      <w:r>
        <w:rPr>
          <w:rFonts w:hint="eastAsia" w:ascii="宋体" w:hAnsi="宋体" w:cs="宋体"/>
          <w:b/>
          <w:color w:val="auto"/>
          <w:sz w:val="24"/>
          <w:highlight w:val="none"/>
        </w:rPr>
        <w:t xml:space="preserve">1.资格证明文件封面格式： </w:t>
      </w:r>
    </w:p>
    <w:p w14:paraId="105E6873">
      <w:pPr>
        <w:snapToGrid w:val="0"/>
        <w:spacing w:before="120" w:beforeLines="50" w:after="50"/>
        <w:jc w:val="center"/>
        <w:rPr>
          <w:rFonts w:hint="eastAsia" w:ascii="宋体" w:hAnsi="宋体" w:cs="宋体"/>
          <w:bCs/>
          <w:color w:val="auto"/>
          <w:sz w:val="48"/>
          <w:szCs w:val="48"/>
          <w:highlight w:val="none"/>
        </w:rPr>
      </w:pPr>
    </w:p>
    <w:p w14:paraId="545F1A3D">
      <w:pPr>
        <w:snapToGrid w:val="0"/>
        <w:spacing w:before="120" w:beforeLines="50" w:after="50"/>
        <w:jc w:val="center"/>
        <w:rPr>
          <w:rFonts w:hint="eastAsia" w:ascii="宋体" w:hAnsi="宋体" w:cs="宋体"/>
          <w:bCs/>
          <w:color w:val="auto"/>
          <w:sz w:val="48"/>
          <w:szCs w:val="48"/>
          <w:highlight w:val="none"/>
        </w:rPr>
      </w:pPr>
    </w:p>
    <w:p w14:paraId="3040066B">
      <w:pPr>
        <w:snapToGrid w:val="0"/>
        <w:spacing w:before="120" w:beforeLines="50" w:after="50"/>
        <w:jc w:val="center"/>
        <w:rPr>
          <w:rFonts w:hint="eastAsia" w:ascii="宋体" w:hAnsi="宋体" w:cs="宋体"/>
          <w:bCs/>
          <w:color w:val="auto"/>
          <w:sz w:val="48"/>
          <w:szCs w:val="48"/>
          <w:highlight w:val="none"/>
        </w:rPr>
      </w:pPr>
      <w:r>
        <w:rPr>
          <w:rFonts w:hint="eastAsia" w:ascii="宋体" w:hAnsi="宋体" w:cs="宋体"/>
          <w:bCs/>
          <w:color w:val="auto"/>
          <w:sz w:val="48"/>
          <w:szCs w:val="48"/>
          <w:highlight w:val="none"/>
        </w:rPr>
        <w:t>电子投标文件</w:t>
      </w:r>
    </w:p>
    <w:p w14:paraId="630844B5">
      <w:pPr>
        <w:snapToGrid w:val="0"/>
        <w:spacing w:before="120" w:beforeLines="50" w:after="50"/>
        <w:rPr>
          <w:rFonts w:hint="eastAsia" w:ascii="宋体" w:hAnsi="宋体" w:cs="宋体"/>
          <w:color w:val="auto"/>
          <w:sz w:val="24"/>
          <w:szCs w:val="20"/>
          <w:highlight w:val="none"/>
        </w:rPr>
      </w:pPr>
      <w:r>
        <w:rPr>
          <w:rFonts w:hint="eastAsia" w:ascii="宋体" w:hAnsi="宋体" w:cs="宋体"/>
          <w:color w:val="auto"/>
          <w:sz w:val="24"/>
          <w:highlight w:val="none"/>
        </w:rPr>
        <w:t xml:space="preserve">                 </w:t>
      </w:r>
    </w:p>
    <w:p w14:paraId="0C29E958">
      <w:pPr>
        <w:snapToGrid w:val="0"/>
        <w:spacing w:before="120" w:beforeLines="50" w:after="50"/>
        <w:jc w:val="center"/>
        <w:rPr>
          <w:rFonts w:hint="eastAsia" w:ascii="宋体" w:hAnsi="宋体" w:cs="宋体"/>
          <w:b/>
          <w:color w:val="auto"/>
          <w:sz w:val="24"/>
          <w:szCs w:val="20"/>
          <w:highlight w:val="none"/>
        </w:rPr>
      </w:pPr>
      <w:r>
        <w:rPr>
          <w:rFonts w:hint="eastAsia" w:ascii="宋体" w:hAnsi="宋体" w:cs="宋体"/>
          <w:b/>
          <w:color w:val="auto"/>
          <w:sz w:val="32"/>
          <w:szCs w:val="32"/>
          <w:highlight w:val="none"/>
        </w:rPr>
        <w:t>资格证明文件</w:t>
      </w:r>
    </w:p>
    <w:p w14:paraId="1D000CB7">
      <w:pPr>
        <w:snapToGrid w:val="0"/>
        <w:spacing w:before="120" w:beforeLines="50" w:after="50"/>
        <w:rPr>
          <w:rFonts w:hint="eastAsia" w:ascii="宋体" w:hAnsi="宋体" w:cs="宋体"/>
          <w:bCs/>
          <w:color w:val="auto"/>
          <w:sz w:val="24"/>
          <w:szCs w:val="20"/>
          <w:highlight w:val="none"/>
        </w:rPr>
      </w:pPr>
    </w:p>
    <w:p w14:paraId="6FCFE0CA">
      <w:pPr>
        <w:snapToGrid w:val="0"/>
        <w:spacing w:before="120" w:beforeLines="50" w:after="50"/>
        <w:rPr>
          <w:rFonts w:hint="eastAsia" w:ascii="宋体" w:hAnsi="宋体" w:cs="宋体"/>
          <w:bCs/>
          <w:color w:val="auto"/>
          <w:sz w:val="24"/>
          <w:szCs w:val="20"/>
          <w:highlight w:val="none"/>
        </w:rPr>
      </w:pPr>
    </w:p>
    <w:p w14:paraId="06F65199">
      <w:pPr>
        <w:snapToGrid w:val="0"/>
        <w:spacing w:before="120" w:beforeLines="50" w:after="50"/>
        <w:rPr>
          <w:rFonts w:hint="eastAsia" w:ascii="宋体" w:hAnsi="宋体" w:cs="宋体"/>
          <w:bCs/>
          <w:color w:val="auto"/>
          <w:sz w:val="24"/>
          <w:szCs w:val="20"/>
          <w:highlight w:val="none"/>
        </w:rPr>
      </w:pPr>
    </w:p>
    <w:p w14:paraId="49AAD638">
      <w:pPr>
        <w:snapToGrid w:val="0"/>
        <w:spacing w:before="120" w:beforeLines="50" w:after="50"/>
        <w:rPr>
          <w:rFonts w:hint="eastAsia" w:ascii="宋体" w:hAnsi="宋体" w:cs="宋体"/>
          <w:bCs/>
          <w:color w:val="auto"/>
          <w:sz w:val="24"/>
          <w:szCs w:val="20"/>
          <w:highlight w:val="none"/>
        </w:rPr>
      </w:pPr>
    </w:p>
    <w:p w14:paraId="70F13409">
      <w:pPr>
        <w:snapToGrid w:val="0"/>
        <w:spacing w:before="120" w:beforeLines="50" w:after="50"/>
        <w:rPr>
          <w:rFonts w:hint="eastAsia" w:ascii="宋体" w:hAnsi="宋体" w:cs="宋体"/>
          <w:bCs/>
          <w:color w:val="auto"/>
          <w:sz w:val="24"/>
          <w:szCs w:val="20"/>
          <w:highlight w:val="none"/>
        </w:rPr>
      </w:pPr>
    </w:p>
    <w:p w14:paraId="55B27B6B">
      <w:pPr>
        <w:snapToGrid w:val="0"/>
        <w:spacing w:before="120" w:beforeLines="50" w:after="50"/>
        <w:rPr>
          <w:rFonts w:hint="eastAsia" w:ascii="宋体" w:hAnsi="宋体" w:cs="宋体"/>
          <w:bCs/>
          <w:color w:val="auto"/>
          <w:sz w:val="24"/>
          <w:szCs w:val="20"/>
          <w:highlight w:val="none"/>
        </w:rPr>
      </w:pPr>
    </w:p>
    <w:p w14:paraId="111F3767">
      <w:pPr>
        <w:snapToGrid w:val="0"/>
        <w:spacing w:before="120" w:beforeLines="50" w:after="50"/>
        <w:rPr>
          <w:rFonts w:hint="eastAsia" w:ascii="宋体" w:hAnsi="宋体" w:cs="宋体"/>
          <w:bCs/>
          <w:color w:val="auto"/>
          <w:sz w:val="24"/>
          <w:szCs w:val="20"/>
          <w:highlight w:val="none"/>
        </w:rPr>
      </w:pPr>
    </w:p>
    <w:p w14:paraId="2B2DE365">
      <w:pPr>
        <w:snapToGrid w:val="0"/>
        <w:spacing w:before="120" w:beforeLines="50" w:after="50"/>
        <w:ind w:firstLine="540" w:firstLineChars="225"/>
        <w:rPr>
          <w:rFonts w:hint="eastAsia" w:ascii="宋体" w:hAnsi="宋体" w:cs="宋体"/>
          <w:bCs/>
          <w:color w:val="auto"/>
          <w:sz w:val="24"/>
          <w:highlight w:val="none"/>
        </w:rPr>
      </w:pPr>
      <w:r>
        <w:rPr>
          <w:rFonts w:hint="eastAsia" w:ascii="宋体" w:hAnsi="宋体" w:cs="宋体"/>
          <w:bCs/>
          <w:color w:val="auto"/>
          <w:sz w:val="24"/>
          <w:highlight w:val="none"/>
        </w:rPr>
        <w:t>项目名称：</w:t>
      </w:r>
    </w:p>
    <w:p w14:paraId="10E90B0E">
      <w:pPr>
        <w:snapToGrid w:val="0"/>
        <w:spacing w:before="120" w:beforeLines="50" w:after="50"/>
        <w:ind w:firstLine="540" w:firstLineChars="225"/>
        <w:rPr>
          <w:rFonts w:hint="eastAsia" w:ascii="宋体" w:hAnsi="宋体" w:cs="宋体"/>
          <w:bCs/>
          <w:color w:val="auto"/>
          <w:sz w:val="24"/>
          <w:szCs w:val="20"/>
          <w:highlight w:val="none"/>
        </w:rPr>
      </w:pPr>
    </w:p>
    <w:p w14:paraId="1CF19003">
      <w:pPr>
        <w:snapToGrid w:val="0"/>
        <w:spacing w:before="120" w:beforeLines="50" w:after="50"/>
        <w:ind w:firstLine="540" w:firstLineChars="225"/>
        <w:rPr>
          <w:rFonts w:hint="eastAsia" w:ascii="宋体" w:hAnsi="宋体" w:cs="宋体"/>
          <w:bCs/>
          <w:color w:val="auto"/>
          <w:sz w:val="24"/>
          <w:highlight w:val="none"/>
        </w:rPr>
      </w:pPr>
      <w:r>
        <w:rPr>
          <w:rFonts w:hint="eastAsia" w:ascii="宋体" w:hAnsi="宋体" w:cs="宋体"/>
          <w:bCs/>
          <w:color w:val="auto"/>
          <w:sz w:val="24"/>
          <w:highlight w:val="none"/>
        </w:rPr>
        <w:t>项目编号：</w:t>
      </w:r>
    </w:p>
    <w:p w14:paraId="78A3B6F0">
      <w:pPr>
        <w:snapToGrid w:val="0"/>
        <w:spacing w:before="120" w:beforeLines="50" w:after="50"/>
        <w:ind w:firstLine="540" w:firstLineChars="225"/>
        <w:rPr>
          <w:rFonts w:hint="eastAsia" w:ascii="宋体" w:hAnsi="宋体" w:cs="宋体"/>
          <w:bCs/>
          <w:color w:val="auto"/>
          <w:sz w:val="24"/>
          <w:szCs w:val="20"/>
          <w:highlight w:val="none"/>
        </w:rPr>
      </w:pPr>
    </w:p>
    <w:p w14:paraId="63424293">
      <w:pPr>
        <w:snapToGrid w:val="0"/>
        <w:spacing w:before="120" w:beforeLines="50" w:after="50"/>
        <w:ind w:firstLine="540" w:firstLineChars="225"/>
        <w:rPr>
          <w:rFonts w:hint="eastAsia" w:ascii="宋体" w:hAnsi="宋体" w:cs="宋体"/>
          <w:bCs/>
          <w:color w:val="auto"/>
          <w:sz w:val="24"/>
          <w:highlight w:val="none"/>
        </w:rPr>
      </w:pPr>
      <w:r>
        <w:rPr>
          <w:rFonts w:hint="eastAsia" w:ascii="宋体" w:hAnsi="宋体" w:cs="宋体"/>
          <w:bCs/>
          <w:color w:val="auto"/>
          <w:sz w:val="24"/>
          <w:highlight w:val="none"/>
        </w:rPr>
        <w:t>所投分标：</w:t>
      </w:r>
    </w:p>
    <w:p w14:paraId="5DEC8BBA">
      <w:pPr>
        <w:pStyle w:val="9"/>
        <w:snapToGrid w:val="0"/>
        <w:spacing w:before="50" w:after="50"/>
        <w:ind w:firstLine="540" w:firstLineChars="225"/>
        <w:rPr>
          <w:rFonts w:hint="eastAsia" w:ascii="宋体" w:hAnsi="宋体" w:cs="宋体"/>
          <w:bCs/>
          <w:color w:val="auto"/>
          <w:sz w:val="24"/>
          <w:szCs w:val="24"/>
          <w:highlight w:val="none"/>
        </w:rPr>
      </w:pPr>
    </w:p>
    <w:p w14:paraId="24A21721">
      <w:pPr>
        <w:pStyle w:val="9"/>
        <w:snapToGrid w:val="0"/>
        <w:spacing w:before="50" w:after="50"/>
        <w:ind w:firstLine="540" w:firstLineChars="225"/>
        <w:rPr>
          <w:rFonts w:hint="eastAsia" w:ascii="宋体" w:hAnsi="宋体" w:cs="宋体"/>
          <w:bCs/>
          <w:color w:val="auto"/>
          <w:sz w:val="24"/>
          <w:szCs w:val="24"/>
          <w:highlight w:val="none"/>
        </w:rPr>
      </w:pPr>
      <w:r>
        <w:rPr>
          <w:rFonts w:hint="eastAsia" w:ascii="宋体" w:hAnsi="宋体" w:cs="宋体"/>
          <w:bCs/>
          <w:color w:val="auto"/>
          <w:sz w:val="24"/>
          <w:szCs w:val="24"/>
          <w:highlight w:val="none"/>
        </w:rPr>
        <w:t>投标人名称：</w:t>
      </w:r>
    </w:p>
    <w:p w14:paraId="266B36E5">
      <w:pPr>
        <w:pStyle w:val="9"/>
        <w:snapToGrid w:val="0"/>
        <w:spacing w:before="50" w:after="50"/>
        <w:ind w:firstLine="540" w:firstLineChars="225"/>
        <w:rPr>
          <w:rFonts w:hint="eastAsia" w:ascii="宋体" w:hAnsi="宋体" w:cs="宋体"/>
          <w:bCs/>
          <w:color w:val="auto"/>
          <w:sz w:val="24"/>
          <w:szCs w:val="24"/>
          <w:highlight w:val="none"/>
        </w:rPr>
      </w:pPr>
    </w:p>
    <w:p w14:paraId="682A1B04">
      <w:pPr>
        <w:pStyle w:val="9"/>
        <w:snapToGrid w:val="0"/>
        <w:spacing w:before="50" w:after="50"/>
        <w:ind w:firstLine="960" w:firstLineChars="400"/>
        <w:rPr>
          <w:rFonts w:hint="eastAsia" w:ascii="宋体" w:hAnsi="宋体" w:cs="宋体"/>
          <w:bCs/>
          <w:color w:val="auto"/>
          <w:sz w:val="24"/>
          <w:szCs w:val="24"/>
          <w:highlight w:val="none"/>
        </w:rPr>
      </w:pPr>
    </w:p>
    <w:p w14:paraId="574A7D6C">
      <w:pPr>
        <w:snapToGrid w:val="0"/>
        <w:spacing w:before="120" w:beforeLines="50" w:after="50"/>
        <w:ind w:firstLine="645"/>
        <w:jc w:val="center"/>
        <w:rPr>
          <w:rFonts w:hint="eastAsia" w:ascii="宋体" w:hAnsi="宋体" w:cs="宋体"/>
          <w:color w:val="auto"/>
          <w:sz w:val="24"/>
          <w:highlight w:val="none"/>
        </w:rPr>
      </w:pPr>
      <w:r>
        <w:rPr>
          <w:rFonts w:hint="eastAsia" w:ascii="宋体" w:hAnsi="宋体" w:cs="宋体"/>
          <w:color w:val="auto"/>
          <w:sz w:val="24"/>
          <w:highlight w:val="none"/>
        </w:rPr>
        <w:t>年  月  日</w:t>
      </w:r>
    </w:p>
    <w:p w14:paraId="458EFC8F">
      <w:pPr>
        <w:snapToGrid w:val="0"/>
        <w:spacing w:before="120" w:beforeLines="50" w:after="50"/>
        <w:rPr>
          <w:rFonts w:hint="eastAsia" w:ascii="宋体" w:hAnsi="宋体" w:cs="宋体"/>
          <w:color w:val="auto"/>
          <w:sz w:val="24"/>
          <w:szCs w:val="20"/>
          <w:highlight w:val="none"/>
        </w:rPr>
      </w:pPr>
      <w:r>
        <w:rPr>
          <w:rFonts w:hint="eastAsia" w:ascii="宋体" w:hAnsi="宋体" w:cs="宋体"/>
          <w:color w:val="auto"/>
          <w:sz w:val="24"/>
          <w:szCs w:val="20"/>
          <w:highlight w:val="none"/>
        </w:rPr>
        <w:t xml:space="preserve"> </w:t>
      </w:r>
    </w:p>
    <w:p w14:paraId="03AB439C">
      <w:pPr>
        <w:snapToGrid w:val="0"/>
        <w:spacing w:before="120" w:beforeLines="50" w:after="50"/>
        <w:rPr>
          <w:rFonts w:hint="eastAsia" w:ascii="宋体" w:hAnsi="宋体" w:cs="宋体"/>
          <w:color w:val="auto"/>
          <w:sz w:val="24"/>
          <w:szCs w:val="20"/>
          <w:highlight w:val="none"/>
        </w:rPr>
      </w:pPr>
    </w:p>
    <w:p w14:paraId="77C443DE">
      <w:pPr>
        <w:snapToGrid w:val="0"/>
        <w:spacing w:before="120" w:beforeLines="50" w:after="50" w:line="360" w:lineRule="auto"/>
        <w:ind w:firstLine="120" w:firstLineChars="50"/>
        <w:jc w:val="left"/>
        <w:rPr>
          <w:rFonts w:hint="eastAsia" w:ascii="宋体" w:hAnsi="宋体" w:cs="宋体"/>
          <w:color w:val="auto"/>
          <w:sz w:val="24"/>
          <w:szCs w:val="20"/>
          <w:highlight w:val="none"/>
        </w:rPr>
      </w:pPr>
      <w:r>
        <w:rPr>
          <w:rFonts w:hint="eastAsia" w:ascii="宋体" w:hAnsi="宋体" w:cs="宋体"/>
          <w:b/>
          <w:bCs/>
          <w:color w:val="auto"/>
          <w:sz w:val="24"/>
          <w:highlight w:val="none"/>
        </w:rPr>
        <w:br w:type="page"/>
      </w:r>
      <w:r>
        <w:rPr>
          <w:rFonts w:hint="eastAsia" w:ascii="宋体" w:hAnsi="宋体" w:cs="宋体"/>
          <w:b/>
          <w:bCs/>
          <w:color w:val="auto"/>
          <w:sz w:val="24"/>
          <w:highlight w:val="none"/>
        </w:rPr>
        <w:t>2.资格证明文件目录</w:t>
      </w:r>
    </w:p>
    <w:p w14:paraId="4619DA97">
      <w:pPr>
        <w:snapToGrid w:val="0"/>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根据招标文件规定及投标人提供的材料自行编写目录。</w:t>
      </w:r>
    </w:p>
    <w:p w14:paraId="28A80F3D">
      <w:pPr>
        <w:snapToGrid w:val="0"/>
        <w:spacing w:before="50" w:after="120" w:afterLines="50"/>
        <w:jc w:val="left"/>
        <w:rPr>
          <w:rFonts w:hint="eastAsia" w:ascii="宋体" w:hAnsi="宋体" w:cs="宋体"/>
          <w:color w:val="auto"/>
          <w:sz w:val="24"/>
          <w:highlight w:val="none"/>
        </w:rPr>
      </w:pPr>
    </w:p>
    <w:p w14:paraId="23D09EA0">
      <w:pPr>
        <w:snapToGrid w:val="0"/>
        <w:spacing w:before="50" w:after="120" w:afterLines="50"/>
        <w:jc w:val="left"/>
        <w:rPr>
          <w:rFonts w:hint="eastAsia" w:ascii="宋体" w:hAnsi="宋体" w:cs="宋体"/>
          <w:color w:val="auto"/>
          <w:sz w:val="24"/>
          <w:highlight w:val="none"/>
        </w:rPr>
      </w:pPr>
    </w:p>
    <w:p w14:paraId="32478160">
      <w:pPr>
        <w:snapToGrid w:val="0"/>
        <w:spacing w:before="120" w:beforeLines="50" w:after="50"/>
        <w:jc w:val="left"/>
        <w:rPr>
          <w:rFonts w:hint="eastAsia" w:ascii="宋体" w:hAnsi="宋体" w:cs="宋体"/>
          <w:b/>
          <w:color w:val="auto"/>
          <w:sz w:val="24"/>
          <w:highlight w:val="none"/>
        </w:rPr>
      </w:pPr>
      <w:r>
        <w:rPr>
          <w:rFonts w:hint="eastAsia" w:ascii="宋体" w:hAnsi="宋体" w:cs="宋体"/>
          <w:b/>
          <w:color w:val="auto"/>
          <w:sz w:val="24"/>
          <w:highlight w:val="none"/>
        </w:rPr>
        <w:br w:type="page"/>
      </w:r>
      <w:r>
        <w:rPr>
          <w:rFonts w:hint="eastAsia" w:ascii="宋体" w:hAnsi="宋体" w:cs="宋体"/>
          <w:b/>
          <w:color w:val="auto"/>
          <w:sz w:val="24"/>
          <w:highlight w:val="none"/>
        </w:rPr>
        <w:t>3.</w:t>
      </w:r>
      <w:r>
        <w:rPr>
          <w:rFonts w:hint="eastAsia" w:ascii="宋体" w:hAnsi="宋体" w:cs="宋体"/>
          <w:b/>
          <w:color w:val="auto"/>
          <w:sz w:val="28"/>
          <w:szCs w:val="28"/>
          <w:highlight w:val="none"/>
        </w:rPr>
        <w:t>投标人直接控股、管理关系信息表</w:t>
      </w:r>
    </w:p>
    <w:p w14:paraId="3379A7E9">
      <w:pPr>
        <w:snapToGrid w:val="0"/>
        <w:spacing w:before="50" w:after="120" w:afterLines="50"/>
        <w:jc w:val="center"/>
        <w:rPr>
          <w:rFonts w:hint="eastAsia" w:ascii="宋体" w:hAnsi="宋体" w:cs="宋体"/>
          <w:b/>
          <w:color w:val="auto"/>
          <w:sz w:val="28"/>
          <w:szCs w:val="28"/>
          <w:highlight w:val="none"/>
        </w:rPr>
      </w:pPr>
    </w:p>
    <w:p w14:paraId="68712D77">
      <w:pPr>
        <w:snapToGrid w:val="0"/>
        <w:spacing w:before="120" w:beforeLines="50" w:after="50"/>
        <w:ind w:left="420"/>
        <w:jc w:val="center"/>
        <w:rPr>
          <w:rFonts w:hint="eastAsia" w:ascii="宋体" w:hAnsi="宋体" w:cs="宋体"/>
          <w:bCs/>
          <w:color w:val="auto"/>
          <w:spacing w:val="-17"/>
          <w:sz w:val="44"/>
          <w:szCs w:val="44"/>
          <w:highlight w:val="none"/>
        </w:rPr>
      </w:pPr>
      <w:r>
        <w:rPr>
          <w:rFonts w:hint="eastAsia" w:ascii="宋体" w:hAnsi="宋体" w:cs="宋体"/>
          <w:bCs/>
          <w:color w:val="auto"/>
          <w:spacing w:val="-17"/>
          <w:sz w:val="44"/>
          <w:szCs w:val="44"/>
          <w:highlight w:val="none"/>
        </w:rPr>
        <w:t>供应商直接控股、管理关系信息表</w:t>
      </w:r>
    </w:p>
    <w:tbl>
      <w:tblPr>
        <w:tblStyle w:val="39"/>
        <w:tblW w:w="506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84"/>
        <w:gridCol w:w="1049"/>
        <w:gridCol w:w="803"/>
        <w:gridCol w:w="1484"/>
        <w:gridCol w:w="4510"/>
      </w:tblGrid>
      <w:tr w14:paraId="01F0DE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2" w:hRule="atLeast"/>
        </w:trPr>
        <w:tc>
          <w:tcPr>
            <w:tcW w:w="2386" w:type="pct"/>
            <w:gridSpan w:val="4"/>
            <w:shd w:val="clear" w:color="auto" w:fill="F2DBDB"/>
            <w:noWrap w:val="0"/>
            <w:vAlign w:val="center"/>
          </w:tcPr>
          <w:p w14:paraId="4E251176">
            <w:pPr>
              <w:keepNext w:val="0"/>
              <w:keepLines w:val="0"/>
              <w:pageBreakBefore w:val="0"/>
              <w:widowControl w:val="0"/>
              <w:suppressLineNumbers w:val="0"/>
              <w:kinsoku/>
              <w:wordWrap/>
              <w:overflowPunct/>
              <w:topLinePunct w:val="0"/>
              <w:autoSpaceDE/>
              <w:autoSpaceDN/>
              <w:bidi w:val="0"/>
              <w:adjustRightInd/>
              <w:snapToGrid w:val="0"/>
              <w:spacing w:before="120" w:beforeLines="50" w:beforeAutospacing="0" w:after="50" w:afterAutospacing="0" w:line="400" w:lineRule="exact"/>
              <w:ind w:left="0" w:right="0"/>
              <w:jc w:val="center"/>
              <w:textAlignment w:val="auto"/>
              <w:rPr>
                <w:rFonts w:hint="eastAsia" w:ascii="宋体" w:hAnsi="宋体" w:cs="宋体"/>
                <w:b/>
                <w:color w:val="auto"/>
                <w:szCs w:val="21"/>
                <w:highlight w:val="none"/>
              </w:rPr>
            </w:pPr>
            <w:r>
              <w:rPr>
                <w:rFonts w:hint="eastAsia" w:ascii="宋体" w:hAnsi="宋体" w:cs="宋体"/>
                <w:b/>
                <w:color w:val="auto"/>
                <w:szCs w:val="21"/>
                <w:highlight w:val="none"/>
              </w:rPr>
              <w:t>投标人直接控股股东信息表</w:t>
            </w:r>
          </w:p>
        </w:tc>
        <w:tc>
          <w:tcPr>
            <w:tcW w:w="2613" w:type="pct"/>
            <w:shd w:val="clear" w:color="auto" w:fill="F2DBDB"/>
            <w:noWrap w:val="0"/>
            <w:vAlign w:val="center"/>
          </w:tcPr>
          <w:p w14:paraId="5C28CFC0">
            <w:pPr>
              <w:keepNext w:val="0"/>
              <w:keepLines w:val="0"/>
              <w:pageBreakBefore w:val="0"/>
              <w:widowControl w:val="0"/>
              <w:suppressLineNumbers w:val="0"/>
              <w:kinsoku/>
              <w:wordWrap/>
              <w:overflowPunct/>
              <w:topLinePunct w:val="0"/>
              <w:autoSpaceDE/>
              <w:autoSpaceDN/>
              <w:bidi w:val="0"/>
              <w:adjustRightInd/>
              <w:snapToGrid w:val="0"/>
              <w:spacing w:before="120" w:beforeLines="50" w:beforeAutospacing="0" w:after="50" w:afterAutospacing="0" w:line="400" w:lineRule="exact"/>
              <w:ind w:left="0" w:right="0"/>
              <w:jc w:val="center"/>
              <w:textAlignment w:val="auto"/>
              <w:rPr>
                <w:rFonts w:hint="eastAsia" w:ascii="宋体" w:hAnsi="宋体" w:cs="宋体"/>
                <w:b/>
                <w:color w:val="auto"/>
                <w:szCs w:val="21"/>
                <w:highlight w:val="none"/>
              </w:rPr>
            </w:pPr>
            <w:r>
              <w:rPr>
                <w:rFonts w:hint="eastAsia" w:ascii="宋体" w:hAnsi="宋体" w:cs="宋体"/>
                <w:b/>
                <w:color w:val="auto"/>
                <w:szCs w:val="21"/>
                <w:highlight w:val="none"/>
              </w:rPr>
              <w:t>说明</w:t>
            </w:r>
          </w:p>
        </w:tc>
      </w:tr>
      <w:tr w14:paraId="58472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4" w:type="pct"/>
            <w:noWrap w:val="0"/>
            <w:vAlign w:val="center"/>
          </w:tcPr>
          <w:p w14:paraId="3B8173B7">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400" w:lineRule="exact"/>
              <w:ind w:left="0" w:right="0"/>
              <w:jc w:val="center"/>
              <w:textAlignment w:val="auto"/>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序号</w:t>
            </w:r>
          </w:p>
        </w:tc>
        <w:tc>
          <w:tcPr>
            <w:tcW w:w="608" w:type="pct"/>
            <w:noWrap w:val="0"/>
            <w:vAlign w:val="center"/>
          </w:tcPr>
          <w:p w14:paraId="3CF36EF0">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400" w:lineRule="exact"/>
              <w:ind w:left="0" w:right="0"/>
              <w:jc w:val="center"/>
              <w:textAlignment w:val="auto"/>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直接控股股东名称</w:t>
            </w:r>
          </w:p>
        </w:tc>
        <w:tc>
          <w:tcPr>
            <w:tcW w:w="464" w:type="pct"/>
            <w:noWrap w:val="0"/>
            <w:vAlign w:val="center"/>
          </w:tcPr>
          <w:p w14:paraId="1DE2ED36">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400" w:lineRule="exact"/>
              <w:ind w:left="0" w:right="0"/>
              <w:jc w:val="center"/>
              <w:textAlignment w:val="auto"/>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出资比例</w:t>
            </w:r>
          </w:p>
        </w:tc>
        <w:tc>
          <w:tcPr>
            <w:tcW w:w="858" w:type="pct"/>
            <w:noWrap w:val="0"/>
            <w:vAlign w:val="center"/>
          </w:tcPr>
          <w:p w14:paraId="4A8171D5">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400" w:lineRule="exact"/>
              <w:ind w:left="0" w:right="0"/>
              <w:jc w:val="center"/>
              <w:textAlignment w:val="auto"/>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身份证号码或者统一社会信用代码</w:t>
            </w:r>
          </w:p>
        </w:tc>
        <w:tc>
          <w:tcPr>
            <w:tcW w:w="2613" w:type="pct"/>
            <w:vMerge w:val="restart"/>
            <w:noWrap w:val="0"/>
            <w:vAlign w:val="center"/>
          </w:tcPr>
          <w:p w14:paraId="5679BE9D">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400" w:lineRule="exact"/>
              <w:ind w:left="0" w:right="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57C57E78">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400" w:lineRule="exact"/>
              <w:ind w:left="0" w:right="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2.本表所指的控股关系仅限于直接控股关系，不包括间接的控股关系。公司实际控制人与公司之间的关系不属于本表所指的直接控股关系。</w:t>
            </w:r>
          </w:p>
          <w:p w14:paraId="11050687">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400" w:lineRule="exact"/>
              <w:ind w:left="0" w:right="0"/>
              <w:jc w:val="left"/>
              <w:textAlignment w:val="auto"/>
              <w:rPr>
                <w:rFonts w:hint="eastAsia" w:ascii="宋体" w:hAnsi="宋体" w:cs="宋体"/>
                <w:b/>
                <w:bCs/>
                <w:color w:val="auto"/>
                <w:kern w:val="0"/>
                <w:szCs w:val="21"/>
                <w:highlight w:val="none"/>
              </w:rPr>
            </w:pPr>
            <w:r>
              <w:rPr>
                <w:rFonts w:hint="eastAsia" w:ascii="宋体" w:hAnsi="宋体" w:cs="宋体"/>
                <w:color w:val="auto"/>
                <w:szCs w:val="21"/>
                <w:highlight w:val="none"/>
              </w:rPr>
              <w:t>3.供应商不存在直接控股股东的，则填“无”。</w:t>
            </w:r>
          </w:p>
        </w:tc>
      </w:tr>
      <w:tr w14:paraId="55ED22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4" w:type="pct"/>
            <w:noWrap w:val="0"/>
            <w:vAlign w:val="top"/>
          </w:tcPr>
          <w:p w14:paraId="4510C10E">
            <w:pPr>
              <w:keepNext w:val="0"/>
              <w:keepLines w:val="0"/>
              <w:pageBreakBefore w:val="0"/>
              <w:widowControl w:val="0"/>
              <w:suppressLineNumbers w:val="0"/>
              <w:kinsoku/>
              <w:wordWrap/>
              <w:overflowPunct/>
              <w:topLinePunct w:val="0"/>
              <w:autoSpaceDE/>
              <w:autoSpaceDN/>
              <w:bidi w:val="0"/>
              <w:adjustRightInd/>
              <w:snapToGrid w:val="0"/>
              <w:spacing w:before="120" w:beforeLines="50" w:beforeAutospacing="0" w:after="50" w:afterAutospacing="0" w:line="400" w:lineRule="exact"/>
              <w:ind w:left="0" w:right="0"/>
              <w:jc w:val="left"/>
              <w:textAlignment w:val="auto"/>
              <w:rPr>
                <w:rFonts w:hint="eastAsia" w:ascii="宋体" w:hAnsi="宋体" w:cs="宋体"/>
                <w:b/>
                <w:color w:val="auto"/>
                <w:szCs w:val="21"/>
                <w:highlight w:val="none"/>
              </w:rPr>
            </w:pPr>
            <w:r>
              <w:rPr>
                <w:rFonts w:hint="eastAsia" w:ascii="宋体" w:hAnsi="宋体" w:cs="宋体"/>
                <w:b/>
                <w:color w:val="auto"/>
                <w:szCs w:val="21"/>
                <w:highlight w:val="none"/>
              </w:rPr>
              <w:t>1</w:t>
            </w:r>
          </w:p>
        </w:tc>
        <w:tc>
          <w:tcPr>
            <w:tcW w:w="608" w:type="pct"/>
            <w:noWrap w:val="0"/>
            <w:vAlign w:val="top"/>
          </w:tcPr>
          <w:p w14:paraId="766793B2">
            <w:pPr>
              <w:keepNext w:val="0"/>
              <w:keepLines w:val="0"/>
              <w:pageBreakBefore w:val="0"/>
              <w:widowControl w:val="0"/>
              <w:suppressLineNumbers w:val="0"/>
              <w:kinsoku/>
              <w:wordWrap/>
              <w:overflowPunct/>
              <w:topLinePunct w:val="0"/>
              <w:autoSpaceDE/>
              <w:autoSpaceDN/>
              <w:bidi w:val="0"/>
              <w:adjustRightInd/>
              <w:snapToGrid w:val="0"/>
              <w:spacing w:before="120" w:beforeLines="50" w:beforeAutospacing="0" w:after="50" w:afterAutospacing="0" w:line="400" w:lineRule="exact"/>
              <w:ind w:left="0" w:right="0"/>
              <w:jc w:val="left"/>
              <w:textAlignment w:val="auto"/>
              <w:rPr>
                <w:rFonts w:hint="eastAsia" w:ascii="宋体" w:hAnsi="宋体" w:cs="宋体"/>
                <w:b/>
                <w:color w:val="auto"/>
                <w:szCs w:val="21"/>
                <w:highlight w:val="none"/>
              </w:rPr>
            </w:pPr>
          </w:p>
        </w:tc>
        <w:tc>
          <w:tcPr>
            <w:tcW w:w="464" w:type="pct"/>
            <w:noWrap w:val="0"/>
            <w:vAlign w:val="top"/>
          </w:tcPr>
          <w:p w14:paraId="547875EC">
            <w:pPr>
              <w:keepNext w:val="0"/>
              <w:keepLines w:val="0"/>
              <w:pageBreakBefore w:val="0"/>
              <w:widowControl w:val="0"/>
              <w:suppressLineNumbers w:val="0"/>
              <w:kinsoku/>
              <w:wordWrap/>
              <w:overflowPunct/>
              <w:topLinePunct w:val="0"/>
              <w:autoSpaceDE/>
              <w:autoSpaceDN/>
              <w:bidi w:val="0"/>
              <w:adjustRightInd/>
              <w:snapToGrid w:val="0"/>
              <w:spacing w:before="120" w:beforeLines="50" w:beforeAutospacing="0" w:after="50" w:afterAutospacing="0" w:line="400" w:lineRule="exact"/>
              <w:ind w:left="0" w:right="0"/>
              <w:jc w:val="left"/>
              <w:textAlignment w:val="auto"/>
              <w:rPr>
                <w:rFonts w:hint="eastAsia" w:ascii="宋体" w:hAnsi="宋体" w:cs="宋体"/>
                <w:b/>
                <w:color w:val="auto"/>
                <w:szCs w:val="21"/>
                <w:highlight w:val="none"/>
              </w:rPr>
            </w:pPr>
          </w:p>
        </w:tc>
        <w:tc>
          <w:tcPr>
            <w:tcW w:w="858" w:type="pct"/>
            <w:noWrap w:val="0"/>
            <w:vAlign w:val="top"/>
          </w:tcPr>
          <w:p w14:paraId="088D60C9">
            <w:pPr>
              <w:keepNext w:val="0"/>
              <w:keepLines w:val="0"/>
              <w:pageBreakBefore w:val="0"/>
              <w:widowControl w:val="0"/>
              <w:suppressLineNumbers w:val="0"/>
              <w:kinsoku/>
              <w:wordWrap/>
              <w:overflowPunct/>
              <w:topLinePunct w:val="0"/>
              <w:autoSpaceDE/>
              <w:autoSpaceDN/>
              <w:bidi w:val="0"/>
              <w:adjustRightInd/>
              <w:snapToGrid w:val="0"/>
              <w:spacing w:before="120" w:beforeLines="50" w:beforeAutospacing="0" w:after="50" w:afterAutospacing="0" w:line="400" w:lineRule="exact"/>
              <w:ind w:left="0" w:right="0"/>
              <w:jc w:val="left"/>
              <w:textAlignment w:val="auto"/>
              <w:rPr>
                <w:rFonts w:hint="eastAsia" w:ascii="宋体" w:hAnsi="宋体" w:cs="宋体"/>
                <w:b/>
                <w:color w:val="auto"/>
                <w:szCs w:val="21"/>
                <w:highlight w:val="none"/>
              </w:rPr>
            </w:pPr>
          </w:p>
        </w:tc>
        <w:tc>
          <w:tcPr>
            <w:tcW w:w="2613" w:type="pct"/>
            <w:vMerge w:val="continue"/>
            <w:noWrap w:val="0"/>
            <w:vAlign w:val="top"/>
          </w:tcPr>
          <w:p w14:paraId="27551229">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400" w:lineRule="exact"/>
              <w:ind w:left="0" w:right="0"/>
              <w:jc w:val="left"/>
              <w:textAlignment w:val="auto"/>
              <w:rPr>
                <w:rFonts w:hint="eastAsia" w:ascii="宋体" w:hAnsi="宋体" w:cs="宋体"/>
                <w:color w:val="auto"/>
                <w:szCs w:val="21"/>
                <w:highlight w:val="none"/>
              </w:rPr>
            </w:pPr>
          </w:p>
        </w:tc>
      </w:tr>
      <w:tr w14:paraId="79149C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4" w:type="pct"/>
            <w:noWrap w:val="0"/>
            <w:vAlign w:val="top"/>
          </w:tcPr>
          <w:p w14:paraId="7385B277">
            <w:pPr>
              <w:keepNext w:val="0"/>
              <w:keepLines w:val="0"/>
              <w:pageBreakBefore w:val="0"/>
              <w:widowControl w:val="0"/>
              <w:suppressLineNumbers w:val="0"/>
              <w:kinsoku/>
              <w:wordWrap/>
              <w:overflowPunct/>
              <w:topLinePunct w:val="0"/>
              <w:autoSpaceDE/>
              <w:autoSpaceDN/>
              <w:bidi w:val="0"/>
              <w:adjustRightInd/>
              <w:snapToGrid w:val="0"/>
              <w:spacing w:before="120" w:beforeLines="50" w:beforeAutospacing="0" w:after="50" w:afterAutospacing="0" w:line="400" w:lineRule="exact"/>
              <w:ind w:left="0" w:right="0"/>
              <w:jc w:val="left"/>
              <w:textAlignment w:val="auto"/>
              <w:rPr>
                <w:rFonts w:hint="eastAsia" w:ascii="宋体" w:hAnsi="宋体" w:cs="宋体"/>
                <w:b/>
                <w:color w:val="auto"/>
                <w:szCs w:val="21"/>
                <w:highlight w:val="none"/>
              </w:rPr>
            </w:pPr>
            <w:r>
              <w:rPr>
                <w:rFonts w:hint="eastAsia" w:ascii="宋体" w:hAnsi="宋体" w:cs="宋体"/>
                <w:b/>
                <w:color w:val="auto"/>
                <w:szCs w:val="21"/>
                <w:highlight w:val="none"/>
              </w:rPr>
              <w:t>2</w:t>
            </w:r>
          </w:p>
        </w:tc>
        <w:tc>
          <w:tcPr>
            <w:tcW w:w="608" w:type="pct"/>
            <w:noWrap w:val="0"/>
            <w:vAlign w:val="top"/>
          </w:tcPr>
          <w:p w14:paraId="215B935F">
            <w:pPr>
              <w:keepNext w:val="0"/>
              <w:keepLines w:val="0"/>
              <w:pageBreakBefore w:val="0"/>
              <w:widowControl w:val="0"/>
              <w:suppressLineNumbers w:val="0"/>
              <w:kinsoku/>
              <w:wordWrap/>
              <w:overflowPunct/>
              <w:topLinePunct w:val="0"/>
              <w:autoSpaceDE/>
              <w:autoSpaceDN/>
              <w:bidi w:val="0"/>
              <w:adjustRightInd/>
              <w:snapToGrid w:val="0"/>
              <w:spacing w:before="120" w:beforeLines="50" w:beforeAutospacing="0" w:after="50" w:afterAutospacing="0" w:line="400" w:lineRule="exact"/>
              <w:ind w:left="0" w:right="0"/>
              <w:jc w:val="left"/>
              <w:textAlignment w:val="auto"/>
              <w:rPr>
                <w:rFonts w:hint="eastAsia" w:ascii="宋体" w:hAnsi="宋体" w:cs="宋体"/>
                <w:b/>
                <w:color w:val="auto"/>
                <w:szCs w:val="21"/>
                <w:highlight w:val="none"/>
              </w:rPr>
            </w:pPr>
          </w:p>
        </w:tc>
        <w:tc>
          <w:tcPr>
            <w:tcW w:w="464" w:type="pct"/>
            <w:noWrap w:val="0"/>
            <w:vAlign w:val="top"/>
          </w:tcPr>
          <w:p w14:paraId="1235BA07">
            <w:pPr>
              <w:keepNext w:val="0"/>
              <w:keepLines w:val="0"/>
              <w:pageBreakBefore w:val="0"/>
              <w:widowControl w:val="0"/>
              <w:suppressLineNumbers w:val="0"/>
              <w:kinsoku/>
              <w:wordWrap/>
              <w:overflowPunct/>
              <w:topLinePunct w:val="0"/>
              <w:autoSpaceDE/>
              <w:autoSpaceDN/>
              <w:bidi w:val="0"/>
              <w:adjustRightInd/>
              <w:snapToGrid w:val="0"/>
              <w:spacing w:before="120" w:beforeLines="50" w:beforeAutospacing="0" w:after="50" w:afterAutospacing="0" w:line="400" w:lineRule="exact"/>
              <w:ind w:left="0" w:right="0"/>
              <w:jc w:val="left"/>
              <w:textAlignment w:val="auto"/>
              <w:rPr>
                <w:rFonts w:hint="eastAsia" w:ascii="宋体" w:hAnsi="宋体" w:cs="宋体"/>
                <w:b/>
                <w:color w:val="auto"/>
                <w:szCs w:val="21"/>
                <w:highlight w:val="none"/>
              </w:rPr>
            </w:pPr>
          </w:p>
        </w:tc>
        <w:tc>
          <w:tcPr>
            <w:tcW w:w="858" w:type="pct"/>
            <w:noWrap w:val="0"/>
            <w:vAlign w:val="top"/>
          </w:tcPr>
          <w:p w14:paraId="29B53CFA">
            <w:pPr>
              <w:keepNext w:val="0"/>
              <w:keepLines w:val="0"/>
              <w:pageBreakBefore w:val="0"/>
              <w:widowControl w:val="0"/>
              <w:suppressLineNumbers w:val="0"/>
              <w:kinsoku/>
              <w:wordWrap/>
              <w:overflowPunct/>
              <w:topLinePunct w:val="0"/>
              <w:autoSpaceDE/>
              <w:autoSpaceDN/>
              <w:bidi w:val="0"/>
              <w:adjustRightInd/>
              <w:snapToGrid w:val="0"/>
              <w:spacing w:before="120" w:beforeLines="50" w:beforeAutospacing="0" w:after="50" w:afterAutospacing="0" w:line="400" w:lineRule="exact"/>
              <w:ind w:left="0" w:right="0"/>
              <w:jc w:val="left"/>
              <w:textAlignment w:val="auto"/>
              <w:rPr>
                <w:rFonts w:hint="eastAsia" w:ascii="宋体" w:hAnsi="宋体" w:cs="宋体"/>
                <w:b/>
                <w:color w:val="auto"/>
                <w:szCs w:val="21"/>
                <w:highlight w:val="none"/>
              </w:rPr>
            </w:pPr>
          </w:p>
        </w:tc>
        <w:tc>
          <w:tcPr>
            <w:tcW w:w="2613" w:type="pct"/>
            <w:vMerge w:val="continue"/>
            <w:noWrap w:val="0"/>
            <w:vAlign w:val="top"/>
          </w:tcPr>
          <w:p w14:paraId="2CA4741B">
            <w:pPr>
              <w:keepNext w:val="0"/>
              <w:keepLines w:val="0"/>
              <w:pageBreakBefore w:val="0"/>
              <w:widowControl w:val="0"/>
              <w:suppressLineNumbers w:val="0"/>
              <w:kinsoku/>
              <w:wordWrap/>
              <w:overflowPunct/>
              <w:topLinePunct w:val="0"/>
              <w:autoSpaceDE/>
              <w:autoSpaceDN/>
              <w:bidi w:val="0"/>
              <w:adjustRightInd/>
              <w:snapToGrid w:val="0"/>
              <w:spacing w:before="120" w:beforeLines="50" w:beforeAutospacing="0" w:after="50" w:afterAutospacing="0" w:line="400" w:lineRule="exact"/>
              <w:ind w:left="0" w:right="0"/>
              <w:jc w:val="left"/>
              <w:textAlignment w:val="auto"/>
              <w:rPr>
                <w:rFonts w:hint="eastAsia" w:ascii="宋体" w:hAnsi="宋体" w:cs="宋体"/>
                <w:b/>
                <w:color w:val="auto"/>
                <w:szCs w:val="21"/>
                <w:highlight w:val="none"/>
              </w:rPr>
            </w:pPr>
          </w:p>
        </w:tc>
      </w:tr>
      <w:tr w14:paraId="23527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4" w:type="pct"/>
            <w:tcBorders>
              <w:bottom w:val="single" w:color="auto" w:sz="4" w:space="0"/>
            </w:tcBorders>
            <w:noWrap w:val="0"/>
            <w:vAlign w:val="top"/>
          </w:tcPr>
          <w:p w14:paraId="2DCBDE1B">
            <w:pPr>
              <w:keepNext w:val="0"/>
              <w:keepLines w:val="0"/>
              <w:pageBreakBefore w:val="0"/>
              <w:widowControl w:val="0"/>
              <w:suppressLineNumbers w:val="0"/>
              <w:kinsoku/>
              <w:wordWrap/>
              <w:overflowPunct/>
              <w:topLinePunct w:val="0"/>
              <w:autoSpaceDE/>
              <w:autoSpaceDN/>
              <w:bidi w:val="0"/>
              <w:adjustRightInd/>
              <w:snapToGrid w:val="0"/>
              <w:spacing w:before="120" w:beforeLines="50" w:beforeAutospacing="0" w:after="50" w:afterAutospacing="0" w:line="400" w:lineRule="exact"/>
              <w:ind w:left="0" w:right="0"/>
              <w:jc w:val="left"/>
              <w:textAlignment w:val="auto"/>
              <w:rPr>
                <w:rFonts w:hint="eastAsia" w:ascii="宋体" w:hAnsi="宋体" w:cs="宋体"/>
                <w:b/>
                <w:color w:val="auto"/>
                <w:szCs w:val="21"/>
                <w:highlight w:val="none"/>
              </w:rPr>
            </w:pPr>
            <w:r>
              <w:rPr>
                <w:rFonts w:hint="eastAsia" w:ascii="宋体" w:hAnsi="宋体" w:cs="宋体"/>
                <w:color w:val="auto"/>
                <w:kern w:val="0"/>
                <w:szCs w:val="21"/>
                <w:highlight w:val="none"/>
              </w:rPr>
              <w:t>……</w:t>
            </w:r>
          </w:p>
        </w:tc>
        <w:tc>
          <w:tcPr>
            <w:tcW w:w="608" w:type="pct"/>
            <w:tcBorders>
              <w:bottom w:val="single" w:color="auto" w:sz="4" w:space="0"/>
            </w:tcBorders>
            <w:noWrap w:val="0"/>
            <w:vAlign w:val="top"/>
          </w:tcPr>
          <w:p w14:paraId="17B034D5">
            <w:pPr>
              <w:keepNext w:val="0"/>
              <w:keepLines w:val="0"/>
              <w:pageBreakBefore w:val="0"/>
              <w:widowControl w:val="0"/>
              <w:suppressLineNumbers w:val="0"/>
              <w:kinsoku/>
              <w:wordWrap/>
              <w:overflowPunct/>
              <w:topLinePunct w:val="0"/>
              <w:autoSpaceDE/>
              <w:autoSpaceDN/>
              <w:bidi w:val="0"/>
              <w:adjustRightInd/>
              <w:snapToGrid w:val="0"/>
              <w:spacing w:before="120" w:beforeLines="50" w:beforeAutospacing="0" w:after="50" w:afterAutospacing="0" w:line="400" w:lineRule="exact"/>
              <w:ind w:left="0" w:right="0"/>
              <w:jc w:val="left"/>
              <w:textAlignment w:val="auto"/>
              <w:rPr>
                <w:rFonts w:hint="eastAsia" w:ascii="宋体" w:hAnsi="宋体" w:cs="宋体"/>
                <w:b/>
                <w:color w:val="auto"/>
                <w:szCs w:val="21"/>
                <w:highlight w:val="none"/>
              </w:rPr>
            </w:pPr>
          </w:p>
        </w:tc>
        <w:tc>
          <w:tcPr>
            <w:tcW w:w="464" w:type="pct"/>
            <w:tcBorders>
              <w:bottom w:val="single" w:color="auto" w:sz="4" w:space="0"/>
            </w:tcBorders>
            <w:noWrap w:val="0"/>
            <w:vAlign w:val="top"/>
          </w:tcPr>
          <w:p w14:paraId="74A0FDA8">
            <w:pPr>
              <w:keepNext w:val="0"/>
              <w:keepLines w:val="0"/>
              <w:pageBreakBefore w:val="0"/>
              <w:widowControl w:val="0"/>
              <w:suppressLineNumbers w:val="0"/>
              <w:kinsoku/>
              <w:wordWrap/>
              <w:overflowPunct/>
              <w:topLinePunct w:val="0"/>
              <w:autoSpaceDE/>
              <w:autoSpaceDN/>
              <w:bidi w:val="0"/>
              <w:adjustRightInd/>
              <w:snapToGrid w:val="0"/>
              <w:spacing w:before="120" w:beforeLines="50" w:beforeAutospacing="0" w:after="50" w:afterAutospacing="0" w:line="400" w:lineRule="exact"/>
              <w:ind w:left="0" w:right="0"/>
              <w:jc w:val="left"/>
              <w:textAlignment w:val="auto"/>
              <w:rPr>
                <w:rFonts w:hint="eastAsia" w:ascii="宋体" w:hAnsi="宋体" w:cs="宋体"/>
                <w:b/>
                <w:color w:val="auto"/>
                <w:szCs w:val="21"/>
                <w:highlight w:val="none"/>
              </w:rPr>
            </w:pPr>
          </w:p>
        </w:tc>
        <w:tc>
          <w:tcPr>
            <w:tcW w:w="858" w:type="pct"/>
            <w:tcBorders>
              <w:bottom w:val="single" w:color="auto" w:sz="4" w:space="0"/>
            </w:tcBorders>
            <w:noWrap w:val="0"/>
            <w:vAlign w:val="top"/>
          </w:tcPr>
          <w:p w14:paraId="34D2063D">
            <w:pPr>
              <w:keepNext w:val="0"/>
              <w:keepLines w:val="0"/>
              <w:pageBreakBefore w:val="0"/>
              <w:widowControl w:val="0"/>
              <w:suppressLineNumbers w:val="0"/>
              <w:kinsoku/>
              <w:wordWrap/>
              <w:overflowPunct/>
              <w:topLinePunct w:val="0"/>
              <w:autoSpaceDE/>
              <w:autoSpaceDN/>
              <w:bidi w:val="0"/>
              <w:adjustRightInd/>
              <w:snapToGrid w:val="0"/>
              <w:spacing w:before="120" w:beforeLines="50" w:beforeAutospacing="0" w:after="50" w:afterAutospacing="0" w:line="400" w:lineRule="exact"/>
              <w:ind w:left="0" w:right="0"/>
              <w:jc w:val="left"/>
              <w:textAlignment w:val="auto"/>
              <w:rPr>
                <w:rFonts w:hint="eastAsia" w:ascii="宋体" w:hAnsi="宋体" w:cs="宋体"/>
                <w:b/>
                <w:color w:val="auto"/>
                <w:szCs w:val="21"/>
                <w:highlight w:val="none"/>
              </w:rPr>
            </w:pPr>
          </w:p>
        </w:tc>
        <w:tc>
          <w:tcPr>
            <w:tcW w:w="2613" w:type="pct"/>
            <w:vMerge w:val="continue"/>
            <w:tcBorders>
              <w:bottom w:val="single" w:color="auto" w:sz="4" w:space="0"/>
            </w:tcBorders>
            <w:noWrap w:val="0"/>
            <w:vAlign w:val="top"/>
          </w:tcPr>
          <w:p w14:paraId="1AF1CF4E">
            <w:pPr>
              <w:keepNext w:val="0"/>
              <w:keepLines w:val="0"/>
              <w:pageBreakBefore w:val="0"/>
              <w:widowControl w:val="0"/>
              <w:suppressLineNumbers w:val="0"/>
              <w:kinsoku/>
              <w:wordWrap/>
              <w:overflowPunct/>
              <w:topLinePunct w:val="0"/>
              <w:autoSpaceDE/>
              <w:autoSpaceDN/>
              <w:bidi w:val="0"/>
              <w:adjustRightInd/>
              <w:snapToGrid w:val="0"/>
              <w:spacing w:before="120" w:beforeLines="50" w:beforeAutospacing="0" w:after="50" w:afterAutospacing="0" w:line="400" w:lineRule="exact"/>
              <w:ind w:left="0" w:right="0"/>
              <w:jc w:val="left"/>
              <w:textAlignment w:val="auto"/>
              <w:rPr>
                <w:rFonts w:hint="eastAsia" w:ascii="宋体" w:hAnsi="宋体" w:cs="宋体"/>
                <w:b/>
                <w:color w:val="auto"/>
                <w:szCs w:val="21"/>
                <w:highlight w:val="none"/>
              </w:rPr>
            </w:pPr>
          </w:p>
        </w:tc>
      </w:tr>
      <w:tr w14:paraId="17678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0" w:hRule="atLeast"/>
        </w:trPr>
        <w:tc>
          <w:tcPr>
            <w:tcW w:w="2386" w:type="pct"/>
            <w:gridSpan w:val="4"/>
            <w:shd w:val="clear" w:color="auto" w:fill="F2DBDB"/>
            <w:noWrap w:val="0"/>
            <w:vAlign w:val="center"/>
          </w:tcPr>
          <w:p w14:paraId="47AE2FF3">
            <w:pPr>
              <w:keepNext w:val="0"/>
              <w:keepLines w:val="0"/>
              <w:pageBreakBefore w:val="0"/>
              <w:widowControl w:val="0"/>
              <w:suppressLineNumbers w:val="0"/>
              <w:kinsoku/>
              <w:wordWrap/>
              <w:overflowPunct/>
              <w:topLinePunct w:val="0"/>
              <w:autoSpaceDE/>
              <w:autoSpaceDN/>
              <w:bidi w:val="0"/>
              <w:adjustRightInd/>
              <w:snapToGrid w:val="0"/>
              <w:spacing w:before="120" w:beforeLines="50" w:beforeAutospacing="0" w:after="50" w:afterAutospacing="0" w:line="400" w:lineRule="exact"/>
              <w:ind w:left="0" w:right="0"/>
              <w:jc w:val="center"/>
              <w:textAlignment w:val="auto"/>
              <w:rPr>
                <w:rFonts w:hint="eastAsia" w:ascii="宋体" w:hAnsi="宋体" w:cs="宋体"/>
                <w:b/>
                <w:color w:val="auto"/>
                <w:szCs w:val="21"/>
                <w:highlight w:val="none"/>
              </w:rPr>
            </w:pPr>
            <w:r>
              <w:rPr>
                <w:rFonts w:hint="eastAsia" w:ascii="宋体" w:hAnsi="宋体" w:cs="宋体"/>
                <w:b/>
                <w:color w:val="auto"/>
                <w:szCs w:val="21"/>
                <w:highlight w:val="none"/>
              </w:rPr>
              <w:t>投标人直接管理关系信息表</w:t>
            </w:r>
          </w:p>
        </w:tc>
        <w:tc>
          <w:tcPr>
            <w:tcW w:w="2613" w:type="pct"/>
            <w:shd w:val="clear" w:color="auto" w:fill="F2DBDB"/>
            <w:noWrap w:val="0"/>
            <w:vAlign w:val="center"/>
          </w:tcPr>
          <w:p w14:paraId="480643DB">
            <w:pPr>
              <w:keepNext w:val="0"/>
              <w:keepLines w:val="0"/>
              <w:pageBreakBefore w:val="0"/>
              <w:widowControl w:val="0"/>
              <w:suppressLineNumbers w:val="0"/>
              <w:kinsoku/>
              <w:wordWrap/>
              <w:overflowPunct/>
              <w:topLinePunct w:val="0"/>
              <w:autoSpaceDE/>
              <w:autoSpaceDN/>
              <w:bidi w:val="0"/>
              <w:adjustRightInd/>
              <w:snapToGrid w:val="0"/>
              <w:spacing w:before="120" w:beforeLines="50" w:beforeAutospacing="0" w:after="50" w:afterAutospacing="0" w:line="400" w:lineRule="exact"/>
              <w:ind w:left="0" w:right="0"/>
              <w:jc w:val="center"/>
              <w:textAlignment w:val="auto"/>
              <w:rPr>
                <w:rFonts w:hint="eastAsia" w:ascii="宋体" w:hAnsi="宋体" w:cs="宋体"/>
                <w:b/>
                <w:color w:val="auto"/>
                <w:szCs w:val="21"/>
                <w:highlight w:val="none"/>
              </w:rPr>
            </w:pPr>
            <w:r>
              <w:rPr>
                <w:rFonts w:hint="eastAsia" w:ascii="宋体" w:hAnsi="宋体" w:cs="宋体"/>
                <w:b/>
                <w:color w:val="auto"/>
                <w:szCs w:val="21"/>
                <w:highlight w:val="none"/>
              </w:rPr>
              <w:t>说明</w:t>
            </w:r>
          </w:p>
        </w:tc>
      </w:tr>
      <w:tr w14:paraId="7ECD3E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4" w:type="pct"/>
            <w:noWrap w:val="0"/>
            <w:vAlign w:val="center"/>
          </w:tcPr>
          <w:p w14:paraId="1DA61A06">
            <w:pPr>
              <w:keepNext w:val="0"/>
              <w:keepLines w:val="0"/>
              <w:pageBreakBefore w:val="0"/>
              <w:widowControl w:val="0"/>
              <w:suppressLineNumbers w:val="0"/>
              <w:kinsoku/>
              <w:wordWrap/>
              <w:overflowPunct/>
              <w:topLinePunct w:val="0"/>
              <w:autoSpaceDE/>
              <w:autoSpaceDN/>
              <w:bidi w:val="0"/>
              <w:adjustRightInd/>
              <w:snapToGrid w:val="0"/>
              <w:spacing w:before="120" w:beforeLines="50" w:beforeAutospacing="0" w:after="50" w:afterAutospacing="0" w:line="400" w:lineRule="exact"/>
              <w:ind w:left="0" w:right="0"/>
              <w:jc w:val="center"/>
              <w:textAlignment w:val="auto"/>
              <w:rPr>
                <w:rFonts w:hint="eastAsia" w:ascii="宋体" w:hAnsi="宋体" w:cs="宋体"/>
                <w:b/>
                <w:color w:val="auto"/>
                <w:szCs w:val="21"/>
                <w:highlight w:val="none"/>
              </w:rPr>
            </w:pPr>
            <w:r>
              <w:rPr>
                <w:rFonts w:hint="eastAsia" w:ascii="宋体" w:hAnsi="宋体" w:cs="宋体"/>
                <w:b/>
                <w:bCs/>
                <w:color w:val="auto"/>
                <w:kern w:val="0"/>
                <w:szCs w:val="21"/>
                <w:highlight w:val="none"/>
              </w:rPr>
              <w:t>序号</w:t>
            </w:r>
          </w:p>
        </w:tc>
        <w:tc>
          <w:tcPr>
            <w:tcW w:w="1073" w:type="pct"/>
            <w:gridSpan w:val="2"/>
            <w:noWrap w:val="0"/>
            <w:vAlign w:val="center"/>
          </w:tcPr>
          <w:p w14:paraId="5CBF388B">
            <w:pPr>
              <w:keepNext w:val="0"/>
              <w:keepLines w:val="0"/>
              <w:pageBreakBefore w:val="0"/>
              <w:widowControl w:val="0"/>
              <w:suppressLineNumbers w:val="0"/>
              <w:kinsoku/>
              <w:wordWrap/>
              <w:overflowPunct/>
              <w:topLinePunct w:val="0"/>
              <w:autoSpaceDE/>
              <w:autoSpaceDN/>
              <w:bidi w:val="0"/>
              <w:adjustRightInd/>
              <w:snapToGrid w:val="0"/>
              <w:spacing w:before="120" w:beforeLines="50" w:beforeAutospacing="0" w:after="50" w:afterAutospacing="0" w:line="400" w:lineRule="exact"/>
              <w:ind w:left="0" w:right="0"/>
              <w:jc w:val="center"/>
              <w:textAlignment w:val="auto"/>
              <w:rPr>
                <w:rFonts w:hint="eastAsia" w:ascii="宋体" w:hAnsi="宋体" w:cs="宋体"/>
                <w:b/>
                <w:color w:val="auto"/>
                <w:szCs w:val="21"/>
                <w:highlight w:val="none"/>
              </w:rPr>
            </w:pPr>
            <w:r>
              <w:rPr>
                <w:rFonts w:hint="eastAsia" w:ascii="宋体" w:hAnsi="宋体" w:cs="宋体"/>
                <w:b/>
                <w:bCs/>
                <w:color w:val="auto"/>
                <w:kern w:val="0"/>
                <w:szCs w:val="21"/>
                <w:highlight w:val="none"/>
              </w:rPr>
              <w:t>直接管理关系单位名称</w:t>
            </w:r>
          </w:p>
        </w:tc>
        <w:tc>
          <w:tcPr>
            <w:tcW w:w="858" w:type="pct"/>
            <w:noWrap w:val="0"/>
            <w:vAlign w:val="center"/>
          </w:tcPr>
          <w:p w14:paraId="7B7EBCEA">
            <w:pPr>
              <w:keepNext w:val="0"/>
              <w:keepLines w:val="0"/>
              <w:pageBreakBefore w:val="0"/>
              <w:widowControl w:val="0"/>
              <w:suppressLineNumbers w:val="0"/>
              <w:kinsoku/>
              <w:wordWrap/>
              <w:overflowPunct/>
              <w:topLinePunct w:val="0"/>
              <w:autoSpaceDE/>
              <w:autoSpaceDN/>
              <w:bidi w:val="0"/>
              <w:adjustRightInd/>
              <w:snapToGrid w:val="0"/>
              <w:spacing w:before="120" w:beforeLines="50" w:beforeAutospacing="0" w:after="50" w:afterAutospacing="0" w:line="400" w:lineRule="exact"/>
              <w:ind w:left="0" w:right="0"/>
              <w:jc w:val="center"/>
              <w:textAlignment w:val="auto"/>
              <w:rPr>
                <w:rFonts w:hint="eastAsia" w:ascii="宋体" w:hAnsi="宋体" w:cs="宋体"/>
                <w:b/>
                <w:color w:val="auto"/>
                <w:szCs w:val="21"/>
                <w:highlight w:val="none"/>
              </w:rPr>
            </w:pPr>
            <w:r>
              <w:rPr>
                <w:rFonts w:hint="eastAsia" w:ascii="宋体" w:hAnsi="宋体" w:cs="宋体"/>
                <w:b/>
                <w:bCs/>
                <w:color w:val="auto"/>
                <w:kern w:val="0"/>
                <w:szCs w:val="21"/>
                <w:highlight w:val="none"/>
              </w:rPr>
              <w:t>统一社会信用代码</w:t>
            </w:r>
          </w:p>
        </w:tc>
        <w:tc>
          <w:tcPr>
            <w:tcW w:w="2613" w:type="pct"/>
            <w:vMerge w:val="restart"/>
            <w:noWrap w:val="0"/>
            <w:vAlign w:val="center"/>
          </w:tcPr>
          <w:p w14:paraId="0D08E740">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400" w:lineRule="exact"/>
              <w:ind w:left="0" w:right="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1.管理关系：是指不具有出资持股关系的其他单位之间存在的管理与被管理关系，如一些上下级关系的事业单位和团体组织。</w:t>
            </w:r>
          </w:p>
          <w:p w14:paraId="0E45ACC0">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400" w:lineRule="exact"/>
              <w:ind w:left="0" w:right="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2.本表所指的管理关系仅限于直接管理关系，不包括间接的管理关系。</w:t>
            </w:r>
          </w:p>
          <w:p w14:paraId="7647709E">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400" w:lineRule="exact"/>
              <w:ind w:left="0" w:right="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3.供应商不存在直接管理关系的，则填“无”。</w:t>
            </w:r>
          </w:p>
        </w:tc>
      </w:tr>
      <w:tr w14:paraId="3C9B13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4" w:type="pct"/>
            <w:noWrap w:val="0"/>
            <w:vAlign w:val="center"/>
          </w:tcPr>
          <w:p w14:paraId="38558FFF">
            <w:pPr>
              <w:keepNext w:val="0"/>
              <w:keepLines w:val="0"/>
              <w:pageBreakBefore w:val="0"/>
              <w:widowControl w:val="0"/>
              <w:suppressLineNumbers w:val="0"/>
              <w:kinsoku/>
              <w:wordWrap/>
              <w:overflowPunct/>
              <w:topLinePunct w:val="0"/>
              <w:autoSpaceDE/>
              <w:autoSpaceDN/>
              <w:bidi w:val="0"/>
              <w:adjustRightInd/>
              <w:snapToGrid w:val="0"/>
              <w:spacing w:before="120" w:beforeLines="50" w:beforeAutospacing="0" w:after="50" w:afterAutospacing="0" w:line="400" w:lineRule="exact"/>
              <w:ind w:left="0" w:right="0"/>
              <w:jc w:val="center"/>
              <w:textAlignment w:val="auto"/>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1</w:t>
            </w:r>
          </w:p>
        </w:tc>
        <w:tc>
          <w:tcPr>
            <w:tcW w:w="1073" w:type="pct"/>
            <w:gridSpan w:val="2"/>
            <w:noWrap w:val="0"/>
            <w:vAlign w:val="center"/>
          </w:tcPr>
          <w:p w14:paraId="1F6D58C8">
            <w:pPr>
              <w:keepNext w:val="0"/>
              <w:keepLines w:val="0"/>
              <w:pageBreakBefore w:val="0"/>
              <w:widowControl w:val="0"/>
              <w:suppressLineNumbers w:val="0"/>
              <w:kinsoku/>
              <w:wordWrap/>
              <w:overflowPunct/>
              <w:topLinePunct w:val="0"/>
              <w:autoSpaceDE/>
              <w:autoSpaceDN/>
              <w:bidi w:val="0"/>
              <w:adjustRightInd/>
              <w:snapToGrid w:val="0"/>
              <w:spacing w:before="120" w:beforeLines="50" w:beforeAutospacing="0" w:after="50" w:afterAutospacing="0" w:line="400" w:lineRule="exact"/>
              <w:ind w:left="0" w:right="0"/>
              <w:jc w:val="center"/>
              <w:textAlignment w:val="auto"/>
              <w:rPr>
                <w:rFonts w:hint="eastAsia" w:ascii="宋体" w:hAnsi="宋体" w:cs="宋体"/>
                <w:b/>
                <w:bCs/>
                <w:color w:val="auto"/>
                <w:kern w:val="0"/>
                <w:szCs w:val="21"/>
                <w:highlight w:val="none"/>
              </w:rPr>
            </w:pPr>
          </w:p>
        </w:tc>
        <w:tc>
          <w:tcPr>
            <w:tcW w:w="858" w:type="pct"/>
            <w:noWrap w:val="0"/>
            <w:vAlign w:val="center"/>
          </w:tcPr>
          <w:p w14:paraId="6545DE58">
            <w:pPr>
              <w:keepNext w:val="0"/>
              <w:keepLines w:val="0"/>
              <w:pageBreakBefore w:val="0"/>
              <w:widowControl w:val="0"/>
              <w:suppressLineNumbers w:val="0"/>
              <w:kinsoku/>
              <w:wordWrap/>
              <w:overflowPunct/>
              <w:topLinePunct w:val="0"/>
              <w:autoSpaceDE/>
              <w:autoSpaceDN/>
              <w:bidi w:val="0"/>
              <w:adjustRightInd/>
              <w:snapToGrid w:val="0"/>
              <w:spacing w:before="120" w:beforeLines="50" w:beforeAutospacing="0" w:after="50" w:afterAutospacing="0" w:line="400" w:lineRule="exact"/>
              <w:ind w:left="0" w:right="0"/>
              <w:jc w:val="center"/>
              <w:textAlignment w:val="auto"/>
              <w:rPr>
                <w:rFonts w:hint="eastAsia" w:ascii="宋体" w:hAnsi="宋体" w:cs="宋体"/>
                <w:b/>
                <w:bCs/>
                <w:color w:val="auto"/>
                <w:kern w:val="0"/>
                <w:szCs w:val="21"/>
                <w:highlight w:val="none"/>
              </w:rPr>
            </w:pPr>
          </w:p>
        </w:tc>
        <w:tc>
          <w:tcPr>
            <w:tcW w:w="2613" w:type="pct"/>
            <w:vMerge w:val="continue"/>
            <w:noWrap w:val="0"/>
            <w:vAlign w:val="center"/>
          </w:tcPr>
          <w:p w14:paraId="76A7BCB7">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400" w:lineRule="exact"/>
              <w:ind w:left="0" w:right="0"/>
              <w:jc w:val="left"/>
              <w:textAlignment w:val="auto"/>
              <w:rPr>
                <w:rFonts w:hint="eastAsia" w:ascii="宋体" w:hAnsi="宋体" w:cs="宋体"/>
                <w:color w:val="auto"/>
                <w:szCs w:val="21"/>
                <w:highlight w:val="none"/>
              </w:rPr>
            </w:pPr>
          </w:p>
        </w:tc>
      </w:tr>
      <w:tr w14:paraId="27520B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4" w:type="pct"/>
            <w:noWrap w:val="0"/>
            <w:vAlign w:val="center"/>
          </w:tcPr>
          <w:p w14:paraId="2E02F5E2">
            <w:pPr>
              <w:keepNext w:val="0"/>
              <w:keepLines w:val="0"/>
              <w:pageBreakBefore w:val="0"/>
              <w:widowControl w:val="0"/>
              <w:suppressLineNumbers w:val="0"/>
              <w:kinsoku/>
              <w:wordWrap/>
              <w:overflowPunct/>
              <w:topLinePunct w:val="0"/>
              <w:autoSpaceDE/>
              <w:autoSpaceDN/>
              <w:bidi w:val="0"/>
              <w:adjustRightInd/>
              <w:snapToGrid w:val="0"/>
              <w:spacing w:before="120" w:beforeLines="50" w:beforeAutospacing="0" w:after="50" w:afterAutospacing="0" w:line="400" w:lineRule="exact"/>
              <w:ind w:left="0" w:right="0"/>
              <w:jc w:val="center"/>
              <w:textAlignment w:val="auto"/>
              <w:rPr>
                <w:rFonts w:hint="default" w:ascii="宋体" w:hAnsi="宋体" w:cs="宋体"/>
                <w:b/>
                <w:bCs/>
                <w:color w:val="auto"/>
                <w:kern w:val="0"/>
                <w:szCs w:val="21"/>
                <w:highlight w:val="none"/>
              </w:rPr>
            </w:pPr>
            <w:r>
              <w:rPr>
                <w:rFonts w:hint="eastAsia" w:ascii="宋体" w:hAnsi="宋体" w:cs="宋体"/>
                <w:b/>
                <w:bCs/>
                <w:color w:val="auto"/>
                <w:kern w:val="0"/>
                <w:szCs w:val="21"/>
                <w:highlight w:val="none"/>
              </w:rPr>
              <w:t>2</w:t>
            </w:r>
          </w:p>
        </w:tc>
        <w:tc>
          <w:tcPr>
            <w:tcW w:w="1073" w:type="pct"/>
            <w:gridSpan w:val="2"/>
            <w:noWrap w:val="0"/>
            <w:vAlign w:val="center"/>
          </w:tcPr>
          <w:p w14:paraId="33311259">
            <w:pPr>
              <w:keepNext w:val="0"/>
              <w:keepLines w:val="0"/>
              <w:pageBreakBefore w:val="0"/>
              <w:widowControl w:val="0"/>
              <w:suppressLineNumbers w:val="0"/>
              <w:kinsoku/>
              <w:wordWrap/>
              <w:overflowPunct/>
              <w:topLinePunct w:val="0"/>
              <w:autoSpaceDE/>
              <w:autoSpaceDN/>
              <w:bidi w:val="0"/>
              <w:adjustRightInd/>
              <w:snapToGrid w:val="0"/>
              <w:spacing w:before="120" w:beforeLines="50" w:beforeAutospacing="0" w:after="50" w:afterAutospacing="0" w:line="400" w:lineRule="exact"/>
              <w:ind w:left="0" w:right="0"/>
              <w:jc w:val="center"/>
              <w:textAlignment w:val="auto"/>
              <w:rPr>
                <w:rFonts w:hint="eastAsia" w:ascii="宋体" w:hAnsi="宋体" w:cs="宋体"/>
                <w:b/>
                <w:bCs/>
                <w:color w:val="auto"/>
                <w:kern w:val="0"/>
                <w:szCs w:val="21"/>
                <w:highlight w:val="none"/>
              </w:rPr>
            </w:pPr>
          </w:p>
        </w:tc>
        <w:tc>
          <w:tcPr>
            <w:tcW w:w="858" w:type="pct"/>
            <w:noWrap w:val="0"/>
            <w:vAlign w:val="center"/>
          </w:tcPr>
          <w:p w14:paraId="59229EC6">
            <w:pPr>
              <w:keepNext w:val="0"/>
              <w:keepLines w:val="0"/>
              <w:pageBreakBefore w:val="0"/>
              <w:widowControl w:val="0"/>
              <w:suppressLineNumbers w:val="0"/>
              <w:kinsoku/>
              <w:wordWrap/>
              <w:overflowPunct/>
              <w:topLinePunct w:val="0"/>
              <w:autoSpaceDE/>
              <w:autoSpaceDN/>
              <w:bidi w:val="0"/>
              <w:adjustRightInd/>
              <w:snapToGrid w:val="0"/>
              <w:spacing w:before="120" w:beforeLines="50" w:beforeAutospacing="0" w:after="50" w:afterAutospacing="0" w:line="400" w:lineRule="exact"/>
              <w:ind w:left="0" w:right="0"/>
              <w:jc w:val="center"/>
              <w:textAlignment w:val="auto"/>
              <w:rPr>
                <w:rFonts w:hint="eastAsia" w:ascii="宋体" w:hAnsi="宋体" w:cs="宋体"/>
                <w:b/>
                <w:bCs/>
                <w:color w:val="auto"/>
                <w:kern w:val="0"/>
                <w:szCs w:val="21"/>
                <w:highlight w:val="none"/>
              </w:rPr>
            </w:pPr>
          </w:p>
        </w:tc>
        <w:tc>
          <w:tcPr>
            <w:tcW w:w="2613" w:type="pct"/>
            <w:vMerge w:val="continue"/>
            <w:noWrap w:val="0"/>
            <w:vAlign w:val="center"/>
          </w:tcPr>
          <w:p w14:paraId="26B18E1D">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400" w:lineRule="exact"/>
              <w:ind w:left="0" w:right="0"/>
              <w:jc w:val="left"/>
              <w:textAlignment w:val="auto"/>
              <w:rPr>
                <w:rFonts w:hint="eastAsia" w:ascii="宋体" w:hAnsi="宋体" w:cs="宋体"/>
                <w:color w:val="auto"/>
                <w:szCs w:val="21"/>
                <w:highlight w:val="none"/>
              </w:rPr>
            </w:pPr>
          </w:p>
        </w:tc>
      </w:tr>
      <w:tr w14:paraId="49BB94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4" w:type="pct"/>
            <w:noWrap w:val="0"/>
            <w:vAlign w:val="center"/>
          </w:tcPr>
          <w:p w14:paraId="5665FF35">
            <w:pPr>
              <w:keepNext w:val="0"/>
              <w:keepLines w:val="0"/>
              <w:pageBreakBefore w:val="0"/>
              <w:widowControl w:val="0"/>
              <w:suppressLineNumbers w:val="0"/>
              <w:kinsoku/>
              <w:wordWrap/>
              <w:overflowPunct/>
              <w:topLinePunct w:val="0"/>
              <w:autoSpaceDE/>
              <w:autoSpaceDN/>
              <w:bidi w:val="0"/>
              <w:adjustRightInd/>
              <w:snapToGrid w:val="0"/>
              <w:spacing w:before="120" w:beforeLines="50" w:beforeAutospacing="0" w:after="50" w:afterAutospacing="0" w:line="400" w:lineRule="exact"/>
              <w:ind w:left="0" w:right="0"/>
              <w:jc w:val="center"/>
              <w:textAlignment w:val="auto"/>
              <w:rPr>
                <w:rFonts w:hint="eastAsia" w:ascii="宋体" w:hAnsi="宋体" w:cs="宋体"/>
                <w:b/>
                <w:bCs/>
                <w:color w:val="auto"/>
                <w:kern w:val="0"/>
                <w:szCs w:val="21"/>
                <w:highlight w:val="none"/>
              </w:rPr>
            </w:pPr>
            <w:r>
              <w:rPr>
                <w:rFonts w:hint="eastAsia" w:ascii="宋体" w:hAnsi="宋体" w:cs="宋体"/>
                <w:color w:val="auto"/>
                <w:kern w:val="0"/>
                <w:szCs w:val="21"/>
                <w:highlight w:val="none"/>
              </w:rPr>
              <w:t>……</w:t>
            </w:r>
          </w:p>
        </w:tc>
        <w:tc>
          <w:tcPr>
            <w:tcW w:w="1073" w:type="pct"/>
            <w:gridSpan w:val="2"/>
            <w:noWrap w:val="0"/>
            <w:vAlign w:val="center"/>
          </w:tcPr>
          <w:p w14:paraId="34940569">
            <w:pPr>
              <w:keepNext w:val="0"/>
              <w:keepLines w:val="0"/>
              <w:pageBreakBefore w:val="0"/>
              <w:widowControl w:val="0"/>
              <w:suppressLineNumbers w:val="0"/>
              <w:kinsoku/>
              <w:wordWrap/>
              <w:overflowPunct/>
              <w:topLinePunct w:val="0"/>
              <w:autoSpaceDE/>
              <w:autoSpaceDN/>
              <w:bidi w:val="0"/>
              <w:adjustRightInd/>
              <w:snapToGrid w:val="0"/>
              <w:spacing w:before="120" w:beforeLines="50" w:beforeAutospacing="0" w:after="50" w:afterAutospacing="0" w:line="400" w:lineRule="exact"/>
              <w:ind w:left="0" w:right="0"/>
              <w:jc w:val="center"/>
              <w:textAlignment w:val="auto"/>
              <w:rPr>
                <w:rFonts w:hint="eastAsia" w:ascii="宋体" w:hAnsi="宋体" w:cs="宋体"/>
                <w:b/>
                <w:bCs/>
                <w:color w:val="auto"/>
                <w:kern w:val="0"/>
                <w:szCs w:val="21"/>
                <w:highlight w:val="none"/>
              </w:rPr>
            </w:pPr>
          </w:p>
        </w:tc>
        <w:tc>
          <w:tcPr>
            <w:tcW w:w="858" w:type="pct"/>
            <w:noWrap w:val="0"/>
            <w:vAlign w:val="center"/>
          </w:tcPr>
          <w:p w14:paraId="2A6920CF">
            <w:pPr>
              <w:keepNext w:val="0"/>
              <w:keepLines w:val="0"/>
              <w:pageBreakBefore w:val="0"/>
              <w:widowControl w:val="0"/>
              <w:suppressLineNumbers w:val="0"/>
              <w:kinsoku/>
              <w:wordWrap/>
              <w:overflowPunct/>
              <w:topLinePunct w:val="0"/>
              <w:autoSpaceDE/>
              <w:autoSpaceDN/>
              <w:bidi w:val="0"/>
              <w:adjustRightInd/>
              <w:snapToGrid w:val="0"/>
              <w:spacing w:before="120" w:beforeLines="50" w:beforeAutospacing="0" w:after="50" w:afterAutospacing="0" w:line="400" w:lineRule="exact"/>
              <w:ind w:left="0" w:right="0"/>
              <w:jc w:val="center"/>
              <w:textAlignment w:val="auto"/>
              <w:rPr>
                <w:rFonts w:hint="eastAsia" w:ascii="宋体" w:hAnsi="宋体" w:cs="宋体"/>
                <w:b/>
                <w:bCs/>
                <w:color w:val="auto"/>
                <w:kern w:val="0"/>
                <w:szCs w:val="21"/>
                <w:highlight w:val="none"/>
              </w:rPr>
            </w:pPr>
          </w:p>
        </w:tc>
        <w:tc>
          <w:tcPr>
            <w:tcW w:w="2613" w:type="pct"/>
            <w:vMerge w:val="continue"/>
            <w:noWrap w:val="0"/>
            <w:vAlign w:val="center"/>
          </w:tcPr>
          <w:p w14:paraId="6F0EB25A">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400" w:lineRule="exact"/>
              <w:ind w:left="0" w:right="0"/>
              <w:jc w:val="left"/>
              <w:textAlignment w:val="auto"/>
              <w:rPr>
                <w:rFonts w:hint="eastAsia" w:ascii="宋体" w:hAnsi="宋体" w:cs="宋体"/>
                <w:color w:val="auto"/>
                <w:szCs w:val="21"/>
                <w:highlight w:val="none"/>
              </w:rPr>
            </w:pPr>
          </w:p>
        </w:tc>
      </w:tr>
    </w:tbl>
    <w:p w14:paraId="70064136">
      <w:pPr>
        <w:snapToGrid w:val="0"/>
        <w:spacing w:line="400" w:lineRule="exact"/>
        <w:jc w:val="left"/>
        <w:rPr>
          <w:rFonts w:hint="eastAsia" w:ascii="宋体" w:hAnsi="宋体" w:cs="宋体"/>
          <w:color w:val="auto"/>
          <w:szCs w:val="21"/>
          <w:highlight w:val="none"/>
        </w:rPr>
      </w:pPr>
    </w:p>
    <w:p w14:paraId="2CB639BF">
      <w:pPr>
        <w:snapToGrid w:val="0"/>
        <w:spacing w:line="400" w:lineRule="exact"/>
        <w:ind w:left="-2" w:leftChars="-1" w:right="-817" w:rightChars="-389"/>
        <w:rPr>
          <w:rFonts w:hint="eastAsia" w:ascii="宋体" w:hAnsi="宋体" w:cs="宋体"/>
          <w:color w:val="auto"/>
          <w:szCs w:val="21"/>
          <w:highlight w:val="none"/>
        </w:rPr>
      </w:pPr>
      <w:r>
        <w:rPr>
          <w:rFonts w:hint="eastAsia" w:ascii="宋体" w:hAnsi="宋体" w:cs="宋体"/>
          <w:color w:val="auto"/>
          <w:szCs w:val="21"/>
          <w:highlight w:val="none"/>
        </w:rPr>
        <w:t xml:space="preserve">          </w:t>
      </w:r>
    </w:p>
    <w:p w14:paraId="500D5BD5">
      <w:pPr>
        <w:snapToGrid w:val="0"/>
        <w:spacing w:line="400" w:lineRule="exact"/>
        <w:ind w:left="-6" w:leftChars="-15" w:right="-817" w:rightChars="-389" w:hanging="25" w:hangingChars="12"/>
        <w:rPr>
          <w:rFonts w:hint="eastAsia" w:ascii="宋体" w:hAnsi="宋体" w:cs="宋体"/>
          <w:color w:val="auto"/>
          <w:szCs w:val="21"/>
          <w:highlight w:val="none"/>
        </w:rPr>
      </w:pPr>
      <w:r>
        <w:rPr>
          <w:rFonts w:hint="eastAsia" w:ascii="宋体" w:hAnsi="宋体" w:cs="宋体"/>
          <w:color w:val="auto"/>
          <w:szCs w:val="21"/>
          <w:highlight w:val="none"/>
        </w:rPr>
        <w:t xml:space="preserve">                                    投标人名称（电子签章）：</w:t>
      </w:r>
    </w:p>
    <w:p w14:paraId="772DA3F8">
      <w:pPr>
        <w:snapToGrid w:val="0"/>
        <w:spacing w:line="400" w:lineRule="exact"/>
        <w:jc w:val="left"/>
        <w:rPr>
          <w:rFonts w:hint="eastAsia" w:ascii="宋体" w:hAnsi="宋体" w:cs="宋体"/>
          <w:color w:val="auto"/>
          <w:szCs w:val="21"/>
          <w:highlight w:val="none"/>
        </w:rPr>
      </w:pPr>
      <w:r>
        <w:rPr>
          <w:rFonts w:hint="eastAsia" w:ascii="宋体" w:hAnsi="宋体" w:cs="宋体"/>
          <w:color w:val="auto"/>
          <w:szCs w:val="21"/>
          <w:highlight w:val="none"/>
        </w:rPr>
        <w:t xml:space="preserve">                                    日期：    年   月   日</w:t>
      </w:r>
    </w:p>
    <w:p w14:paraId="781AE03A">
      <w:pPr>
        <w:snapToGrid w:val="0"/>
        <w:jc w:val="center"/>
        <w:rPr>
          <w:rFonts w:hint="eastAsia" w:ascii="宋体" w:hAnsi="宋体" w:cs="宋体"/>
          <w:b/>
          <w:color w:val="auto"/>
          <w:sz w:val="28"/>
          <w:szCs w:val="28"/>
          <w:highlight w:val="none"/>
        </w:rPr>
      </w:pPr>
    </w:p>
    <w:p w14:paraId="46CFEE54">
      <w:pPr>
        <w:snapToGrid w:val="0"/>
        <w:spacing w:before="120" w:beforeLines="50" w:after="50"/>
        <w:jc w:val="left"/>
        <w:rPr>
          <w:rFonts w:hint="eastAsia"/>
          <w:color w:val="auto"/>
          <w:szCs w:val="20"/>
          <w:highlight w:val="none"/>
        </w:rPr>
      </w:pPr>
      <w:r>
        <w:rPr>
          <w:rFonts w:hint="eastAsia" w:ascii="宋体" w:hAnsi="宋体" w:cs="宋体"/>
          <w:b/>
          <w:color w:val="auto"/>
          <w:sz w:val="32"/>
          <w:szCs w:val="32"/>
          <w:highlight w:val="none"/>
        </w:rPr>
        <w:br w:type="page"/>
      </w:r>
      <w:r>
        <w:rPr>
          <w:rFonts w:hint="eastAsia" w:ascii="宋体" w:hAnsi="宋体" w:cs="宋体"/>
          <w:b/>
          <w:color w:val="auto"/>
          <w:sz w:val="28"/>
          <w:szCs w:val="28"/>
          <w:highlight w:val="none"/>
        </w:rPr>
        <w:t>4.投标声明</w:t>
      </w:r>
    </w:p>
    <w:p w14:paraId="6952CB53">
      <w:pPr>
        <w:snapToGrid w:val="0"/>
        <w:spacing w:before="50" w:after="120" w:afterLines="50"/>
        <w:jc w:val="left"/>
        <w:rPr>
          <w:rFonts w:hint="eastAsia" w:ascii="宋体" w:hAnsi="宋体" w:cs="宋体"/>
          <w:color w:val="auto"/>
          <w:highlight w:val="none"/>
        </w:rPr>
      </w:pPr>
    </w:p>
    <w:p w14:paraId="58035329">
      <w:pPr>
        <w:snapToGrid w:val="0"/>
        <w:spacing w:before="120" w:beforeLines="50" w:after="50"/>
        <w:ind w:left="420"/>
        <w:jc w:val="center"/>
        <w:rPr>
          <w:rFonts w:hint="eastAsia" w:ascii="宋体" w:hAnsi="宋体" w:cs="宋体"/>
          <w:b/>
          <w:bCs/>
          <w:color w:val="auto"/>
          <w:spacing w:val="-17"/>
          <w:sz w:val="30"/>
          <w:szCs w:val="30"/>
          <w:highlight w:val="none"/>
        </w:rPr>
      </w:pPr>
      <w:r>
        <w:rPr>
          <w:rFonts w:hint="eastAsia" w:ascii="宋体" w:hAnsi="宋体" w:cs="宋体"/>
          <w:b/>
          <w:bCs/>
          <w:color w:val="auto"/>
          <w:spacing w:val="-17"/>
          <w:sz w:val="30"/>
          <w:szCs w:val="30"/>
          <w:highlight w:val="none"/>
        </w:rPr>
        <w:t>投标声明</w:t>
      </w:r>
    </w:p>
    <w:p w14:paraId="37135D46">
      <w:pPr>
        <w:keepNext w:val="0"/>
        <w:keepLines w:val="0"/>
        <w:pageBreakBefore w:val="0"/>
        <w:widowControl w:val="0"/>
        <w:kinsoku/>
        <w:wordWrap/>
        <w:overflowPunct/>
        <w:topLinePunct w:val="0"/>
        <w:autoSpaceDE/>
        <w:autoSpaceDN/>
        <w:bidi w:val="0"/>
        <w:adjustRightInd/>
        <w:spacing w:line="400" w:lineRule="exact"/>
        <w:contextualSpacing/>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（采购人名称）：</w:t>
      </w:r>
    </w:p>
    <w:p w14:paraId="233E3416">
      <w:pPr>
        <w:keepNext w:val="0"/>
        <w:keepLines w:val="0"/>
        <w:pageBreakBefore w:val="0"/>
        <w:widowControl w:val="0"/>
        <w:kinsoku/>
        <w:wordWrap/>
        <w:overflowPunct/>
        <w:topLinePunct w:val="0"/>
        <w:autoSpaceDE/>
        <w:autoSpaceDN/>
        <w:bidi w:val="0"/>
        <w:adjustRightInd/>
        <w:spacing w:line="400" w:lineRule="exact"/>
        <w:ind w:firstLine="457" w:firstLineChars="218"/>
        <w:contextualSpacing/>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我方参加贵单位组织</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项目（项目编号：</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）的政府采购活动。我方在此郑重声明：</w:t>
      </w:r>
    </w:p>
    <w:p w14:paraId="27475F51">
      <w:pPr>
        <w:keepNext w:val="0"/>
        <w:keepLines w:val="0"/>
        <w:pageBreakBefore w:val="0"/>
        <w:widowControl w:val="0"/>
        <w:kinsoku/>
        <w:wordWrap/>
        <w:overflowPunct/>
        <w:topLinePunct w:val="0"/>
        <w:autoSpaceDE/>
        <w:autoSpaceDN/>
        <w:bidi w:val="0"/>
        <w:adjustRightInd/>
        <w:spacing w:line="400" w:lineRule="exact"/>
        <w:ind w:firstLine="420" w:firstLineChars="200"/>
        <w:contextualSpacing/>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1.我方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失信主体、政府采购严重违法失信行为记录名单，完全符合《中华人民共和国政府采购法》第二十二条规定的供应商资格条件，我方对此声明负全部法律责任。</w:t>
      </w:r>
    </w:p>
    <w:p w14:paraId="2E0F3288">
      <w:pPr>
        <w:keepNext w:val="0"/>
        <w:keepLines w:val="0"/>
        <w:pageBreakBefore w:val="0"/>
        <w:widowControl w:val="0"/>
        <w:kinsoku/>
        <w:wordWrap/>
        <w:overflowPunct/>
        <w:topLinePunct w:val="0"/>
        <w:autoSpaceDE/>
        <w:autoSpaceDN/>
        <w:bidi w:val="0"/>
        <w:adjustRightInd/>
        <w:spacing w:line="400" w:lineRule="exact"/>
        <w:ind w:firstLine="420" w:firstLineChars="200"/>
        <w:contextualSpacing/>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2.我方不是为本次采购项目提供整体设计、规范编制或者项目管理、监理、检测等服务的供应商。</w:t>
      </w:r>
    </w:p>
    <w:p w14:paraId="39B6109C">
      <w:pPr>
        <w:keepNext w:val="0"/>
        <w:keepLines w:val="0"/>
        <w:pageBreakBefore w:val="0"/>
        <w:widowControl w:val="0"/>
        <w:kinsoku/>
        <w:wordWrap/>
        <w:overflowPunct/>
        <w:topLinePunct w:val="0"/>
        <w:autoSpaceDE/>
        <w:autoSpaceDN/>
        <w:bidi w:val="0"/>
        <w:adjustRightInd/>
        <w:spacing w:line="400" w:lineRule="exact"/>
        <w:ind w:firstLine="420" w:firstLineChars="200"/>
        <w:contextualSpacing/>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3.我方承诺符合《中华人民共和国政府采购法》第二十二条规定：</w:t>
      </w:r>
    </w:p>
    <w:p w14:paraId="3FFF6DD8">
      <w:pPr>
        <w:keepNext w:val="0"/>
        <w:keepLines w:val="0"/>
        <w:pageBreakBefore w:val="0"/>
        <w:widowControl w:val="0"/>
        <w:kinsoku/>
        <w:wordWrap/>
        <w:overflowPunct/>
        <w:topLinePunct w:val="0"/>
        <w:autoSpaceDE/>
        <w:autoSpaceDN/>
        <w:bidi w:val="0"/>
        <w:adjustRightInd/>
        <w:spacing w:line="400" w:lineRule="exact"/>
        <w:ind w:firstLine="420" w:firstLineChars="200"/>
        <w:contextualSpacing/>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（一）具有独立承担民事责任的能力；</w:t>
      </w:r>
    </w:p>
    <w:p w14:paraId="3C58D0BA">
      <w:pPr>
        <w:keepNext w:val="0"/>
        <w:keepLines w:val="0"/>
        <w:pageBreakBefore w:val="0"/>
        <w:widowControl w:val="0"/>
        <w:kinsoku/>
        <w:wordWrap/>
        <w:overflowPunct/>
        <w:topLinePunct w:val="0"/>
        <w:autoSpaceDE/>
        <w:autoSpaceDN/>
        <w:bidi w:val="0"/>
        <w:adjustRightInd/>
        <w:spacing w:line="400" w:lineRule="exact"/>
        <w:ind w:firstLine="420" w:firstLineChars="200"/>
        <w:contextualSpacing/>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（二）具有良好的商业信誉和健全的财务会计制度；</w:t>
      </w:r>
    </w:p>
    <w:p w14:paraId="596D88BC">
      <w:pPr>
        <w:keepNext w:val="0"/>
        <w:keepLines w:val="0"/>
        <w:pageBreakBefore w:val="0"/>
        <w:widowControl w:val="0"/>
        <w:kinsoku/>
        <w:wordWrap/>
        <w:overflowPunct/>
        <w:topLinePunct w:val="0"/>
        <w:autoSpaceDE/>
        <w:autoSpaceDN/>
        <w:bidi w:val="0"/>
        <w:adjustRightInd/>
        <w:spacing w:line="400" w:lineRule="exact"/>
        <w:ind w:firstLine="420" w:firstLineChars="200"/>
        <w:contextualSpacing/>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（三）具有履行合同所必需的设备和专业技术能力；</w:t>
      </w:r>
    </w:p>
    <w:p w14:paraId="5F063877">
      <w:pPr>
        <w:keepNext w:val="0"/>
        <w:keepLines w:val="0"/>
        <w:pageBreakBefore w:val="0"/>
        <w:widowControl w:val="0"/>
        <w:kinsoku/>
        <w:wordWrap/>
        <w:overflowPunct/>
        <w:topLinePunct w:val="0"/>
        <w:autoSpaceDE/>
        <w:autoSpaceDN/>
        <w:bidi w:val="0"/>
        <w:adjustRightInd/>
        <w:spacing w:line="400" w:lineRule="exact"/>
        <w:ind w:firstLine="420" w:firstLineChars="200"/>
        <w:contextualSpacing/>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（四）有依法缴纳税收和社会保障资金的良好记录；</w:t>
      </w:r>
    </w:p>
    <w:p w14:paraId="39BE60DB">
      <w:pPr>
        <w:keepNext w:val="0"/>
        <w:keepLines w:val="0"/>
        <w:pageBreakBefore w:val="0"/>
        <w:widowControl w:val="0"/>
        <w:kinsoku/>
        <w:wordWrap/>
        <w:overflowPunct/>
        <w:topLinePunct w:val="0"/>
        <w:autoSpaceDE/>
        <w:autoSpaceDN/>
        <w:bidi w:val="0"/>
        <w:adjustRightInd/>
        <w:spacing w:line="400" w:lineRule="exact"/>
        <w:ind w:firstLine="420" w:firstLineChars="200"/>
        <w:contextualSpacing/>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（五）参加政府采购活动前三年内，在经营活动中没有重大违法记录；</w:t>
      </w:r>
    </w:p>
    <w:p w14:paraId="5BFA9FB1">
      <w:pPr>
        <w:keepNext w:val="0"/>
        <w:keepLines w:val="0"/>
        <w:pageBreakBefore w:val="0"/>
        <w:widowControl w:val="0"/>
        <w:kinsoku/>
        <w:wordWrap/>
        <w:overflowPunct/>
        <w:topLinePunct w:val="0"/>
        <w:autoSpaceDE/>
        <w:autoSpaceDN/>
        <w:bidi w:val="0"/>
        <w:adjustRightInd/>
        <w:spacing w:line="400" w:lineRule="exact"/>
        <w:ind w:firstLine="420" w:firstLineChars="200"/>
        <w:contextualSpacing/>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（六）法律、行政法规规定的其他条件。</w:t>
      </w:r>
    </w:p>
    <w:p w14:paraId="2527EEEF">
      <w:pPr>
        <w:keepNext w:val="0"/>
        <w:keepLines w:val="0"/>
        <w:pageBreakBefore w:val="0"/>
        <w:widowControl w:val="0"/>
        <w:kinsoku/>
        <w:wordWrap/>
        <w:overflowPunct/>
        <w:topLinePunct w:val="0"/>
        <w:autoSpaceDE/>
        <w:autoSpaceDN/>
        <w:bidi w:val="0"/>
        <w:adjustRightInd/>
        <w:spacing w:line="400" w:lineRule="exact"/>
        <w:ind w:firstLine="420" w:firstLineChars="200"/>
        <w:contextualSpacing/>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4.以上事项如有虚假或者隐瞒，我方愿意承担一切后果，并不再寻求任何旨在减轻或者免除法律责任的辩解。</w:t>
      </w:r>
    </w:p>
    <w:p w14:paraId="06AAF562">
      <w:pPr>
        <w:keepNext w:val="0"/>
        <w:keepLines w:val="0"/>
        <w:pageBreakBefore w:val="0"/>
        <w:widowControl w:val="0"/>
        <w:kinsoku/>
        <w:wordWrap/>
        <w:overflowPunct/>
        <w:topLinePunct w:val="0"/>
        <w:autoSpaceDE/>
        <w:autoSpaceDN/>
        <w:bidi w:val="0"/>
        <w:adjustRightInd/>
        <w:spacing w:line="400" w:lineRule="exact"/>
        <w:contextualSpacing/>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 xml:space="preserve">    特此承诺。</w:t>
      </w:r>
    </w:p>
    <w:p w14:paraId="0C72A0FB">
      <w:pPr>
        <w:keepNext w:val="0"/>
        <w:keepLines w:val="0"/>
        <w:pageBreakBefore w:val="0"/>
        <w:widowControl w:val="0"/>
        <w:kinsoku/>
        <w:wordWrap/>
        <w:overflowPunct/>
        <w:topLinePunct w:val="0"/>
        <w:autoSpaceDE/>
        <w:autoSpaceDN/>
        <w:bidi w:val="0"/>
        <w:adjustRightInd/>
        <w:snapToGrid w:val="0"/>
        <w:spacing w:before="50" w:after="50" w:line="400" w:lineRule="exact"/>
        <w:ind w:firstLine="930" w:firstLineChars="441"/>
        <w:textAlignment w:val="auto"/>
        <w:rPr>
          <w:rFonts w:hint="eastAsia" w:ascii="宋体" w:hAnsi="宋体" w:cs="宋体"/>
          <w:color w:val="auto"/>
          <w:spacing w:val="20"/>
          <w:szCs w:val="21"/>
          <w:highlight w:val="none"/>
          <w:u w:val="single"/>
        </w:rPr>
      </w:pPr>
      <w:r>
        <w:rPr>
          <w:rFonts w:hint="eastAsia" w:ascii="宋体" w:hAnsi="宋体" w:cs="宋体"/>
          <w:b/>
          <w:color w:val="auto"/>
          <w:szCs w:val="21"/>
          <w:highlight w:val="none"/>
        </w:rPr>
        <w:t xml:space="preserve">                 </w:t>
      </w:r>
      <w:r>
        <w:rPr>
          <w:rFonts w:hint="eastAsia" w:ascii="宋体" w:hAnsi="宋体" w:cs="宋体"/>
          <w:color w:val="auto"/>
          <w:szCs w:val="21"/>
          <w:highlight w:val="none"/>
        </w:rPr>
        <w:t>法定代表人</w:t>
      </w:r>
      <w:r>
        <w:rPr>
          <w:rFonts w:hint="eastAsia" w:ascii="宋体" w:hAnsi="宋体" w:cs="宋体"/>
          <w:color w:val="auto"/>
          <w:spacing w:val="20"/>
          <w:szCs w:val="21"/>
          <w:highlight w:val="none"/>
        </w:rPr>
        <w:t>（签字或者电子签名）：</w:t>
      </w:r>
      <w:r>
        <w:rPr>
          <w:rFonts w:hint="eastAsia" w:ascii="宋体" w:hAnsi="宋体" w:cs="宋体"/>
          <w:color w:val="auto"/>
          <w:spacing w:val="20"/>
          <w:szCs w:val="21"/>
          <w:highlight w:val="none"/>
          <w:u w:val="single"/>
        </w:rPr>
        <w:t xml:space="preserve">        </w:t>
      </w:r>
    </w:p>
    <w:p w14:paraId="6F12A4FE">
      <w:pPr>
        <w:keepNext w:val="0"/>
        <w:keepLines w:val="0"/>
        <w:pageBreakBefore w:val="0"/>
        <w:widowControl w:val="0"/>
        <w:kinsoku/>
        <w:wordWrap/>
        <w:overflowPunct/>
        <w:topLinePunct w:val="0"/>
        <w:autoSpaceDE/>
        <w:autoSpaceDN/>
        <w:bidi w:val="0"/>
        <w:adjustRightInd/>
        <w:spacing w:line="400" w:lineRule="exact"/>
        <w:contextualSpacing/>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 xml:space="preserve">                             投标人名称（电子签章）：</w:t>
      </w:r>
      <w:r>
        <w:rPr>
          <w:rFonts w:hint="eastAsia" w:ascii="宋体" w:hAnsi="宋体" w:cs="宋体"/>
          <w:color w:val="auto"/>
          <w:szCs w:val="21"/>
          <w:highlight w:val="none"/>
          <w:u w:val="single"/>
        </w:rPr>
        <w:t xml:space="preserve">                 </w:t>
      </w:r>
    </w:p>
    <w:p w14:paraId="47CE0DCC">
      <w:pPr>
        <w:keepNext w:val="0"/>
        <w:keepLines w:val="0"/>
        <w:pageBreakBefore w:val="0"/>
        <w:widowControl w:val="0"/>
        <w:kinsoku/>
        <w:wordWrap/>
        <w:overflowPunct/>
        <w:topLinePunct w:val="0"/>
        <w:autoSpaceDE/>
        <w:autoSpaceDN/>
        <w:bidi w:val="0"/>
        <w:adjustRightInd/>
        <w:spacing w:line="400" w:lineRule="exact"/>
        <w:contextualSpacing/>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 xml:space="preserve">                                                  年    月    日</w:t>
      </w:r>
    </w:p>
    <w:p w14:paraId="08C75995">
      <w:pPr>
        <w:keepNext w:val="0"/>
        <w:keepLines w:val="0"/>
        <w:pageBreakBefore w:val="0"/>
        <w:widowControl w:val="0"/>
        <w:kinsoku/>
        <w:wordWrap/>
        <w:overflowPunct/>
        <w:topLinePunct w:val="0"/>
        <w:autoSpaceDE/>
        <w:autoSpaceDN/>
        <w:bidi w:val="0"/>
        <w:adjustRightInd/>
        <w:spacing w:line="400" w:lineRule="exact"/>
        <w:contextualSpacing/>
        <w:textAlignment w:val="auto"/>
        <w:rPr>
          <w:rFonts w:hint="eastAsia" w:ascii="宋体" w:hAnsi="宋体" w:cs="宋体"/>
          <w:b/>
          <w:color w:val="auto"/>
          <w:szCs w:val="21"/>
          <w:highlight w:val="none"/>
        </w:rPr>
      </w:pPr>
      <w:r>
        <w:rPr>
          <w:rFonts w:hint="eastAsia" w:ascii="宋体" w:hAnsi="宋体" w:cs="宋体"/>
          <w:b/>
          <w:color w:val="auto"/>
          <w:szCs w:val="21"/>
          <w:highlight w:val="none"/>
        </w:rPr>
        <w:t>注：如为联合体投标，盖章处须加盖联合体牵头人电子签章并由联合体牵头人法定代表人分别签字或者盖章或者电子签名，否则投标无效。</w:t>
      </w:r>
    </w:p>
    <w:p w14:paraId="57F63488">
      <w:pPr>
        <w:snapToGrid w:val="0"/>
        <w:spacing w:before="120" w:beforeLines="50" w:after="50"/>
        <w:jc w:val="left"/>
        <w:rPr>
          <w:rFonts w:ascii="宋体" w:hAnsi="宋体" w:cs="宋体"/>
          <w:b/>
          <w:color w:val="auto"/>
          <w:sz w:val="28"/>
          <w:szCs w:val="28"/>
          <w:highlight w:val="none"/>
        </w:rPr>
      </w:pPr>
    </w:p>
    <w:p w14:paraId="4FB866AE">
      <w:pPr>
        <w:snapToGrid w:val="0"/>
        <w:spacing w:before="120" w:beforeLines="50" w:after="50"/>
        <w:jc w:val="left"/>
        <w:rPr>
          <w:rFonts w:hint="eastAsia"/>
          <w:color w:val="auto"/>
          <w:spacing w:val="20"/>
          <w:sz w:val="24"/>
          <w:highlight w:val="none"/>
        </w:rPr>
      </w:pPr>
      <w:r>
        <w:rPr>
          <w:b/>
          <w:color w:val="auto"/>
          <w:highlight w:val="none"/>
        </w:rPr>
        <w:br w:type="page"/>
      </w:r>
      <w:r>
        <w:rPr>
          <w:rFonts w:hint="eastAsia" w:ascii="宋体" w:hAnsi="宋体" w:cs="宋体"/>
          <w:b/>
          <w:color w:val="auto"/>
          <w:sz w:val="28"/>
          <w:szCs w:val="28"/>
          <w:highlight w:val="none"/>
        </w:rPr>
        <w:t>5.联合投标协议书格式</w:t>
      </w:r>
    </w:p>
    <w:p w14:paraId="436E9151">
      <w:pPr>
        <w:pStyle w:val="9"/>
        <w:overflowPunct w:val="0"/>
        <w:jc w:val="center"/>
        <w:rPr>
          <w:rFonts w:hint="default" w:ascii="宋体" w:hAnsi="宋体" w:eastAsia="宋体" w:cs="宋体"/>
          <w:b/>
          <w:color w:val="auto"/>
          <w:sz w:val="30"/>
          <w:szCs w:val="30"/>
          <w:highlight w:val="none"/>
          <w:lang w:val="en-US" w:eastAsia="zh-CN"/>
        </w:rPr>
      </w:pPr>
      <w:r>
        <w:rPr>
          <w:rFonts w:hint="eastAsia" w:ascii="宋体" w:hAnsi="宋体" w:cs="宋体"/>
          <w:b/>
          <w:color w:val="auto"/>
          <w:sz w:val="30"/>
          <w:szCs w:val="30"/>
          <w:highlight w:val="none"/>
        </w:rPr>
        <w:t>联合体协议书</w:t>
      </w:r>
      <w:r>
        <w:rPr>
          <w:rFonts w:hint="eastAsia" w:ascii="宋体" w:hAnsi="宋体" w:cs="宋体"/>
          <w:b/>
          <w:color w:val="auto"/>
          <w:sz w:val="30"/>
          <w:szCs w:val="30"/>
          <w:highlight w:val="none"/>
          <w:lang w:val="en-US" w:eastAsia="zh-CN"/>
        </w:rPr>
        <w:t>(</w:t>
      </w:r>
      <w:r>
        <w:rPr>
          <w:rFonts w:hint="eastAsia" w:ascii="宋体" w:hAnsi="宋体" w:cs="宋体"/>
          <w:b/>
          <w:color w:val="auto"/>
          <w:sz w:val="30"/>
          <w:szCs w:val="30"/>
          <w:highlight w:val="none"/>
          <w:lang w:eastAsia="zh-CN"/>
        </w:rPr>
        <w:t>本</w:t>
      </w:r>
      <w:r>
        <w:rPr>
          <w:rFonts w:hint="eastAsia" w:ascii="宋体" w:hAnsi="宋体" w:cs="宋体"/>
          <w:b/>
          <w:color w:val="auto"/>
          <w:sz w:val="30"/>
          <w:szCs w:val="30"/>
          <w:highlight w:val="none"/>
          <w:lang w:val="en-US" w:eastAsia="zh-CN"/>
        </w:rPr>
        <w:t>项目不适用)</w:t>
      </w:r>
    </w:p>
    <w:p w14:paraId="10748B3B">
      <w:pPr>
        <w:pStyle w:val="9"/>
        <w:overflowPunct w:val="0"/>
        <w:spacing w:line="360" w:lineRule="auto"/>
        <w:ind w:firstLine="0"/>
        <w:contextualSpacing/>
        <w:rPr>
          <w:rFonts w:hint="eastAsia" w:ascii="宋体" w:hAnsi="宋体" w:cs="宋体"/>
          <w:color w:val="auto"/>
          <w:sz w:val="24"/>
          <w:highlight w:val="none"/>
        </w:rPr>
      </w:pPr>
    </w:p>
    <w:p w14:paraId="1A23583A">
      <w:pPr>
        <w:pStyle w:val="9"/>
        <w:keepNext w:val="0"/>
        <w:keepLines w:val="0"/>
        <w:pageBreakBefore w:val="0"/>
        <w:widowControl w:val="0"/>
        <w:kinsoku/>
        <w:wordWrap/>
        <w:overflowPunct w:val="0"/>
        <w:topLinePunct w:val="0"/>
        <w:autoSpaceDE/>
        <w:autoSpaceDN/>
        <w:bidi w:val="0"/>
        <w:adjustRightInd/>
        <w:snapToGrid/>
        <w:spacing w:line="400" w:lineRule="exact"/>
        <w:contextualSpacing/>
        <w:textAlignment w:val="auto"/>
        <w:rPr>
          <w:rFonts w:hint="eastAsia" w:ascii="宋体" w:hAnsi="宋体" w:cs="宋体"/>
          <w:color w:val="auto"/>
          <w:szCs w:val="21"/>
          <w:highlight w:val="none"/>
        </w:rPr>
      </w:pP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rPr>
        <w:tab/>
      </w:r>
      <w:r>
        <w:rPr>
          <w:rFonts w:hint="eastAsia" w:ascii="宋体" w:hAnsi="宋体" w:cs="宋体"/>
          <w:color w:val="auto"/>
          <w:szCs w:val="21"/>
          <w:highlight w:val="none"/>
        </w:rPr>
        <w:t>（所有成员单位名称）自愿组成</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rPr>
        <w:tab/>
      </w:r>
      <w:r>
        <w:rPr>
          <w:rFonts w:hint="eastAsia" w:ascii="宋体" w:hAnsi="宋体" w:cs="宋体"/>
          <w:color w:val="auto"/>
          <w:szCs w:val="21"/>
          <w:highlight w:val="none"/>
        </w:rPr>
        <w:t>（联合体名称）联合体，共同参加</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rPr>
        <w:tab/>
      </w:r>
      <w:r>
        <w:rPr>
          <w:rFonts w:hint="eastAsia" w:ascii="宋体" w:hAnsi="宋体" w:cs="宋体"/>
          <w:color w:val="auto"/>
          <w:szCs w:val="21"/>
          <w:highlight w:val="none"/>
          <w:u w:val="single"/>
        </w:rPr>
        <w:t xml:space="preserve">（项目名称）   </w:t>
      </w:r>
      <w:r>
        <w:rPr>
          <w:rFonts w:hint="eastAsia" w:ascii="宋体" w:cs="宋体"/>
          <w:color w:val="auto"/>
          <w:kern w:val="0"/>
          <w:szCs w:val="21"/>
          <w:highlight w:val="none"/>
        </w:rPr>
        <w:t>（项目编号：</w:t>
      </w:r>
      <w:r>
        <w:rPr>
          <w:rFonts w:hint="eastAsia" w:ascii="宋体" w:cs="宋体"/>
          <w:color w:val="auto"/>
          <w:kern w:val="0"/>
          <w:szCs w:val="21"/>
          <w:highlight w:val="none"/>
          <w:u w:val="single"/>
        </w:rPr>
        <w:t xml:space="preserve">     </w:t>
      </w:r>
      <w:r>
        <w:rPr>
          <w:rFonts w:hint="eastAsia" w:ascii="宋体" w:cs="宋体"/>
          <w:color w:val="auto"/>
          <w:kern w:val="0"/>
          <w:szCs w:val="21"/>
          <w:highlight w:val="none"/>
        </w:rPr>
        <w:t>）</w:t>
      </w:r>
      <w:r>
        <w:rPr>
          <w:rFonts w:hint="eastAsia" w:ascii="宋体" w:cs="宋体"/>
          <w:color w:val="auto"/>
          <w:kern w:val="0"/>
          <w:szCs w:val="21"/>
          <w:highlight w:val="none"/>
          <w:u w:val="single"/>
        </w:rPr>
        <w:t xml:space="preserve">   </w:t>
      </w:r>
      <w:r>
        <w:rPr>
          <w:rFonts w:hint="eastAsia" w:ascii="宋体" w:hAnsi="宋体" w:cs="宋体"/>
          <w:color w:val="auto"/>
          <w:szCs w:val="21"/>
          <w:highlight w:val="none"/>
        </w:rPr>
        <w:t>分标采购招标项目投标。现就联合体投标事宜订立如下协议。</w:t>
      </w:r>
    </w:p>
    <w:p w14:paraId="3BED2B74">
      <w:pPr>
        <w:pStyle w:val="9"/>
        <w:keepNext w:val="0"/>
        <w:keepLines w:val="0"/>
        <w:pageBreakBefore w:val="0"/>
        <w:widowControl w:val="0"/>
        <w:kinsoku/>
        <w:wordWrap/>
        <w:overflowPunct w:val="0"/>
        <w:topLinePunct w:val="0"/>
        <w:autoSpaceDE/>
        <w:autoSpaceDN/>
        <w:bidi w:val="0"/>
        <w:adjustRightInd/>
        <w:snapToGrid/>
        <w:spacing w:line="400" w:lineRule="exact"/>
        <w:ind w:firstLine="367" w:firstLineChars="175"/>
        <w:contextualSpacing/>
        <w:textAlignment w:val="auto"/>
        <w:rPr>
          <w:rFonts w:hint="eastAsia" w:ascii="宋体" w:hAnsi="宋体" w:cs="宋体"/>
          <w:color w:val="auto"/>
          <w:szCs w:val="21"/>
          <w:highlight w:val="none"/>
        </w:rPr>
      </w:pPr>
      <w:r>
        <w:rPr>
          <w:rFonts w:hint="eastAsia" w:ascii="宋体" w:hAnsi="宋体" w:cs="宋体"/>
          <w:color w:val="auto"/>
          <w:szCs w:val="21"/>
          <w:highlight w:val="none"/>
        </w:rPr>
        <w:t xml:space="preserve">1.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rPr>
        <w:tab/>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（某成员单位名称）为</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rPr>
        <w:tab/>
      </w:r>
      <w:r>
        <w:rPr>
          <w:rFonts w:hint="eastAsia" w:ascii="宋体" w:hAnsi="宋体" w:cs="宋体"/>
          <w:color w:val="auto"/>
          <w:szCs w:val="21"/>
          <w:highlight w:val="none"/>
        </w:rPr>
        <w:t>（联合体名称）牵头人。</w:t>
      </w:r>
    </w:p>
    <w:p w14:paraId="053DE1E1">
      <w:pPr>
        <w:pStyle w:val="9"/>
        <w:keepNext w:val="0"/>
        <w:keepLines w:val="0"/>
        <w:pageBreakBefore w:val="0"/>
        <w:widowControl w:val="0"/>
        <w:kinsoku/>
        <w:wordWrap/>
        <w:overflowPunct w:val="0"/>
        <w:topLinePunct w:val="0"/>
        <w:autoSpaceDE/>
        <w:autoSpaceDN/>
        <w:bidi w:val="0"/>
        <w:adjustRightInd/>
        <w:snapToGrid/>
        <w:spacing w:line="400" w:lineRule="exact"/>
        <w:ind w:firstLine="367" w:firstLineChars="175"/>
        <w:contextualSpacing/>
        <w:textAlignment w:val="auto"/>
        <w:rPr>
          <w:rFonts w:hint="eastAsia" w:ascii="宋体" w:hAnsi="宋体" w:cs="宋体"/>
          <w:color w:val="auto"/>
          <w:szCs w:val="21"/>
          <w:highlight w:val="none"/>
        </w:rPr>
      </w:pPr>
      <w:r>
        <w:rPr>
          <w:rFonts w:hint="eastAsia" w:ascii="宋体" w:hAnsi="宋体" w:cs="宋体"/>
          <w:color w:val="auto"/>
          <w:szCs w:val="21"/>
          <w:highlight w:val="none"/>
        </w:rPr>
        <w:t>2.联合体各成员授权牵头人代表联合体参加投标活动，签署文件及对文件的盖章，提交和接收相关的资料、 信息及指示，进行合同谈判活动，负责合同实施阶段的组织和协调工作，以及处理与本招标项 目有关的一切事宜。</w:t>
      </w:r>
    </w:p>
    <w:p w14:paraId="04DE4C36">
      <w:pPr>
        <w:pStyle w:val="9"/>
        <w:keepNext w:val="0"/>
        <w:keepLines w:val="0"/>
        <w:pageBreakBefore w:val="0"/>
        <w:widowControl w:val="0"/>
        <w:kinsoku/>
        <w:wordWrap/>
        <w:overflowPunct w:val="0"/>
        <w:topLinePunct w:val="0"/>
        <w:autoSpaceDE/>
        <w:autoSpaceDN/>
        <w:bidi w:val="0"/>
        <w:adjustRightInd/>
        <w:snapToGrid/>
        <w:spacing w:line="400" w:lineRule="exact"/>
        <w:ind w:firstLine="367" w:firstLineChars="175"/>
        <w:contextualSpacing/>
        <w:textAlignment w:val="auto"/>
        <w:rPr>
          <w:rFonts w:hint="eastAsia" w:ascii="宋体" w:hAnsi="宋体" w:cs="宋体"/>
          <w:color w:val="auto"/>
          <w:szCs w:val="21"/>
          <w:highlight w:val="none"/>
        </w:rPr>
      </w:pPr>
      <w:r>
        <w:rPr>
          <w:rFonts w:hint="eastAsia" w:ascii="宋体" w:hAnsi="宋体" w:cs="宋体"/>
          <w:color w:val="auto"/>
          <w:szCs w:val="21"/>
          <w:highlight w:val="none"/>
        </w:rPr>
        <w:t>3.联合体牵头人在本项目中签署和盖章的一切文件和处理的一切事宜，联合体各成员均予以承认。 联合体各成员将严格按照招标文件、投标文件和合同的要求全面履行义务，并向招标人承担连带责任。</w:t>
      </w:r>
    </w:p>
    <w:p w14:paraId="238BA70F">
      <w:pPr>
        <w:pStyle w:val="9"/>
        <w:keepNext w:val="0"/>
        <w:keepLines w:val="0"/>
        <w:pageBreakBefore w:val="0"/>
        <w:widowControl w:val="0"/>
        <w:kinsoku/>
        <w:wordWrap/>
        <w:overflowPunct w:val="0"/>
        <w:topLinePunct w:val="0"/>
        <w:autoSpaceDE/>
        <w:autoSpaceDN/>
        <w:bidi w:val="0"/>
        <w:adjustRightInd/>
        <w:snapToGrid/>
        <w:spacing w:line="400" w:lineRule="exact"/>
        <w:ind w:firstLine="367" w:firstLineChars="175"/>
        <w:contextualSpacing/>
        <w:textAlignment w:val="auto"/>
        <w:rPr>
          <w:rFonts w:hint="eastAsia" w:ascii="宋体" w:hAnsi="宋体" w:cs="宋体"/>
          <w:color w:val="auto"/>
          <w:szCs w:val="21"/>
          <w:highlight w:val="none"/>
        </w:rPr>
      </w:pPr>
      <w:r>
        <w:rPr>
          <w:rFonts w:hint="eastAsia" w:ascii="宋体" w:hAnsi="宋体" w:cs="宋体"/>
          <w:color w:val="auto"/>
          <w:szCs w:val="21"/>
          <w:highlight w:val="none"/>
        </w:rPr>
        <w:t>4.联合体各成员单位内部的职责分工如下：</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p w14:paraId="496FE128">
      <w:pPr>
        <w:keepNext w:val="0"/>
        <w:keepLines w:val="0"/>
        <w:pageBreakBefore w:val="0"/>
        <w:widowControl w:val="0"/>
        <w:kinsoku/>
        <w:wordWrap/>
        <w:topLinePunct w:val="0"/>
        <w:autoSpaceDE/>
        <w:autoSpaceDN/>
        <w:bidi w:val="0"/>
        <w:adjustRightInd/>
        <w:snapToGrid/>
        <w:spacing w:line="400" w:lineRule="exact"/>
        <w:ind w:firstLine="420" w:firstLineChars="200"/>
        <w:textAlignment w:val="auto"/>
        <w:rPr>
          <w:rFonts w:hint="eastAsia"/>
          <w:color w:val="auto"/>
          <w:szCs w:val="21"/>
          <w:highlight w:val="none"/>
        </w:rPr>
      </w:pPr>
      <w:r>
        <w:rPr>
          <w:rFonts w:hint="eastAsia" w:ascii="宋体" w:hAnsi="宋体" w:cs="宋体"/>
          <w:color w:val="auto"/>
          <w:kern w:val="0"/>
          <w:szCs w:val="20"/>
          <w:highlight w:val="none"/>
        </w:rPr>
        <w:t>5.本联合体中，</w:t>
      </w:r>
      <w:r>
        <w:rPr>
          <w:rFonts w:hint="eastAsia" w:ascii="宋体" w:hAnsi="宋体" w:cs="宋体"/>
          <w:color w:val="auto"/>
          <w:kern w:val="0"/>
          <w:szCs w:val="20"/>
          <w:highlight w:val="none"/>
          <w:u w:val="single"/>
        </w:rPr>
        <w:t xml:space="preserve"> （某成员单位名称） </w:t>
      </w:r>
      <w:r>
        <w:rPr>
          <w:rFonts w:hint="eastAsia" w:ascii="宋体" w:hAnsi="宋体" w:cs="宋体"/>
          <w:color w:val="auto"/>
          <w:kern w:val="0"/>
          <w:szCs w:val="20"/>
          <w:highlight w:val="none"/>
        </w:rPr>
        <w:t>为</w:t>
      </w:r>
      <w:r>
        <w:rPr>
          <w:rFonts w:hint="eastAsia" w:ascii="宋体" w:hAnsi="Courier New"/>
          <w:color w:val="auto"/>
          <w:szCs w:val="20"/>
          <w:highlight w:val="none"/>
          <w:u w:val="single"/>
        </w:rPr>
        <w:t xml:space="preserve">        </w:t>
      </w:r>
      <w:r>
        <w:rPr>
          <w:rFonts w:hint="eastAsia" w:ascii="宋体" w:hAnsi="Courier New"/>
          <w:color w:val="auto"/>
          <w:szCs w:val="20"/>
          <w:highlight w:val="none"/>
        </w:rPr>
        <w:t>（请填写：中型、小型、微型）企业，其协议合同金额占联合体协议合同总金额的</w:t>
      </w:r>
      <w:r>
        <w:rPr>
          <w:rFonts w:hint="eastAsia" w:ascii="宋体" w:hAnsi="Courier New"/>
          <w:color w:val="auto"/>
          <w:szCs w:val="20"/>
          <w:highlight w:val="none"/>
          <w:u w:val="single"/>
        </w:rPr>
        <w:t xml:space="preserve">           </w:t>
      </w:r>
      <w:r>
        <w:rPr>
          <w:rFonts w:hint="eastAsia" w:ascii="宋体" w:hAnsi="Courier New"/>
          <w:color w:val="auto"/>
          <w:szCs w:val="20"/>
          <w:highlight w:val="none"/>
        </w:rPr>
        <w:t>%。【如联合体成员中有小型、微型企业的，请填写此条，否则无需填写；如联合体成员中有多个小型、微型企业的，请逐一列出</w:t>
      </w:r>
      <w:r>
        <w:rPr>
          <w:rFonts w:hint="eastAsia" w:ascii="宋体" w:hAnsi="Courier New"/>
          <w:color w:val="auto"/>
          <w:szCs w:val="20"/>
          <w:highlight w:val="none"/>
          <w:lang w:eastAsia="zh-CN"/>
        </w:rPr>
        <w:t>】</w:t>
      </w:r>
    </w:p>
    <w:p w14:paraId="32777F63">
      <w:pPr>
        <w:pStyle w:val="9"/>
        <w:keepNext w:val="0"/>
        <w:keepLines w:val="0"/>
        <w:pageBreakBefore w:val="0"/>
        <w:widowControl w:val="0"/>
        <w:kinsoku/>
        <w:wordWrap/>
        <w:overflowPunct w:val="0"/>
        <w:topLinePunct w:val="0"/>
        <w:autoSpaceDE/>
        <w:autoSpaceDN/>
        <w:bidi w:val="0"/>
        <w:adjustRightInd/>
        <w:snapToGrid/>
        <w:spacing w:line="400" w:lineRule="exact"/>
        <w:ind w:firstLine="367" w:firstLineChars="175"/>
        <w:contextualSpacing/>
        <w:textAlignment w:val="auto"/>
        <w:rPr>
          <w:rFonts w:hint="eastAsia" w:ascii="宋体" w:hAnsi="宋体" w:cs="宋体"/>
          <w:color w:val="auto"/>
          <w:szCs w:val="21"/>
          <w:highlight w:val="none"/>
        </w:rPr>
      </w:pPr>
      <w:r>
        <w:rPr>
          <w:rFonts w:hint="eastAsia" w:ascii="宋体" w:hAnsi="宋体" w:cs="宋体"/>
          <w:color w:val="auto"/>
          <w:szCs w:val="21"/>
          <w:highlight w:val="none"/>
        </w:rPr>
        <w:t>6.本协议书自所有成员单位法定代表人或者其委托代理人签字（或者电子签名）或</w:t>
      </w:r>
      <w:r>
        <w:rPr>
          <w:rFonts w:hint="eastAsia" w:ascii="宋体" w:hAnsi="宋体" w:cs="宋体"/>
          <w:color w:val="auto"/>
          <w:szCs w:val="21"/>
          <w:highlight w:val="none"/>
          <w:lang w:eastAsia="zh-CN"/>
        </w:rPr>
        <w:t>者加</w:t>
      </w:r>
      <w:r>
        <w:rPr>
          <w:rFonts w:hint="eastAsia" w:ascii="宋体" w:hAnsi="宋体" w:cs="宋体"/>
          <w:color w:val="auto"/>
          <w:szCs w:val="21"/>
          <w:highlight w:val="none"/>
        </w:rPr>
        <w:t>盖公章之日起生效，合同履行完毕后自动失效。</w:t>
      </w:r>
    </w:p>
    <w:p w14:paraId="6367BFDB">
      <w:pPr>
        <w:pStyle w:val="9"/>
        <w:keepNext w:val="0"/>
        <w:keepLines w:val="0"/>
        <w:pageBreakBefore w:val="0"/>
        <w:widowControl w:val="0"/>
        <w:kinsoku/>
        <w:wordWrap/>
        <w:overflowPunct w:val="0"/>
        <w:topLinePunct w:val="0"/>
        <w:autoSpaceDE/>
        <w:autoSpaceDN/>
        <w:bidi w:val="0"/>
        <w:adjustRightInd/>
        <w:snapToGrid/>
        <w:spacing w:line="400" w:lineRule="exact"/>
        <w:ind w:firstLine="367" w:firstLineChars="175"/>
        <w:contextualSpacing/>
        <w:textAlignment w:val="auto"/>
        <w:rPr>
          <w:rFonts w:hint="eastAsia" w:ascii="宋体" w:hAnsi="宋体" w:cs="宋体"/>
          <w:color w:val="auto"/>
          <w:szCs w:val="21"/>
          <w:highlight w:val="none"/>
        </w:rPr>
      </w:pPr>
      <w:r>
        <w:rPr>
          <w:rFonts w:hint="eastAsia" w:ascii="宋体" w:hAnsi="宋体" w:cs="宋体"/>
          <w:color w:val="auto"/>
          <w:szCs w:val="21"/>
          <w:highlight w:val="none"/>
        </w:rPr>
        <w:t>7.本协议书一式</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rPr>
        <w:tab/>
      </w:r>
      <w:r>
        <w:rPr>
          <w:rFonts w:hint="eastAsia" w:ascii="宋体" w:hAnsi="宋体" w:cs="宋体"/>
          <w:color w:val="auto"/>
          <w:szCs w:val="21"/>
          <w:highlight w:val="none"/>
        </w:rPr>
        <w:t>份，联合体成员和招标人各执一份。</w:t>
      </w:r>
    </w:p>
    <w:p w14:paraId="3FD973DA">
      <w:pPr>
        <w:pStyle w:val="9"/>
        <w:keepNext w:val="0"/>
        <w:keepLines w:val="0"/>
        <w:pageBreakBefore w:val="0"/>
        <w:widowControl w:val="0"/>
        <w:kinsoku/>
        <w:wordWrap/>
        <w:overflowPunct w:val="0"/>
        <w:topLinePunct w:val="0"/>
        <w:autoSpaceDE/>
        <w:autoSpaceDN/>
        <w:bidi w:val="0"/>
        <w:adjustRightInd/>
        <w:snapToGrid/>
        <w:spacing w:line="400" w:lineRule="exact"/>
        <w:ind w:firstLine="367" w:firstLineChars="175"/>
        <w:contextualSpacing/>
        <w:textAlignment w:val="auto"/>
        <w:rPr>
          <w:rFonts w:hint="eastAsia" w:ascii="宋体" w:hAnsi="宋体" w:cs="宋体"/>
          <w:color w:val="auto"/>
          <w:szCs w:val="21"/>
          <w:highlight w:val="none"/>
        </w:rPr>
      </w:pPr>
      <w:r>
        <w:rPr>
          <w:rFonts w:hint="eastAsia" w:ascii="宋体" w:hAnsi="宋体" w:cs="宋体"/>
          <w:color w:val="auto"/>
          <w:szCs w:val="21"/>
          <w:highlight w:val="none"/>
        </w:rPr>
        <w:t>注：本协议书应附法定代表人身份证明；有委托代理的，应附授权委托书（格式自拟）。</w:t>
      </w:r>
    </w:p>
    <w:p w14:paraId="19E75702">
      <w:pPr>
        <w:pStyle w:val="9"/>
        <w:keepNext w:val="0"/>
        <w:keepLines w:val="0"/>
        <w:pageBreakBefore w:val="0"/>
        <w:widowControl w:val="0"/>
        <w:kinsoku/>
        <w:wordWrap/>
        <w:overflowPunct w:val="0"/>
        <w:topLinePunct w:val="0"/>
        <w:autoSpaceDE/>
        <w:autoSpaceDN/>
        <w:bidi w:val="0"/>
        <w:adjustRightInd/>
        <w:snapToGrid/>
        <w:spacing w:line="400" w:lineRule="exact"/>
        <w:ind w:firstLine="367" w:firstLineChars="175"/>
        <w:contextualSpacing/>
        <w:textAlignment w:val="auto"/>
        <w:rPr>
          <w:rFonts w:hint="eastAsia" w:ascii="宋体" w:hAnsi="宋体" w:cs="宋体"/>
          <w:color w:val="auto"/>
          <w:szCs w:val="21"/>
          <w:highlight w:val="none"/>
        </w:rPr>
      </w:pPr>
    </w:p>
    <w:p w14:paraId="526379D7">
      <w:pPr>
        <w:pStyle w:val="9"/>
        <w:keepNext w:val="0"/>
        <w:keepLines w:val="0"/>
        <w:pageBreakBefore w:val="0"/>
        <w:widowControl w:val="0"/>
        <w:kinsoku/>
        <w:wordWrap/>
        <w:overflowPunct w:val="0"/>
        <w:topLinePunct w:val="0"/>
        <w:autoSpaceDE/>
        <w:autoSpaceDN/>
        <w:bidi w:val="0"/>
        <w:adjustRightInd/>
        <w:snapToGrid/>
        <w:spacing w:line="400" w:lineRule="exact"/>
        <w:ind w:firstLine="367" w:firstLineChars="175"/>
        <w:contextualSpacing/>
        <w:textAlignment w:val="auto"/>
        <w:rPr>
          <w:rFonts w:hint="eastAsia" w:ascii="宋体" w:hAnsi="宋体" w:cs="宋体"/>
          <w:color w:val="auto"/>
          <w:szCs w:val="21"/>
          <w:highlight w:val="none"/>
        </w:rPr>
      </w:pPr>
      <w:r>
        <w:rPr>
          <w:rFonts w:hint="eastAsia" w:ascii="宋体" w:hAnsi="宋体" w:cs="宋体"/>
          <w:color w:val="auto"/>
          <w:szCs w:val="21"/>
          <w:highlight w:val="none"/>
        </w:rPr>
        <w:t>联合体牵头人名称（电子签章）：</w:t>
      </w:r>
    </w:p>
    <w:p w14:paraId="2C9598D0">
      <w:pPr>
        <w:pStyle w:val="9"/>
        <w:keepNext w:val="0"/>
        <w:keepLines w:val="0"/>
        <w:pageBreakBefore w:val="0"/>
        <w:widowControl w:val="0"/>
        <w:kinsoku/>
        <w:wordWrap/>
        <w:overflowPunct w:val="0"/>
        <w:topLinePunct w:val="0"/>
        <w:autoSpaceDE/>
        <w:autoSpaceDN/>
        <w:bidi w:val="0"/>
        <w:adjustRightInd/>
        <w:snapToGrid/>
        <w:spacing w:line="400" w:lineRule="exact"/>
        <w:ind w:firstLine="367" w:firstLineChars="175"/>
        <w:contextualSpacing/>
        <w:textAlignment w:val="auto"/>
        <w:rPr>
          <w:rFonts w:hint="eastAsia" w:ascii="宋体" w:hAnsi="宋体" w:cs="宋体"/>
          <w:color w:val="auto"/>
          <w:szCs w:val="21"/>
          <w:highlight w:val="none"/>
          <w:u w:val="single"/>
        </w:rPr>
      </w:pPr>
      <w:r>
        <w:rPr>
          <w:rFonts w:hint="eastAsia" w:ascii="宋体" w:hAnsi="宋体" w:cs="宋体"/>
          <w:color w:val="auto"/>
          <w:szCs w:val="21"/>
          <w:highlight w:val="none"/>
        </w:rPr>
        <w:t>法定代表人或者其委托代理人：</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rPr>
        <w:tab/>
      </w:r>
      <w:r>
        <w:rPr>
          <w:rFonts w:hint="eastAsia" w:ascii="宋体" w:hAnsi="宋体" w:cs="宋体"/>
          <w:color w:val="auto"/>
          <w:szCs w:val="21"/>
          <w:highlight w:val="none"/>
          <w:u w:val="single"/>
        </w:rPr>
        <w:t>（签字或者电子签名）</w:t>
      </w:r>
    </w:p>
    <w:p w14:paraId="5EB342C5">
      <w:pPr>
        <w:pStyle w:val="9"/>
        <w:keepNext w:val="0"/>
        <w:keepLines w:val="0"/>
        <w:pageBreakBefore w:val="0"/>
        <w:widowControl w:val="0"/>
        <w:kinsoku/>
        <w:wordWrap/>
        <w:overflowPunct w:val="0"/>
        <w:topLinePunct w:val="0"/>
        <w:autoSpaceDE/>
        <w:autoSpaceDN/>
        <w:bidi w:val="0"/>
        <w:adjustRightInd/>
        <w:snapToGrid/>
        <w:spacing w:line="400" w:lineRule="exact"/>
        <w:ind w:firstLine="367" w:firstLineChars="175"/>
        <w:contextualSpacing/>
        <w:textAlignment w:val="auto"/>
        <w:rPr>
          <w:rFonts w:hint="eastAsia" w:ascii="宋体" w:hAnsi="宋体" w:cs="宋体"/>
          <w:color w:val="auto"/>
          <w:szCs w:val="21"/>
          <w:highlight w:val="none"/>
        </w:rPr>
      </w:pPr>
    </w:p>
    <w:p w14:paraId="362FF165">
      <w:pPr>
        <w:pStyle w:val="9"/>
        <w:keepNext w:val="0"/>
        <w:keepLines w:val="0"/>
        <w:pageBreakBefore w:val="0"/>
        <w:widowControl w:val="0"/>
        <w:kinsoku/>
        <w:wordWrap/>
        <w:overflowPunct w:val="0"/>
        <w:topLinePunct w:val="0"/>
        <w:autoSpaceDE/>
        <w:autoSpaceDN/>
        <w:bidi w:val="0"/>
        <w:adjustRightInd/>
        <w:snapToGrid/>
        <w:spacing w:line="400" w:lineRule="exact"/>
        <w:ind w:firstLine="367" w:firstLineChars="175"/>
        <w:contextualSpacing/>
        <w:textAlignment w:val="auto"/>
        <w:rPr>
          <w:rFonts w:hint="eastAsia" w:ascii="宋体" w:hAnsi="宋体" w:cs="宋体"/>
          <w:color w:val="auto"/>
          <w:szCs w:val="21"/>
          <w:highlight w:val="none"/>
        </w:rPr>
      </w:pPr>
      <w:r>
        <w:rPr>
          <w:rFonts w:hint="eastAsia" w:ascii="宋体" w:hAnsi="宋体" w:cs="宋体"/>
          <w:color w:val="auto"/>
          <w:szCs w:val="21"/>
          <w:highlight w:val="none"/>
        </w:rPr>
        <w:t>联合体成员名称（盖公章或者电子签章）：</w:t>
      </w:r>
    </w:p>
    <w:p w14:paraId="23E28C43">
      <w:pPr>
        <w:pStyle w:val="9"/>
        <w:keepNext w:val="0"/>
        <w:keepLines w:val="0"/>
        <w:pageBreakBefore w:val="0"/>
        <w:widowControl w:val="0"/>
        <w:kinsoku/>
        <w:wordWrap/>
        <w:overflowPunct w:val="0"/>
        <w:topLinePunct w:val="0"/>
        <w:autoSpaceDE/>
        <w:autoSpaceDN/>
        <w:bidi w:val="0"/>
        <w:adjustRightInd/>
        <w:snapToGrid/>
        <w:spacing w:line="400" w:lineRule="exact"/>
        <w:ind w:firstLine="367" w:firstLineChars="175"/>
        <w:contextualSpacing/>
        <w:textAlignment w:val="auto"/>
        <w:rPr>
          <w:rFonts w:hint="eastAsia" w:ascii="宋体" w:hAnsi="宋体" w:cs="宋体"/>
          <w:color w:val="auto"/>
          <w:szCs w:val="21"/>
          <w:highlight w:val="none"/>
          <w:u w:val="single"/>
        </w:rPr>
      </w:pPr>
      <w:r>
        <w:rPr>
          <w:rFonts w:hint="eastAsia" w:ascii="宋体" w:hAnsi="宋体" w:cs="宋体"/>
          <w:color w:val="auto"/>
          <w:szCs w:val="21"/>
          <w:highlight w:val="none"/>
        </w:rPr>
        <w:t>法定代表人或者其委托代理人：</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rPr>
        <w:tab/>
      </w:r>
      <w:r>
        <w:rPr>
          <w:rFonts w:hint="eastAsia" w:ascii="宋体" w:hAnsi="宋体" w:cs="宋体"/>
          <w:color w:val="auto"/>
          <w:szCs w:val="21"/>
          <w:highlight w:val="none"/>
          <w:u w:val="single"/>
        </w:rPr>
        <w:t>（签字或者电子签名）</w:t>
      </w:r>
    </w:p>
    <w:p w14:paraId="4BD21EF5">
      <w:pPr>
        <w:pStyle w:val="9"/>
        <w:overflowPunct w:val="0"/>
        <w:spacing w:line="360" w:lineRule="auto"/>
        <w:ind w:firstLine="367" w:firstLineChars="175"/>
        <w:contextualSpacing/>
        <w:rPr>
          <w:rFonts w:hint="eastAsia" w:ascii="宋体" w:hAnsi="宋体" w:cs="宋体"/>
          <w:color w:val="auto"/>
          <w:szCs w:val="21"/>
          <w:highlight w:val="none"/>
        </w:rPr>
      </w:pPr>
      <w:r>
        <w:rPr>
          <w:rFonts w:hint="eastAsia" w:ascii="宋体" w:hAnsi="宋体" w:cs="宋体"/>
          <w:color w:val="auto"/>
          <w:szCs w:val="21"/>
          <w:highlight w:val="none"/>
        </w:rPr>
        <w:t>……</w:t>
      </w:r>
    </w:p>
    <w:p w14:paraId="1741F6B0">
      <w:pPr>
        <w:pStyle w:val="4"/>
        <w:rPr>
          <w:rFonts w:hint="eastAsia" w:ascii="宋体" w:hAnsi="宋体" w:cs="宋体"/>
          <w:color w:val="auto"/>
          <w:sz w:val="28"/>
          <w:szCs w:val="28"/>
          <w:highlight w:val="none"/>
        </w:rPr>
      </w:pPr>
      <w:r>
        <w:rPr>
          <w:color w:val="auto"/>
          <w:sz w:val="21"/>
          <w:szCs w:val="21"/>
          <w:highlight w:val="none"/>
        </w:rPr>
        <w:br w:type="page"/>
      </w:r>
      <w:bookmarkStart w:id="198" w:name="_Toc6222"/>
      <w:bookmarkStart w:id="199" w:name="_Toc7619"/>
      <w:bookmarkStart w:id="200" w:name="_Toc19686838"/>
      <w:r>
        <w:rPr>
          <w:rFonts w:hint="eastAsia" w:ascii="宋体" w:hAnsi="宋体" w:cs="宋体"/>
          <w:color w:val="auto"/>
          <w:sz w:val="28"/>
          <w:szCs w:val="28"/>
          <w:highlight w:val="none"/>
        </w:rPr>
        <w:t>三、商务及技术文件格式</w:t>
      </w:r>
      <w:bookmarkEnd w:id="198"/>
      <w:bookmarkEnd w:id="199"/>
      <w:bookmarkEnd w:id="200"/>
    </w:p>
    <w:p w14:paraId="1E06E7FC">
      <w:pPr>
        <w:snapToGrid w:val="0"/>
        <w:spacing w:before="120" w:beforeLines="50" w:after="50" w:line="360" w:lineRule="auto"/>
        <w:jc w:val="left"/>
        <w:rPr>
          <w:rFonts w:hint="eastAsia" w:ascii="宋体" w:hAnsi="宋体" w:cs="宋体"/>
          <w:b/>
          <w:color w:val="auto"/>
          <w:sz w:val="24"/>
          <w:highlight w:val="none"/>
        </w:rPr>
      </w:pPr>
      <w:r>
        <w:rPr>
          <w:rFonts w:hint="eastAsia" w:ascii="宋体" w:hAnsi="宋体" w:cs="宋体"/>
          <w:b/>
          <w:color w:val="auto"/>
          <w:sz w:val="24"/>
          <w:highlight w:val="none"/>
        </w:rPr>
        <w:t xml:space="preserve">（一）商务文件封面格式： </w:t>
      </w:r>
    </w:p>
    <w:p w14:paraId="6AB919EA">
      <w:pPr>
        <w:snapToGrid w:val="0"/>
        <w:spacing w:before="120" w:beforeLines="50" w:after="50"/>
        <w:jc w:val="center"/>
        <w:rPr>
          <w:rFonts w:hint="eastAsia" w:ascii="宋体" w:hAnsi="宋体" w:cs="宋体"/>
          <w:color w:val="auto"/>
          <w:sz w:val="24"/>
          <w:highlight w:val="none"/>
        </w:rPr>
      </w:pPr>
      <w:r>
        <w:rPr>
          <w:rFonts w:hint="eastAsia" w:ascii="宋体" w:hAnsi="宋体" w:cs="宋体"/>
          <w:bCs/>
          <w:color w:val="auto"/>
          <w:sz w:val="48"/>
          <w:szCs w:val="48"/>
          <w:highlight w:val="none"/>
        </w:rPr>
        <w:t>电子投标文件</w:t>
      </w:r>
    </w:p>
    <w:p w14:paraId="6BCB52E7">
      <w:pPr>
        <w:snapToGrid w:val="0"/>
        <w:spacing w:before="120" w:beforeLines="50" w:after="50"/>
        <w:rPr>
          <w:rFonts w:hint="eastAsia" w:ascii="宋体" w:hAnsi="宋体" w:cs="宋体"/>
          <w:color w:val="auto"/>
          <w:sz w:val="24"/>
          <w:highlight w:val="none"/>
        </w:rPr>
      </w:pPr>
      <w:r>
        <w:rPr>
          <w:rFonts w:hint="eastAsia" w:ascii="宋体" w:hAnsi="宋体" w:cs="宋体"/>
          <w:color w:val="auto"/>
          <w:sz w:val="24"/>
          <w:highlight w:val="none"/>
        </w:rPr>
        <w:t xml:space="preserve">                </w:t>
      </w:r>
    </w:p>
    <w:p w14:paraId="124D95C0">
      <w:pPr>
        <w:rPr>
          <w:rFonts w:hint="eastAsia" w:ascii="宋体" w:hAnsi="宋体" w:cs="宋体"/>
          <w:color w:val="auto"/>
          <w:sz w:val="24"/>
          <w:highlight w:val="none"/>
        </w:rPr>
      </w:pPr>
    </w:p>
    <w:p w14:paraId="125C1DF5">
      <w:pPr>
        <w:rPr>
          <w:rFonts w:hint="eastAsia"/>
          <w:color w:val="auto"/>
          <w:highlight w:val="none"/>
        </w:rPr>
      </w:pPr>
    </w:p>
    <w:p w14:paraId="5B65348A">
      <w:pPr>
        <w:snapToGrid w:val="0"/>
        <w:spacing w:before="120" w:beforeLines="50" w:after="50"/>
        <w:jc w:val="center"/>
        <w:rPr>
          <w:rFonts w:hint="eastAsia" w:ascii="宋体" w:hAnsi="宋体" w:cs="宋体"/>
          <w:b/>
          <w:color w:val="auto"/>
          <w:sz w:val="32"/>
          <w:szCs w:val="32"/>
          <w:highlight w:val="none"/>
        </w:rPr>
      </w:pPr>
      <w:r>
        <w:rPr>
          <w:rFonts w:hint="eastAsia" w:ascii="宋体" w:hAnsi="宋体" w:cs="宋体"/>
          <w:b/>
          <w:color w:val="auto"/>
          <w:sz w:val="32"/>
          <w:szCs w:val="32"/>
          <w:highlight w:val="none"/>
        </w:rPr>
        <w:t>商务文件</w:t>
      </w:r>
    </w:p>
    <w:p w14:paraId="52EA8E31">
      <w:pPr>
        <w:rPr>
          <w:rFonts w:hint="eastAsia" w:ascii="宋体" w:hAnsi="宋体" w:cs="宋体"/>
          <w:b/>
          <w:color w:val="auto"/>
          <w:sz w:val="32"/>
          <w:szCs w:val="32"/>
          <w:highlight w:val="none"/>
        </w:rPr>
      </w:pPr>
    </w:p>
    <w:p w14:paraId="4C6EF581">
      <w:pPr>
        <w:rPr>
          <w:rFonts w:hint="eastAsia"/>
          <w:color w:val="auto"/>
          <w:highlight w:val="none"/>
        </w:rPr>
      </w:pPr>
    </w:p>
    <w:p w14:paraId="3618A53A">
      <w:pPr>
        <w:snapToGrid w:val="0"/>
        <w:spacing w:before="120" w:beforeLines="50" w:after="50"/>
        <w:rPr>
          <w:rFonts w:hint="eastAsia" w:ascii="宋体" w:hAnsi="宋体" w:cs="宋体"/>
          <w:bCs/>
          <w:color w:val="auto"/>
          <w:sz w:val="24"/>
          <w:szCs w:val="20"/>
          <w:highlight w:val="none"/>
        </w:rPr>
      </w:pPr>
    </w:p>
    <w:p w14:paraId="6367E547">
      <w:pPr>
        <w:snapToGrid w:val="0"/>
        <w:spacing w:before="120" w:beforeLines="50" w:after="50"/>
        <w:ind w:firstLine="540" w:firstLineChars="225"/>
        <w:rPr>
          <w:rFonts w:hint="eastAsia" w:ascii="宋体" w:hAnsi="宋体" w:cs="宋体"/>
          <w:bCs/>
          <w:color w:val="auto"/>
          <w:sz w:val="24"/>
          <w:highlight w:val="none"/>
        </w:rPr>
      </w:pPr>
      <w:r>
        <w:rPr>
          <w:rFonts w:hint="eastAsia" w:ascii="宋体" w:hAnsi="宋体" w:cs="宋体"/>
          <w:bCs/>
          <w:color w:val="auto"/>
          <w:sz w:val="24"/>
          <w:highlight w:val="none"/>
        </w:rPr>
        <w:t>项目名称：</w:t>
      </w:r>
    </w:p>
    <w:p w14:paraId="5D9791E5">
      <w:pPr>
        <w:snapToGrid w:val="0"/>
        <w:spacing w:before="120" w:beforeLines="50" w:after="50"/>
        <w:ind w:firstLine="540" w:firstLineChars="225"/>
        <w:rPr>
          <w:rFonts w:hint="eastAsia" w:ascii="宋体" w:hAnsi="宋体" w:cs="宋体"/>
          <w:bCs/>
          <w:color w:val="auto"/>
          <w:sz w:val="24"/>
          <w:szCs w:val="20"/>
          <w:highlight w:val="none"/>
        </w:rPr>
      </w:pPr>
    </w:p>
    <w:p w14:paraId="3058E645">
      <w:pPr>
        <w:snapToGrid w:val="0"/>
        <w:spacing w:before="120" w:beforeLines="50" w:after="50"/>
        <w:ind w:firstLine="540" w:firstLineChars="225"/>
        <w:rPr>
          <w:rFonts w:hint="eastAsia" w:ascii="宋体" w:hAnsi="宋体" w:cs="宋体"/>
          <w:bCs/>
          <w:color w:val="auto"/>
          <w:sz w:val="24"/>
          <w:highlight w:val="none"/>
        </w:rPr>
      </w:pPr>
      <w:r>
        <w:rPr>
          <w:rFonts w:hint="eastAsia" w:ascii="宋体" w:hAnsi="宋体" w:cs="宋体"/>
          <w:bCs/>
          <w:color w:val="auto"/>
          <w:sz w:val="24"/>
          <w:highlight w:val="none"/>
        </w:rPr>
        <w:t>项目编号：</w:t>
      </w:r>
    </w:p>
    <w:p w14:paraId="77FC2F39">
      <w:pPr>
        <w:snapToGrid w:val="0"/>
        <w:spacing w:before="120" w:beforeLines="50" w:after="50"/>
        <w:ind w:firstLine="540" w:firstLineChars="225"/>
        <w:rPr>
          <w:rFonts w:hint="eastAsia" w:ascii="宋体" w:hAnsi="宋体" w:cs="宋体"/>
          <w:bCs/>
          <w:color w:val="auto"/>
          <w:sz w:val="24"/>
          <w:szCs w:val="20"/>
          <w:highlight w:val="none"/>
        </w:rPr>
      </w:pPr>
      <w:r>
        <w:rPr>
          <w:rFonts w:hint="eastAsia" w:ascii="宋体" w:hAnsi="宋体" w:cs="宋体"/>
          <w:bCs/>
          <w:color w:val="auto"/>
          <w:sz w:val="24"/>
          <w:highlight w:val="none"/>
        </w:rPr>
        <w:t xml:space="preserve"> </w:t>
      </w:r>
    </w:p>
    <w:p w14:paraId="4FE32F35">
      <w:pPr>
        <w:snapToGrid w:val="0"/>
        <w:spacing w:before="120" w:beforeLines="50" w:after="50"/>
        <w:ind w:firstLine="540" w:firstLineChars="225"/>
        <w:rPr>
          <w:rFonts w:hint="eastAsia" w:ascii="宋体" w:hAnsi="宋体" w:cs="宋体"/>
          <w:bCs/>
          <w:color w:val="auto"/>
          <w:sz w:val="24"/>
          <w:highlight w:val="none"/>
        </w:rPr>
      </w:pPr>
      <w:r>
        <w:rPr>
          <w:rFonts w:hint="eastAsia" w:ascii="宋体" w:hAnsi="宋体" w:cs="宋体"/>
          <w:bCs/>
          <w:color w:val="auto"/>
          <w:sz w:val="24"/>
          <w:highlight w:val="none"/>
        </w:rPr>
        <w:t>所投分标：</w:t>
      </w:r>
    </w:p>
    <w:p w14:paraId="78CBF35F">
      <w:pPr>
        <w:snapToGrid w:val="0"/>
        <w:spacing w:before="120" w:beforeLines="50" w:after="50"/>
        <w:ind w:firstLine="540" w:firstLineChars="225"/>
        <w:rPr>
          <w:rFonts w:hint="eastAsia" w:ascii="宋体" w:hAnsi="宋体" w:cs="宋体"/>
          <w:bCs/>
          <w:color w:val="auto"/>
          <w:sz w:val="24"/>
          <w:szCs w:val="20"/>
          <w:highlight w:val="none"/>
        </w:rPr>
      </w:pPr>
    </w:p>
    <w:p w14:paraId="568605D9">
      <w:pPr>
        <w:pStyle w:val="9"/>
        <w:snapToGrid w:val="0"/>
        <w:spacing w:before="50" w:after="50"/>
        <w:ind w:firstLine="540" w:firstLineChars="225"/>
        <w:rPr>
          <w:rFonts w:hint="eastAsia" w:ascii="宋体" w:hAnsi="宋体" w:cs="宋体"/>
          <w:bCs/>
          <w:color w:val="auto"/>
          <w:sz w:val="24"/>
          <w:szCs w:val="24"/>
          <w:highlight w:val="none"/>
        </w:rPr>
      </w:pPr>
      <w:r>
        <w:rPr>
          <w:rFonts w:hint="eastAsia" w:ascii="宋体" w:hAnsi="宋体" w:cs="宋体"/>
          <w:bCs/>
          <w:color w:val="auto"/>
          <w:sz w:val="24"/>
          <w:szCs w:val="24"/>
          <w:highlight w:val="none"/>
        </w:rPr>
        <w:t>投标人名称：</w:t>
      </w:r>
    </w:p>
    <w:p w14:paraId="1DBFFA7D">
      <w:pPr>
        <w:pStyle w:val="9"/>
        <w:snapToGrid w:val="0"/>
        <w:spacing w:before="50" w:after="50"/>
        <w:ind w:firstLine="540" w:firstLineChars="225"/>
        <w:rPr>
          <w:rFonts w:hint="eastAsia" w:ascii="宋体" w:hAnsi="宋体" w:cs="宋体"/>
          <w:bCs/>
          <w:color w:val="auto"/>
          <w:sz w:val="24"/>
          <w:szCs w:val="24"/>
          <w:highlight w:val="none"/>
        </w:rPr>
      </w:pPr>
    </w:p>
    <w:p w14:paraId="5B688963">
      <w:pPr>
        <w:pStyle w:val="9"/>
        <w:snapToGrid w:val="0"/>
        <w:spacing w:before="50" w:after="50"/>
        <w:ind w:firstLine="540" w:firstLineChars="225"/>
        <w:rPr>
          <w:rFonts w:hint="eastAsia" w:ascii="宋体" w:hAnsi="宋体" w:cs="宋体"/>
          <w:bCs/>
          <w:color w:val="auto"/>
          <w:sz w:val="24"/>
          <w:szCs w:val="24"/>
          <w:highlight w:val="none"/>
        </w:rPr>
      </w:pPr>
      <w:r>
        <w:rPr>
          <w:rFonts w:hint="eastAsia" w:ascii="宋体" w:hAnsi="宋体" w:cs="宋体"/>
          <w:bCs/>
          <w:color w:val="auto"/>
          <w:sz w:val="24"/>
          <w:szCs w:val="24"/>
          <w:highlight w:val="none"/>
        </w:rPr>
        <w:t>投标人地址：</w:t>
      </w:r>
    </w:p>
    <w:p w14:paraId="7F403760">
      <w:pPr>
        <w:pStyle w:val="9"/>
        <w:snapToGrid w:val="0"/>
        <w:spacing w:before="50" w:after="50"/>
        <w:ind w:firstLine="960" w:firstLineChars="400"/>
        <w:rPr>
          <w:rFonts w:hint="eastAsia" w:ascii="宋体" w:hAnsi="宋体" w:cs="宋体"/>
          <w:bCs/>
          <w:color w:val="auto"/>
          <w:sz w:val="24"/>
          <w:szCs w:val="24"/>
          <w:highlight w:val="none"/>
        </w:rPr>
      </w:pPr>
    </w:p>
    <w:p w14:paraId="57534DF1">
      <w:pPr>
        <w:snapToGrid w:val="0"/>
        <w:spacing w:before="120" w:beforeLines="50" w:after="50"/>
        <w:ind w:firstLine="645"/>
        <w:rPr>
          <w:rFonts w:hint="eastAsia" w:ascii="宋体" w:hAnsi="宋体" w:cs="宋体"/>
          <w:color w:val="auto"/>
          <w:sz w:val="24"/>
          <w:highlight w:val="none"/>
        </w:rPr>
      </w:pPr>
      <w:r>
        <w:rPr>
          <w:rFonts w:hint="eastAsia" w:ascii="宋体" w:hAnsi="宋体" w:cs="宋体"/>
          <w:color w:val="auto"/>
          <w:sz w:val="24"/>
          <w:highlight w:val="none"/>
        </w:rPr>
        <w:t xml:space="preserve">                        年  月  日</w:t>
      </w:r>
    </w:p>
    <w:p w14:paraId="202249D5">
      <w:pPr>
        <w:snapToGrid w:val="0"/>
        <w:spacing w:before="120" w:beforeLines="50" w:after="50"/>
        <w:rPr>
          <w:rFonts w:hint="eastAsia" w:ascii="宋体" w:hAnsi="宋体" w:cs="宋体"/>
          <w:color w:val="auto"/>
          <w:sz w:val="24"/>
          <w:szCs w:val="20"/>
          <w:highlight w:val="none"/>
        </w:rPr>
      </w:pPr>
      <w:r>
        <w:rPr>
          <w:rFonts w:hint="eastAsia" w:ascii="宋体" w:hAnsi="宋体" w:cs="宋体"/>
          <w:color w:val="auto"/>
          <w:sz w:val="24"/>
          <w:szCs w:val="20"/>
          <w:highlight w:val="none"/>
        </w:rPr>
        <w:t xml:space="preserve"> </w:t>
      </w:r>
    </w:p>
    <w:p w14:paraId="0DE34354">
      <w:pPr>
        <w:snapToGrid w:val="0"/>
        <w:spacing w:line="360" w:lineRule="auto"/>
        <w:jc w:val="center"/>
        <w:rPr>
          <w:rFonts w:hint="eastAsia" w:ascii="宋体" w:hAnsi="宋体" w:cs="宋体"/>
          <w:b/>
          <w:bCs/>
          <w:color w:val="auto"/>
          <w:sz w:val="28"/>
          <w:szCs w:val="28"/>
          <w:highlight w:val="none"/>
        </w:rPr>
      </w:pPr>
      <w:r>
        <w:rPr>
          <w:rFonts w:hint="eastAsia" w:ascii="宋体" w:hAnsi="宋体" w:cs="宋体"/>
          <w:color w:val="auto"/>
          <w:sz w:val="24"/>
          <w:szCs w:val="20"/>
          <w:highlight w:val="none"/>
        </w:rPr>
        <w:br w:type="page"/>
      </w:r>
      <w:r>
        <w:rPr>
          <w:rFonts w:hint="eastAsia" w:ascii="宋体" w:hAnsi="宋体" w:cs="宋体"/>
          <w:b/>
          <w:bCs/>
          <w:color w:val="auto"/>
          <w:sz w:val="28"/>
          <w:szCs w:val="28"/>
          <w:highlight w:val="none"/>
        </w:rPr>
        <w:t>商务文件目录</w:t>
      </w:r>
    </w:p>
    <w:p w14:paraId="32BC2E7A">
      <w:pPr>
        <w:snapToGrid w:val="0"/>
        <w:spacing w:before="50" w:after="120" w:afterLines="50" w:line="360" w:lineRule="auto"/>
        <w:jc w:val="center"/>
        <w:rPr>
          <w:rFonts w:hint="eastAsia" w:ascii="宋体" w:hAnsi="宋体" w:cs="宋体"/>
          <w:b/>
          <w:bCs/>
          <w:color w:val="auto"/>
          <w:sz w:val="24"/>
          <w:highlight w:val="none"/>
        </w:rPr>
      </w:pPr>
      <w:r>
        <w:rPr>
          <w:rFonts w:hint="eastAsia" w:ascii="宋体" w:hAnsi="宋体" w:cs="宋体"/>
          <w:color w:val="auto"/>
          <w:szCs w:val="21"/>
          <w:highlight w:val="none"/>
        </w:rPr>
        <w:t>根据招标文件规定及投标人提供的材料自行编写目录。</w:t>
      </w:r>
    </w:p>
    <w:p w14:paraId="13F24D31">
      <w:pPr>
        <w:snapToGrid w:val="0"/>
        <w:spacing w:before="50" w:after="120" w:afterLines="50"/>
        <w:jc w:val="left"/>
        <w:rPr>
          <w:rFonts w:hint="eastAsia" w:ascii="宋体" w:hAnsi="宋体" w:cs="宋体"/>
          <w:color w:val="auto"/>
          <w:highlight w:val="none"/>
        </w:rPr>
      </w:pPr>
    </w:p>
    <w:p w14:paraId="2B89AEBC">
      <w:pPr>
        <w:snapToGrid w:val="0"/>
        <w:spacing w:before="120" w:beforeLines="50" w:after="50"/>
        <w:jc w:val="left"/>
        <w:rPr>
          <w:rFonts w:hint="eastAsia" w:ascii="宋体" w:hAnsi="宋体" w:cs="宋体"/>
          <w:b/>
          <w:color w:val="auto"/>
          <w:sz w:val="24"/>
          <w:highlight w:val="none"/>
        </w:rPr>
      </w:pPr>
      <w:r>
        <w:rPr>
          <w:rFonts w:hint="eastAsia" w:ascii="宋体" w:hAnsi="宋体" w:cs="宋体"/>
          <w:b/>
          <w:color w:val="auto"/>
          <w:sz w:val="24"/>
          <w:highlight w:val="none"/>
        </w:rPr>
        <w:br w:type="page"/>
      </w:r>
      <w:r>
        <w:rPr>
          <w:rFonts w:hint="eastAsia" w:ascii="宋体" w:hAnsi="宋体" w:cs="宋体"/>
          <w:b/>
          <w:color w:val="auto"/>
          <w:sz w:val="24"/>
          <w:highlight w:val="none"/>
        </w:rPr>
        <w:t>1. 无串通投标行为的承诺函</w:t>
      </w:r>
    </w:p>
    <w:p w14:paraId="57DDE8F9">
      <w:pPr>
        <w:snapToGrid w:val="0"/>
        <w:spacing w:before="120" w:beforeLines="50" w:after="50"/>
        <w:jc w:val="left"/>
        <w:rPr>
          <w:rFonts w:hint="eastAsia" w:ascii="宋体" w:hAnsi="宋体" w:cs="宋体"/>
          <w:b/>
          <w:color w:val="auto"/>
          <w:sz w:val="24"/>
          <w:highlight w:val="none"/>
        </w:rPr>
      </w:pPr>
    </w:p>
    <w:p w14:paraId="1A52E006">
      <w:pPr>
        <w:snapToGrid w:val="0"/>
        <w:spacing w:before="120" w:beforeLines="50" w:after="50"/>
        <w:jc w:val="center"/>
        <w:rPr>
          <w:rFonts w:hint="eastAsia" w:ascii="宋体" w:hAnsi="宋体" w:cs="宋体"/>
          <w:b/>
          <w:color w:val="auto"/>
          <w:sz w:val="30"/>
          <w:szCs w:val="30"/>
          <w:highlight w:val="none"/>
        </w:rPr>
      </w:pPr>
      <w:r>
        <w:rPr>
          <w:rFonts w:hint="eastAsia" w:ascii="宋体" w:hAnsi="宋体" w:cs="宋体"/>
          <w:b/>
          <w:color w:val="auto"/>
          <w:sz w:val="30"/>
          <w:szCs w:val="30"/>
          <w:highlight w:val="none"/>
        </w:rPr>
        <w:t>无串通投标行为的承诺函</w:t>
      </w:r>
    </w:p>
    <w:p w14:paraId="621CDF2B">
      <w:pPr>
        <w:keepNext w:val="0"/>
        <w:keepLines w:val="0"/>
        <w:pageBreakBefore w:val="0"/>
        <w:widowControl w:val="0"/>
        <w:kinsoku/>
        <w:wordWrap/>
        <w:overflowPunct/>
        <w:topLinePunct w:val="0"/>
        <w:autoSpaceDE/>
        <w:autoSpaceDN/>
        <w:bidi w:val="0"/>
        <w:adjustRightInd/>
        <w:snapToGrid/>
        <w:spacing w:line="400" w:lineRule="exact"/>
        <w:contextualSpacing/>
        <w:jc w:val="left"/>
        <w:textAlignment w:val="auto"/>
        <w:rPr>
          <w:rFonts w:hint="eastAsia" w:ascii="宋体" w:hAnsi="宋体" w:cs="宋体"/>
          <w:b/>
          <w:color w:val="auto"/>
          <w:szCs w:val="21"/>
          <w:highlight w:val="none"/>
        </w:rPr>
      </w:pPr>
      <w:r>
        <w:rPr>
          <w:rFonts w:hint="eastAsia" w:ascii="宋体" w:hAnsi="宋体" w:cs="宋体"/>
          <w:b/>
          <w:color w:val="auto"/>
          <w:szCs w:val="21"/>
          <w:highlight w:val="none"/>
        </w:rPr>
        <w:t>一、我方承诺无下列相互串通投标的情形：</w:t>
      </w:r>
    </w:p>
    <w:p w14:paraId="4C25198D">
      <w:pPr>
        <w:keepNext w:val="0"/>
        <w:keepLines w:val="0"/>
        <w:pageBreakBefore w:val="0"/>
        <w:widowControl w:val="0"/>
        <w:kinsoku/>
        <w:wordWrap/>
        <w:overflowPunct/>
        <w:topLinePunct w:val="0"/>
        <w:autoSpaceDE/>
        <w:autoSpaceDN/>
        <w:bidi w:val="0"/>
        <w:adjustRightInd/>
        <w:snapToGrid/>
        <w:spacing w:line="400" w:lineRule="exact"/>
        <w:ind w:firstLine="411" w:firstLineChars="196"/>
        <w:contextualSpacing/>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1.不同投标人的投标文件由同一单位或者个人编制；或者不同投标人报名的IP地址一致的；或者编制标书硬件设备CPU编号、硬盘编号、网卡地址一致的情况。</w:t>
      </w:r>
    </w:p>
    <w:p w14:paraId="3885E9C6">
      <w:pPr>
        <w:keepNext w:val="0"/>
        <w:keepLines w:val="0"/>
        <w:pageBreakBefore w:val="0"/>
        <w:widowControl w:val="0"/>
        <w:kinsoku/>
        <w:wordWrap/>
        <w:overflowPunct/>
        <w:topLinePunct w:val="0"/>
        <w:autoSpaceDE/>
        <w:autoSpaceDN/>
        <w:bidi w:val="0"/>
        <w:adjustRightInd/>
        <w:snapToGrid/>
        <w:spacing w:line="400" w:lineRule="exact"/>
        <w:ind w:firstLine="411" w:firstLineChars="196"/>
        <w:contextualSpacing/>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2.不同投标人委托同一单位或者个人办理投标事宜；</w:t>
      </w:r>
    </w:p>
    <w:p w14:paraId="06581A3F">
      <w:pPr>
        <w:keepNext w:val="0"/>
        <w:keepLines w:val="0"/>
        <w:pageBreakBefore w:val="0"/>
        <w:widowControl w:val="0"/>
        <w:kinsoku/>
        <w:wordWrap/>
        <w:overflowPunct/>
        <w:topLinePunct w:val="0"/>
        <w:autoSpaceDE/>
        <w:autoSpaceDN/>
        <w:bidi w:val="0"/>
        <w:adjustRightInd/>
        <w:snapToGrid/>
        <w:spacing w:line="400" w:lineRule="exact"/>
        <w:ind w:firstLine="411" w:firstLineChars="196"/>
        <w:contextualSpacing/>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3.不同的投标人的投标文件载明的项目管理员为同一个人；</w:t>
      </w:r>
    </w:p>
    <w:p w14:paraId="17DCCC7E">
      <w:pPr>
        <w:keepNext w:val="0"/>
        <w:keepLines w:val="0"/>
        <w:pageBreakBefore w:val="0"/>
        <w:widowControl w:val="0"/>
        <w:kinsoku/>
        <w:wordWrap/>
        <w:overflowPunct/>
        <w:topLinePunct w:val="0"/>
        <w:autoSpaceDE/>
        <w:autoSpaceDN/>
        <w:bidi w:val="0"/>
        <w:adjustRightInd/>
        <w:snapToGrid/>
        <w:spacing w:line="400" w:lineRule="exact"/>
        <w:ind w:firstLine="411" w:firstLineChars="196"/>
        <w:contextualSpacing/>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4.不同投标人的投标文件异常一致或者投标报价呈规律性差异；</w:t>
      </w:r>
    </w:p>
    <w:p w14:paraId="42D515AD">
      <w:pPr>
        <w:keepNext w:val="0"/>
        <w:keepLines w:val="0"/>
        <w:pageBreakBefore w:val="0"/>
        <w:widowControl w:val="0"/>
        <w:kinsoku/>
        <w:wordWrap/>
        <w:overflowPunct/>
        <w:topLinePunct w:val="0"/>
        <w:autoSpaceDE/>
        <w:autoSpaceDN/>
        <w:bidi w:val="0"/>
        <w:adjustRightInd/>
        <w:snapToGrid/>
        <w:spacing w:line="400" w:lineRule="exact"/>
        <w:ind w:firstLine="411" w:firstLineChars="196"/>
        <w:contextualSpacing/>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5.不同投标人的投标文件相互混装；</w:t>
      </w:r>
    </w:p>
    <w:p w14:paraId="5D17D96C">
      <w:pPr>
        <w:keepNext w:val="0"/>
        <w:keepLines w:val="0"/>
        <w:pageBreakBefore w:val="0"/>
        <w:widowControl w:val="0"/>
        <w:kinsoku/>
        <w:wordWrap/>
        <w:overflowPunct/>
        <w:topLinePunct w:val="0"/>
        <w:autoSpaceDE/>
        <w:autoSpaceDN/>
        <w:bidi w:val="0"/>
        <w:adjustRightInd/>
        <w:snapToGrid/>
        <w:spacing w:line="400" w:lineRule="exact"/>
        <w:ind w:firstLine="411" w:firstLineChars="196"/>
        <w:contextualSpacing/>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6.不同投标人的投标保证金从同一单位或者个人账户转出。</w:t>
      </w:r>
    </w:p>
    <w:p w14:paraId="411C5CF7">
      <w:pPr>
        <w:keepNext w:val="0"/>
        <w:keepLines w:val="0"/>
        <w:pageBreakBefore w:val="0"/>
        <w:widowControl w:val="0"/>
        <w:kinsoku/>
        <w:wordWrap/>
        <w:overflowPunct/>
        <w:topLinePunct w:val="0"/>
        <w:autoSpaceDE/>
        <w:autoSpaceDN/>
        <w:bidi w:val="0"/>
        <w:adjustRightInd/>
        <w:snapToGrid/>
        <w:spacing w:line="400" w:lineRule="exact"/>
        <w:contextualSpacing/>
        <w:jc w:val="left"/>
        <w:textAlignment w:val="auto"/>
        <w:rPr>
          <w:rFonts w:hint="eastAsia" w:ascii="宋体" w:hAnsi="宋体" w:cs="宋体"/>
          <w:color w:val="auto"/>
          <w:szCs w:val="21"/>
          <w:highlight w:val="none"/>
        </w:rPr>
      </w:pPr>
      <w:r>
        <w:rPr>
          <w:rFonts w:hint="eastAsia" w:ascii="宋体" w:hAnsi="宋体" w:cs="宋体"/>
          <w:b/>
          <w:color w:val="auto"/>
          <w:szCs w:val="21"/>
          <w:highlight w:val="none"/>
        </w:rPr>
        <w:t>二、我方承诺无下列恶意串通的情形：</w:t>
      </w:r>
    </w:p>
    <w:p w14:paraId="0AA88228">
      <w:pPr>
        <w:keepNext w:val="0"/>
        <w:keepLines w:val="0"/>
        <w:pageBreakBefore w:val="0"/>
        <w:widowControl w:val="0"/>
        <w:kinsoku/>
        <w:wordWrap/>
        <w:overflowPunct/>
        <w:topLinePunct w:val="0"/>
        <w:autoSpaceDE/>
        <w:autoSpaceDN/>
        <w:bidi w:val="0"/>
        <w:adjustRightInd/>
        <w:snapToGrid/>
        <w:spacing w:line="400" w:lineRule="exact"/>
        <w:ind w:firstLine="411" w:firstLineChars="196"/>
        <w:contextualSpacing/>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1.投标人直接或者间接从采购人或者采购代理机构处获得其他投标人的相关信息并修改其投标文件或者响应文件；</w:t>
      </w:r>
    </w:p>
    <w:p w14:paraId="31D6A8DF">
      <w:pPr>
        <w:keepNext w:val="0"/>
        <w:keepLines w:val="0"/>
        <w:pageBreakBefore w:val="0"/>
        <w:widowControl w:val="0"/>
        <w:kinsoku/>
        <w:wordWrap/>
        <w:overflowPunct/>
        <w:topLinePunct w:val="0"/>
        <w:autoSpaceDE/>
        <w:autoSpaceDN/>
        <w:bidi w:val="0"/>
        <w:adjustRightInd/>
        <w:snapToGrid/>
        <w:spacing w:line="400" w:lineRule="exact"/>
        <w:ind w:firstLine="411" w:firstLineChars="196"/>
        <w:contextualSpacing/>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2.投标人按照采购人或者采购代理机构的授意撤换、修改投标文件或者响应文件；</w:t>
      </w:r>
    </w:p>
    <w:p w14:paraId="633772CA">
      <w:pPr>
        <w:keepNext w:val="0"/>
        <w:keepLines w:val="0"/>
        <w:pageBreakBefore w:val="0"/>
        <w:widowControl w:val="0"/>
        <w:kinsoku/>
        <w:wordWrap/>
        <w:overflowPunct/>
        <w:topLinePunct w:val="0"/>
        <w:autoSpaceDE/>
        <w:autoSpaceDN/>
        <w:bidi w:val="0"/>
        <w:adjustRightInd/>
        <w:snapToGrid/>
        <w:spacing w:line="400" w:lineRule="exact"/>
        <w:ind w:firstLine="411" w:firstLineChars="196"/>
        <w:contextualSpacing/>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3.投标人之间协商报价、技术方案等投标文件或者响应文件的实质性内容；</w:t>
      </w:r>
    </w:p>
    <w:p w14:paraId="5920913F">
      <w:pPr>
        <w:keepNext w:val="0"/>
        <w:keepLines w:val="0"/>
        <w:pageBreakBefore w:val="0"/>
        <w:widowControl w:val="0"/>
        <w:kinsoku/>
        <w:wordWrap/>
        <w:overflowPunct/>
        <w:topLinePunct w:val="0"/>
        <w:autoSpaceDE/>
        <w:autoSpaceDN/>
        <w:bidi w:val="0"/>
        <w:adjustRightInd/>
        <w:snapToGrid/>
        <w:spacing w:line="400" w:lineRule="exact"/>
        <w:ind w:firstLine="411" w:firstLineChars="196"/>
        <w:contextualSpacing/>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4.属于同一集团、协会、商会等组织成员的投标人按照该组织要求协同参加政府采购活动；</w:t>
      </w:r>
    </w:p>
    <w:p w14:paraId="6A719E7D">
      <w:pPr>
        <w:keepNext w:val="0"/>
        <w:keepLines w:val="0"/>
        <w:pageBreakBefore w:val="0"/>
        <w:widowControl w:val="0"/>
        <w:kinsoku/>
        <w:wordWrap/>
        <w:overflowPunct/>
        <w:topLinePunct w:val="0"/>
        <w:autoSpaceDE/>
        <w:autoSpaceDN/>
        <w:bidi w:val="0"/>
        <w:adjustRightInd/>
        <w:snapToGrid/>
        <w:spacing w:line="400" w:lineRule="exact"/>
        <w:ind w:firstLine="411" w:firstLineChars="196"/>
        <w:contextualSpacing/>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5.投标人之间事先约定一致抬高或者压低投标报价，或者在招标项目中事先约定轮流以高价位或者低价位中标，或者事先约定由某一特定投标人中标，然后再参加投标；</w:t>
      </w:r>
    </w:p>
    <w:p w14:paraId="57BCBBD9">
      <w:pPr>
        <w:keepNext w:val="0"/>
        <w:keepLines w:val="0"/>
        <w:pageBreakBefore w:val="0"/>
        <w:widowControl w:val="0"/>
        <w:kinsoku/>
        <w:wordWrap/>
        <w:overflowPunct/>
        <w:topLinePunct w:val="0"/>
        <w:autoSpaceDE/>
        <w:autoSpaceDN/>
        <w:bidi w:val="0"/>
        <w:adjustRightInd/>
        <w:snapToGrid/>
        <w:spacing w:line="400" w:lineRule="exact"/>
        <w:ind w:firstLine="411" w:firstLineChars="196"/>
        <w:contextualSpacing/>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6.投标人之间商定部分投标人放弃参加政府采购活动或者放弃中标；</w:t>
      </w:r>
    </w:p>
    <w:p w14:paraId="7ADBBE51">
      <w:pPr>
        <w:keepNext w:val="0"/>
        <w:keepLines w:val="0"/>
        <w:pageBreakBefore w:val="0"/>
        <w:widowControl w:val="0"/>
        <w:kinsoku/>
        <w:wordWrap/>
        <w:overflowPunct/>
        <w:topLinePunct w:val="0"/>
        <w:autoSpaceDE/>
        <w:autoSpaceDN/>
        <w:bidi w:val="0"/>
        <w:adjustRightInd/>
        <w:snapToGrid/>
        <w:spacing w:line="400" w:lineRule="exact"/>
        <w:ind w:firstLine="411" w:firstLineChars="196"/>
        <w:contextualSpacing/>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7.投标人与采购人或者采购代理机构之间、投标人相互之间，为谋求特定投标人中标或者排斥其他投标人的其他串通行为。</w:t>
      </w:r>
    </w:p>
    <w:p w14:paraId="6B3CDD59">
      <w:pPr>
        <w:keepNext w:val="0"/>
        <w:keepLines w:val="0"/>
        <w:pageBreakBefore w:val="0"/>
        <w:widowControl w:val="0"/>
        <w:kinsoku/>
        <w:wordWrap/>
        <w:overflowPunct/>
        <w:topLinePunct w:val="0"/>
        <w:autoSpaceDE/>
        <w:autoSpaceDN/>
        <w:bidi w:val="0"/>
        <w:adjustRightInd/>
        <w:snapToGrid/>
        <w:spacing w:line="400" w:lineRule="exact"/>
        <w:ind w:firstLine="413" w:firstLineChars="196"/>
        <w:contextualSpacing/>
        <w:jc w:val="left"/>
        <w:textAlignment w:val="auto"/>
        <w:rPr>
          <w:rFonts w:hint="eastAsia" w:ascii="宋体" w:hAnsi="宋体" w:cs="宋体"/>
          <w:b/>
          <w:color w:val="auto"/>
          <w:szCs w:val="21"/>
          <w:highlight w:val="none"/>
        </w:rPr>
      </w:pPr>
      <w:r>
        <w:rPr>
          <w:rFonts w:hint="eastAsia" w:ascii="宋体" w:hAnsi="宋体" w:cs="宋体"/>
          <w:b/>
          <w:color w:val="auto"/>
          <w:szCs w:val="21"/>
          <w:highlight w:val="none"/>
        </w:rPr>
        <w:t>以上情形一经核查属实，我方愿意承担一切后果，并不再寻求任何旨在减轻或者免除法律责任的辩解。</w:t>
      </w:r>
    </w:p>
    <w:p w14:paraId="6409556C">
      <w:pPr>
        <w:pStyle w:val="20"/>
        <w:keepNext w:val="0"/>
        <w:keepLines w:val="0"/>
        <w:pageBreakBefore w:val="0"/>
        <w:widowControl w:val="0"/>
        <w:kinsoku/>
        <w:wordWrap/>
        <w:overflowPunct/>
        <w:topLinePunct w:val="0"/>
        <w:autoSpaceDE/>
        <w:autoSpaceDN/>
        <w:bidi w:val="0"/>
        <w:adjustRightInd/>
        <w:snapToGrid/>
        <w:spacing w:line="400" w:lineRule="exact"/>
        <w:ind w:firstLine="840" w:firstLineChars="400"/>
        <w:textAlignment w:val="auto"/>
        <w:rPr>
          <w:rFonts w:hint="eastAsia" w:hAnsi="宋体" w:cs="宋体"/>
          <w:color w:val="auto"/>
          <w:highlight w:val="none"/>
        </w:rPr>
      </w:pPr>
      <w:r>
        <w:rPr>
          <w:rFonts w:hint="eastAsia" w:hAnsi="宋体" w:cs="宋体"/>
          <w:color w:val="auto"/>
          <w:highlight w:val="none"/>
        </w:rPr>
        <w:t xml:space="preserve"> </w:t>
      </w:r>
    </w:p>
    <w:p w14:paraId="406097C0">
      <w:pPr>
        <w:pStyle w:val="20"/>
        <w:keepNext w:val="0"/>
        <w:keepLines w:val="0"/>
        <w:pageBreakBefore w:val="0"/>
        <w:widowControl w:val="0"/>
        <w:kinsoku/>
        <w:wordWrap/>
        <w:overflowPunct/>
        <w:topLinePunct w:val="0"/>
        <w:autoSpaceDE/>
        <w:autoSpaceDN/>
        <w:bidi w:val="0"/>
        <w:adjustRightInd/>
        <w:snapToGrid/>
        <w:spacing w:line="400" w:lineRule="exact"/>
        <w:contextualSpacing/>
        <w:jc w:val="center"/>
        <w:textAlignment w:val="auto"/>
        <w:rPr>
          <w:rFonts w:hint="eastAsia" w:hAnsi="宋体" w:cs="宋体"/>
          <w:color w:val="auto"/>
          <w:highlight w:val="none"/>
        </w:rPr>
      </w:pPr>
      <w:r>
        <w:rPr>
          <w:rFonts w:hint="eastAsia" w:hAnsi="宋体" w:cs="宋体"/>
          <w:color w:val="auto"/>
          <w:highlight w:val="none"/>
        </w:rPr>
        <w:t xml:space="preserve">                                    投标人名称（电子签章）</w:t>
      </w:r>
      <w:r>
        <w:rPr>
          <w:rFonts w:hint="eastAsia" w:hAnsi="宋体" w:cs="宋体"/>
          <w:color w:val="auto"/>
          <w:highlight w:val="none"/>
          <w:lang w:eastAsia="zh-CN"/>
        </w:rPr>
        <w:t>：</w:t>
      </w:r>
      <w:r>
        <w:rPr>
          <w:rFonts w:hint="eastAsia" w:hAnsi="宋体" w:cs="宋体"/>
          <w:color w:val="auto"/>
          <w:spacing w:val="20"/>
          <w:highlight w:val="none"/>
          <w:u w:val="single"/>
        </w:rPr>
        <w:t xml:space="preserve">            </w:t>
      </w:r>
      <w:r>
        <w:rPr>
          <w:rFonts w:hint="eastAsia" w:hAnsi="宋体" w:cs="宋体"/>
          <w:color w:val="auto"/>
          <w:spacing w:val="20"/>
          <w:highlight w:val="none"/>
        </w:rPr>
        <w:t xml:space="preserve"> </w:t>
      </w:r>
    </w:p>
    <w:p w14:paraId="4BBF339A">
      <w:pPr>
        <w:pStyle w:val="20"/>
        <w:keepNext w:val="0"/>
        <w:keepLines w:val="0"/>
        <w:pageBreakBefore w:val="0"/>
        <w:widowControl w:val="0"/>
        <w:kinsoku/>
        <w:wordWrap/>
        <w:overflowPunct/>
        <w:topLinePunct w:val="0"/>
        <w:autoSpaceDE/>
        <w:autoSpaceDN/>
        <w:bidi w:val="0"/>
        <w:adjustRightInd/>
        <w:snapToGrid/>
        <w:spacing w:line="400" w:lineRule="exact"/>
        <w:contextualSpacing/>
        <w:jc w:val="right"/>
        <w:textAlignment w:val="auto"/>
        <w:rPr>
          <w:rFonts w:hint="eastAsia" w:hAnsi="宋体" w:cs="宋体"/>
          <w:color w:val="auto"/>
          <w:highlight w:val="none"/>
        </w:rPr>
      </w:pPr>
      <w:r>
        <w:rPr>
          <w:rFonts w:hint="eastAsia" w:hAnsi="宋体" w:cs="宋体"/>
          <w:color w:val="auto"/>
          <w:highlight w:val="none"/>
        </w:rPr>
        <w:t xml:space="preserve">                                                </w:t>
      </w:r>
      <w:r>
        <w:rPr>
          <w:rFonts w:hint="eastAsia" w:hAnsi="宋体" w:cs="宋体"/>
          <w:color w:val="auto"/>
          <w:highlight w:val="none"/>
          <w:u w:val="single"/>
        </w:rPr>
        <w:t xml:space="preserve">      </w:t>
      </w:r>
      <w:r>
        <w:rPr>
          <w:rFonts w:hint="eastAsia" w:hAnsi="宋体" w:cs="宋体"/>
          <w:color w:val="auto"/>
          <w:highlight w:val="none"/>
        </w:rPr>
        <w:t>年</w:t>
      </w:r>
      <w:r>
        <w:rPr>
          <w:rFonts w:hint="eastAsia" w:hAnsi="宋体" w:cs="宋体"/>
          <w:color w:val="auto"/>
          <w:highlight w:val="none"/>
          <w:u w:val="single"/>
        </w:rPr>
        <w:t xml:space="preserve">    </w:t>
      </w:r>
      <w:r>
        <w:rPr>
          <w:rFonts w:hint="eastAsia" w:hAnsi="宋体" w:cs="宋体"/>
          <w:color w:val="auto"/>
          <w:highlight w:val="none"/>
        </w:rPr>
        <w:t>月</w:t>
      </w:r>
      <w:r>
        <w:rPr>
          <w:rFonts w:hint="eastAsia" w:hAnsi="宋体" w:cs="宋体"/>
          <w:color w:val="auto"/>
          <w:highlight w:val="none"/>
          <w:u w:val="single"/>
        </w:rPr>
        <w:t xml:space="preserve">     </w:t>
      </w:r>
      <w:r>
        <w:rPr>
          <w:rFonts w:hint="eastAsia" w:hAnsi="宋体" w:cs="宋体"/>
          <w:color w:val="auto"/>
          <w:highlight w:val="none"/>
        </w:rPr>
        <w:t>日</w:t>
      </w:r>
    </w:p>
    <w:p w14:paraId="05B2A9D6">
      <w:pPr>
        <w:snapToGrid w:val="0"/>
        <w:spacing w:before="120" w:beforeLines="50" w:after="50" w:line="360" w:lineRule="auto"/>
        <w:ind w:firstLine="472" w:firstLineChars="196"/>
        <w:jc w:val="left"/>
        <w:rPr>
          <w:rFonts w:hint="eastAsia"/>
          <w:color w:val="auto"/>
          <w:highlight w:val="none"/>
        </w:rPr>
      </w:pPr>
      <w:r>
        <w:rPr>
          <w:rFonts w:hint="eastAsia" w:ascii="宋体" w:hAnsi="宋体" w:cs="宋体"/>
          <w:b/>
          <w:color w:val="auto"/>
          <w:sz w:val="24"/>
          <w:highlight w:val="none"/>
        </w:rPr>
        <w:br w:type="page"/>
      </w:r>
      <w:r>
        <w:rPr>
          <w:rFonts w:hint="eastAsia" w:ascii="宋体" w:hAnsi="宋体" w:cs="宋体"/>
          <w:b/>
          <w:color w:val="auto"/>
          <w:sz w:val="24"/>
          <w:highlight w:val="none"/>
        </w:rPr>
        <w:t>2.投标保证金缴纳证明</w:t>
      </w:r>
    </w:p>
    <w:p w14:paraId="5E11383A">
      <w:pPr>
        <w:pStyle w:val="20"/>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Ansi="宋体"/>
          <w:color w:val="auto"/>
          <w:sz w:val="24"/>
          <w:szCs w:val="24"/>
          <w:highlight w:val="none"/>
        </w:rPr>
      </w:pPr>
    </w:p>
    <w:p w14:paraId="59EBE34E">
      <w:pPr>
        <w:keepNext w:val="0"/>
        <w:keepLines w:val="0"/>
        <w:pageBreakBefore w:val="0"/>
        <w:kinsoku/>
        <w:wordWrap/>
        <w:overflowPunct/>
        <w:topLinePunct w:val="0"/>
        <w:autoSpaceDE/>
        <w:autoSpaceDN/>
        <w:bidi w:val="0"/>
        <w:adjustRightInd/>
        <w:snapToGrid/>
        <w:spacing w:line="400" w:lineRule="exact"/>
        <w:ind w:firstLine="411" w:firstLineChars="196"/>
        <w:contextualSpacing/>
        <w:jc w:val="left"/>
        <w:textAlignment w:val="auto"/>
        <w:rPr>
          <w:rFonts w:hint="eastAsia" w:ascii="宋体" w:hAnsi="宋体"/>
          <w:color w:val="auto"/>
          <w:szCs w:val="21"/>
          <w:highlight w:val="none"/>
        </w:rPr>
      </w:pPr>
    </w:p>
    <w:p w14:paraId="7B83ED35">
      <w:pPr>
        <w:keepNext w:val="0"/>
        <w:keepLines w:val="0"/>
        <w:pageBreakBefore w:val="0"/>
        <w:kinsoku/>
        <w:wordWrap/>
        <w:overflowPunct/>
        <w:topLinePunct w:val="0"/>
        <w:autoSpaceDE/>
        <w:autoSpaceDN/>
        <w:bidi w:val="0"/>
        <w:adjustRightInd/>
        <w:snapToGrid/>
        <w:spacing w:line="400" w:lineRule="exact"/>
        <w:ind w:firstLine="411" w:firstLineChars="196"/>
        <w:contextualSpacing/>
        <w:jc w:val="left"/>
        <w:textAlignment w:val="auto"/>
        <w:rPr>
          <w:rFonts w:hint="eastAsia" w:ascii="宋体" w:hAnsi="宋体"/>
          <w:color w:val="auto"/>
          <w:szCs w:val="21"/>
          <w:highlight w:val="none"/>
        </w:rPr>
      </w:pPr>
      <w:r>
        <w:rPr>
          <w:rFonts w:hint="eastAsia" w:ascii="宋体" w:hAnsi="宋体"/>
          <w:color w:val="auto"/>
          <w:szCs w:val="21"/>
          <w:highlight w:val="none"/>
        </w:rPr>
        <w:t>附：银行出具的汇款单或转账凭证扫描件或保函扫描件。</w:t>
      </w:r>
    </w:p>
    <w:p w14:paraId="1FD42E3B">
      <w:pPr>
        <w:rPr>
          <w:rFonts w:hint="eastAsia"/>
          <w:color w:val="auto"/>
          <w:highlight w:val="none"/>
        </w:rPr>
      </w:pPr>
    </w:p>
    <w:p w14:paraId="54516DD5">
      <w:pPr>
        <w:spacing w:line="520" w:lineRule="exact"/>
        <w:ind w:left="239" w:leftChars="114" w:firstLine="6144" w:firstLineChars="2550"/>
        <w:jc w:val="left"/>
        <w:rPr>
          <w:rFonts w:hint="eastAsia" w:ascii="宋体" w:hAnsi="宋体" w:cs="宋体"/>
          <w:b/>
          <w:color w:val="auto"/>
          <w:kern w:val="0"/>
          <w:sz w:val="24"/>
          <w:highlight w:val="none"/>
        </w:rPr>
      </w:pPr>
    </w:p>
    <w:p w14:paraId="5CDD418A">
      <w:pPr>
        <w:snapToGrid w:val="0"/>
        <w:spacing w:before="120" w:beforeLines="50" w:after="50"/>
        <w:ind w:firstLine="472" w:firstLineChars="196"/>
        <w:jc w:val="left"/>
        <w:rPr>
          <w:rFonts w:hint="eastAsia" w:ascii="宋体" w:hAnsi="宋体" w:cs="宋体"/>
          <w:b/>
          <w:color w:val="auto"/>
          <w:sz w:val="24"/>
          <w:szCs w:val="20"/>
          <w:highlight w:val="none"/>
        </w:rPr>
      </w:pPr>
      <w:r>
        <w:rPr>
          <w:rFonts w:hint="eastAsia" w:ascii="宋体" w:hAnsi="宋体" w:cs="宋体"/>
          <w:b/>
          <w:color w:val="auto"/>
          <w:sz w:val="24"/>
          <w:highlight w:val="none"/>
        </w:rPr>
        <w:br w:type="page"/>
      </w:r>
      <w:r>
        <w:rPr>
          <w:rFonts w:hint="eastAsia" w:ascii="宋体" w:hAnsi="宋体" w:cs="宋体"/>
          <w:b/>
          <w:color w:val="auto"/>
          <w:sz w:val="24"/>
          <w:highlight w:val="none"/>
        </w:rPr>
        <w:t>3.法定代表人身份证明</w:t>
      </w:r>
    </w:p>
    <w:p w14:paraId="7C8AA873">
      <w:pPr>
        <w:spacing w:before="240" w:beforeLines="100" w:after="120" w:afterLines="50"/>
        <w:ind w:left="540"/>
        <w:jc w:val="center"/>
        <w:rPr>
          <w:rFonts w:hint="eastAsia" w:ascii="宋体" w:hAnsi="宋体" w:cs="宋体"/>
          <w:b/>
          <w:color w:val="auto"/>
          <w:sz w:val="32"/>
          <w:szCs w:val="32"/>
          <w:highlight w:val="none"/>
        </w:rPr>
      </w:pPr>
    </w:p>
    <w:p w14:paraId="404B0700">
      <w:pPr>
        <w:spacing w:before="240" w:beforeLines="100" w:after="120" w:afterLines="50"/>
        <w:ind w:left="540"/>
        <w:jc w:val="center"/>
        <w:rPr>
          <w:rFonts w:hint="eastAsia" w:ascii="宋体" w:hAnsi="宋体" w:cs="宋体"/>
          <w:b/>
          <w:bCs/>
          <w:color w:val="auto"/>
          <w:sz w:val="30"/>
          <w:szCs w:val="30"/>
          <w:highlight w:val="none"/>
        </w:rPr>
      </w:pPr>
      <w:r>
        <w:rPr>
          <w:rFonts w:hint="eastAsia" w:ascii="宋体" w:hAnsi="宋体" w:cs="宋体"/>
          <w:b/>
          <w:bCs/>
          <w:color w:val="auto"/>
          <w:sz w:val="30"/>
          <w:szCs w:val="30"/>
          <w:highlight w:val="none"/>
        </w:rPr>
        <w:t>法定代表人身份证明</w:t>
      </w:r>
    </w:p>
    <w:p w14:paraId="47C34B8D">
      <w:pPr>
        <w:keepNext w:val="0"/>
        <w:keepLines w:val="0"/>
        <w:pageBreakBefore w:val="0"/>
        <w:widowControl w:val="0"/>
        <w:kinsoku/>
        <w:wordWrap/>
        <w:overflowPunct/>
        <w:topLinePunct w:val="0"/>
        <w:autoSpaceDE/>
        <w:autoSpaceDN/>
        <w:bidi w:val="0"/>
        <w:adjustRightInd/>
        <w:spacing w:line="400" w:lineRule="exact"/>
        <w:ind w:left="540"/>
        <w:textAlignment w:val="auto"/>
        <w:rPr>
          <w:rFonts w:hint="eastAsia" w:ascii="宋体" w:hAnsi="宋体" w:cs="宋体"/>
          <w:color w:val="auto"/>
          <w:szCs w:val="21"/>
          <w:highlight w:val="none"/>
        </w:rPr>
      </w:pPr>
      <w:r>
        <w:rPr>
          <w:rFonts w:hint="eastAsia" w:ascii="宋体" w:hAnsi="宋体" w:cs="宋体"/>
          <w:color w:val="auto"/>
          <w:szCs w:val="21"/>
          <w:highlight w:val="none"/>
        </w:rPr>
        <w:t>投 标 人：</w:t>
      </w:r>
      <w:r>
        <w:rPr>
          <w:rFonts w:hint="eastAsia" w:ascii="宋体" w:hAnsi="宋体" w:cs="宋体"/>
          <w:color w:val="auto"/>
          <w:szCs w:val="21"/>
          <w:highlight w:val="none"/>
          <w:u w:val="single"/>
        </w:rPr>
        <w:t xml:space="preserve">                                                        </w:t>
      </w:r>
    </w:p>
    <w:p w14:paraId="7CB60EC4">
      <w:pPr>
        <w:keepNext w:val="0"/>
        <w:keepLines w:val="0"/>
        <w:pageBreakBefore w:val="0"/>
        <w:widowControl w:val="0"/>
        <w:kinsoku/>
        <w:wordWrap/>
        <w:overflowPunct/>
        <w:topLinePunct w:val="0"/>
        <w:autoSpaceDE/>
        <w:autoSpaceDN/>
        <w:bidi w:val="0"/>
        <w:adjustRightInd/>
        <w:spacing w:line="400" w:lineRule="exact"/>
        <w:ind w:left="540"/>
        <w:textAlignment w:val="auto"/>
        <w:rPr>
          <w:rFonts w:hint="eastAsia" w:ascii="宋体" w:hAnsi="宋体" w:cs="宋体"/>
          <w:color w:val="auto"/>
          <w:szCs w:val="21"/>
          <w:highlight w:val="none"/>
        </w:rPr>
      </w:pPr>
      <w:r>
        <w:rPr>
          <w:rFonts w:hint="eastAsia" w:ascii="宋体" w:hAnsi="宋体" w:cs="宋体"/>
          <w:color w:val="auto"/>
          <w:szCs w:val="21"/>
          <w:highlight w:val="none"/>
        </w:rPr>
        <w:t>地    址：</w:t>
      </w:r>
      <w:r>
        <w:rPr>
          <w:rFonts w:hint="eastAsia" w:ascii="宋体" w:hAnsi="宋体" w:cs="宋体"/>
          <w:color w:val="auto"/>
          <w:szCs w:val="21"/>
          <w:highlight w:val="none"/>
          <w:u w:val="single"/>
        </w:rPr>
        <w:t xml:space="preserve">                                                        </w:t>
      </w:r>
    </w:p>
    <w:p w14:paraId="64126188">
      <w:pPr>
        <w:keepNext w:val="0"/>
        <w:keepLines w:val="0"/>
        <w:pageBreakBefore w:val="0"/>
        <w:widowControl w:val="0"/>
        <w:kinsoku/>
        <w:wordWrap/>
        <w:overflowPunct/>
        <w:topLinePunct w:val="0"/>
        <w:autoSpaceDE/>
        <w:autoSpaceDN/>
        <w:bidi w:val="0"/>
        <w:adjustRightInd/>
        <w:spacing w:line="400" w:lineRule="exact"/>
        <w:ind w:left="540"/>
        <w:textAlignment w:val="auto"/>
        <w:rPr>
          <w:rFonts w:hint="eastAsia" w:ascii="宋体" w:hAnsi="宋体" w:cs="宋体"/>
          <w:color w:val="auto"/>
          <w:szCs w:val="21"/>
          <w:highlight w:val="none"/>
        </w:rPr>
      </w:pPr>
      <w:r>
        <w:rPr>
          <w:rFonts w:hint="eastAsia" w:ascii="宋体" w:hAnsi="宋体" w:cs="宋体"/>
          <w:color w:val="auto"/>
          <w:szCs w:val="21"/>
          <w:highlight w:val="none"/>
        </w:rPr>
        <w:t>姓    名：</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性      别：</w:t>
      </w:r>
      <w:r>
        <w:rPr>
          <w:rFonts w:hint="eastAsia" w:ascii="宋体" w:hAnsi="宋体" w:cs="宋体"/>
          <w:color w:val="auto"/>
          <w:szCs w:val="21"/>
          <w:highlight w:val="none"/>
          <w:u w:val="single"/>
        </w:rPr>
        <w:t xml:space="preserve">                </w:t>
      </w:r>
    </w:p>
    <w:p w14:paraId="0552C75E">
      <w:pPr>
        <w:keepNext w:val="0"/>
        <w:keepLines w:val="0"/>
        <w:pageBreakBefore w:val="0"/>
        <w:widowControl w:val="0"/>
        <w:kinsoku/>
        <w:wordWrap/>
        <w:overflowPunct/>
        <w:topLinePunct w:val="0"/>
        <w:autoSpaceDE/>
        <w:autoSpaceDN/>
        <w:bidi w:val="0"/>
        <w:adjustRightInd/>
        <w:spacing w:line="400" w:lineRule="exact"/>
        <w:ind w:left="540"/>
        <w:textAlignment w:val="auto"/>
        <w:rPr>
          <w:rFonts w:hint="eastAsia" w:ascii="宋体" w:hAnsi="宋体" w:cs="宋体"/>
          <w:color w:val="auto"/>
          <w:szCs w:val="21"/>
          <w:highlight w:val="none"/>
          <w:u w:val="single"/>
        </w:rPr>
      </w:pPr>
      <w:r>
        <w:rPr>
          <w:rFonts w:hint="eastAsia" w:ascii="宋体" w:hAnsi="宋体" w:cs="宋体"/>
          <w:color w:val="auto"/>
          <w:szCs w:val="21"/>
          <w:highlight w:val="none"/>
        </w:rPr>
        <w:t>年    龄：</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职      务：</w:t>
      </w:r>
      <w:r>
        <w:rPr>
          <w:rFonts w:hint="eastAsia" w:ascii="宋体" w:hAnsi="宋体" w:cs="宋体"/>
          <w:color w:val="auto"/>
          <w:szCs w:val="21"/>
          <w:highlight w:val="none"/>
          <w:u w:val="single"/>
        </w:rPr>
        <w:t xml:space="preserve">                </w:t>
      </w:r>
    </w:p>
    <w:p w14:paraId="3EB3A12E">
      <w:pPr>
        <w:keepNext w:val="0"/>
        <w:keepLines w:val="0"/>
        <w:pageBreakBefore w:val="0"/>
        <w:widowControl w:val="0"/>
        <w:kinsoku/>
        <w:wordWrap/>
        <w:overflowPunct/>
        <w:topLinePunct w:val="0"/>
        <w:autoSpaceDE/>
        <w:autoSpaceDN/>
        <w:bidi w:val="0"/>
        <w:adjustRightInd/>
        <w:spacing w:line="400" w:lineRule="exact"/>
        <w:ind w:left="540"/>
        <w:textAlignment w:val="auto"/>
        <w:rPr>
          <w:rFonts w:hint="eastAsia" w:ascii="宋体" w:hAnsi="宋体" w:cs="宋体"/>
          <w:color w:val="auto"/>
          <w:szCs w:val="21"/>
          <w:highlight w:val="none"/>
        </w:rPr>
      </w:pPr>
      <w:r>
        <w:rPr>
          <w:rFonts w:hint="eastAsia" w:ascii="宋体" w:hAnsi="宋体" w:cs="宋体"/>
          <w:color w:val="auto"/>
          <w:szCs w:val="21"/>
          <w:highlight w:val="none"/>
        </w:rPr>
        <w:t>身份证号码：</w:t>
      </w:r>
      <w:r>
        <w:rPr>
          <w:rFonts w:hint="eastAsia" w:ascii="宋体" w:hAnsi="宋体" w:cs="宋体"/>
          <w:color w:val="auto"/>
          <w:szCs w:val="21"/>
          <w:highlight w:val="none"/>
          <w:u w:val="single"/>
        </w:rPr>
        <w:t xml:space="preserve">                                 </w:t>
      </w:r>
    </w:p>
    <w:p w14:paraId="44D0D7E6">
      <w:pPr>
        <w:keepNext w:val="0"/>
        <w:keepLines w:val="0"/>
        <w:pageBreakBefore w:val="0"/>
        <w:widowControl w:val="0"/>
        <w:kinsoku/>
        <w:wordWrap/>
        <w:overflowPunct/>
        <w:topLinePunct w:val="0"/>
        <w:autoSpaceDE/>
        <w:autoSpaceDN/>
        <w:bidi w:val="0"/>
        <w:adjustRightInd/>
        <w:spacing w:line="400" w:lineRule="exact"/>
        <w:ind w:left="540"/>
        <w:textAlignment w:val="auto"/>
        <w:rPr>
          <w:rFonts w:hint="eastAsia" w:ascii="宋体" w:hAnsi="宋体" w:cs="宋体"/>
          <w:color w:val="auto"/>
          <w:szCs w:val="21"/>
          <w:highlight w:val="none"/>
        </w:rPr>
      </w:pPr>
      <w:r>
        <w:rPr>
          <w:rFonts w:hint="eastAsia" w:ascii="宋体" w:hAnsi="宋体" w:cs="宋体"/>
          <w:color w:val="auto"/>
          <w:szCs w:val="21"/>
          <w:highlight w:val="none"/>
        </w:rPr>
        <w:t>系</w:t>
      </w:r>
      <w:r>
        <w:rPr>
          <w:rFonts w:hint="eastAsia" w:ascii="宋体" w:hAnsi="宋体" w:cs="宋体"/>
          <w:color w:val="auto"/>
          <w:szCs w:val="21"/>
          <w:highlight w:val="none"/>
          <w:u w:val="single"/>
        </w:rPr>
        <w:t xml:space="preserve">            （投标人名称）              </w:t>
      </w:r>
      <w:r>
        <w:rPr>
          <w:rFonts w:hint="eastAsia" w:ascii="宋体" w:hAnsi="宋体" w:cs="宋体"/>
          <w:color w:val="auto"/>
          <w:szCs w:val="21"/>
          <w:highlight w:val="none"/>
        </w:rPr>
        <w:t>的法定代表人。</w:t>
      </w:r>
    </w:p>
    <w:p w14:paraId="03A84E36">
      <w:pPr>
        <w:keepNext w:val="0"/>
        <w:keepLines w:val="0"/>
        <w:pageBreakBefore w:val="0"/>
        <w:widowControl w:val="0"/>
        <w:kinsoku/>
        <w:wordWrap/>
        <w:overflowPunct/>
        <w:topLinePunct w:val="0"/>
        <w:autoSpaceDE/>
        <w:autoSpaceDN/>
        <w:bidi w:val="0"/>
        <w:adjustRightInd/>
        <w:spacing w:line="400" w:lineRule="exact"/>
        <w:ind w:left="540"/>
        <w:textAlignment w:val="auto"/>
        <w:rPr>
          <w:rFonts w:hint="eastAsia" w:ascii="宋体" w:hAnsi="宋体" w:cs="宋体"/>
          <w:color w:val="auto"/>
          <w:szCs w:val="21"/>
          <w:highlight w:val="none"/>
        </w:rPr>
      </w:pPr>
      <w:r>
        <w:rPr>
          <w:rFonts w:hint="eastAsia" w:ascii="宋体" w:hAnsi="宋体" w:cs="宋体"/>
          <w:color w:val="auto"/>
          <w:szCs w:val="21"/>
          <w:highlight w:val="none"/>
        </w:rPr>
        <w:t>特此证明。</w:t>
      </w:r>
    </w:p>
    <w:p w14:paraId="665227D0">
      <w:pPr>
        <w:keepNext w:val="0"/>
        <w:keepLines w:val="0"/>
        <w:pageBreakBefore w:val="0"/>
        <w:widowControl w:val="0"/>
        <w:kinsoku/>
        <w:wordWrap/>
        <w:overflowPunct/>
        <w:topLinePunct w:val="0"/>
        <w:autoSpaceDE/>
        <w:autoSpaceDN/>
        <w:bidi w:val="0"/>
        <w:adjustRightInd/>
        <w:spacing w:line="400" w:lineRule="exact"/>
        <w:ind w:left="540"/>
        <w:textAlignment w:val="auto"/>
        <w:rPr>
          <w:rFonts w:hint="eastAsia" w:ascii="宋体" w:hAnsi="宋体" w:cs="宋体"/>
          <w:color w:val="auto"/>
          <w:szCs w:val="21"/>
          <w:highlight w:val="none"/>
        </w:rPr>
      </w:pPr>
    </w:p>
    <w:p w14:paraId="6DF5112C">
      <w:pPr>
        <w:keepNext w:val="0"/>
        <w:keepLines w:val="0"/>
        <w:pageBreakBefore w:val="0"/>
        <w:widowControl w:val="0"/>
        <w:kinsoku/>
        <w:wordWrap/>
        <w:overflowPunct/>
        <w:topLinePunct w:val="0"/>
        <w:autoSpaceDE/>
        <w:autoSpaceDN/>
        <w:bidi w:val="0"/>
        <w:adjustRightInd/>
        <w:spacing w:line="400" w:lineRule="exact"/>
        <w:ind w:left="540"/>
        <w:textAlignment w:val="auto"/>
        <w:rPr>
          <w:rFonts w:hint="eastAsia" w:ascii="宋体" w:hAnsi="宋体" w:cs="宋体"/>
          <w:color w:val="auto"/>
          <w:szCs w:val="21"/>
          <w:highlight w:val="none"/>
        </w:rPr>
      </w:pPr>
    </w:p>
    <w:p w14:paraId="12F14112">
      <w:pPr>
        <w:keepNext w:val="0"/>
        <w:keepLines w:val="0"/>
        <w:pageBreakBefore w:val="0"/>
        <w:widowControl w:val="0"/>
        <w:kinsoku/>
        <w:wordWrap/>
        <w:overflowPunct/>
        <w:topLinePunct w:val="0"/>
        <w:autoSpaceDE/>
        <w:autoSpaceDN/>
        <w:bidi w:val="0"/>
        <w:adjustRightInd/>
        <w:spacing w:line="400" w:lineRule="exact"/>
        <w:ind w:left="540"/>
        <w:textAlignment w:val="auto"/>
        <w:rPr>
          <w:rFonts w:hint="eastAsia" w:ascii="宋体" w:hAnsi="宋体" w:cs="宋体"/>
          <w:color w:val="auto"/>
          <w:szCs w:val="21"/>
          <w:highlight w:val="none"/>
        </w:rPr>
      </w:pPr>
      <w:r>
        <w:rPr>
          <w:rFonts w:hint="eastAsia" w:ascii="宋体" w:hAnsi="宋体" w:cs="宋体"/>
          <w:color w:val="auto"/>
          <w:szCs w:val="21"/>
          <w:highlight w:val="none"/>
        </w:rPr>
        <w:t>附件：法定代表人有效身份证正反面复印件</w:t>
      </w:r>
    </w:p>
    <w:p w14:paraId="613C3A83">
      <w:pPr>
        <w:keepNext w:val="0"/>
        <w:keepLines w:val="0"/>
        <w:pageBreakBefore w:val="0"/>
        <w:widowControl w:val="0"/>
        <w:kinsoku/>
        <w:wordWrap/>
        <w:overflowPunct/>
        <w:topLinePunct w:val="0"/>
        <w:autoSpaceDE/>
        <w:autoSpaceDN/>
        <w:bidi w:val="0"/>
        <w:adjustRightInd/>
        <w:spacing w:line="400" w:lineRule="exact"/>
        <w:ind w:left="540"/>
        <w:textAlignment w:val="auto"/>
        <w:rPr>
          <w:rFonts w:hint="eastAsia" w:ascii="宋体" w:hAnsi="宋体" w:cs="宋体"/>
          <w:color w:val="auto"/>
          <w:szCs w:val="21"/>
          <w:highlight w:val="none"/>
        </w:rPr>
      </w:pPr>
    </w:p>
    <w:p w14:paraId="0A668FDC">
      <w:pPr>
        <w:keepNext w:val="0"/>
        <w:keepLines w:val="0"/>
        <w:pageBreakBefore w:val="0"/>
        <w:widowControl w:val="0"/>
        <w:kinsoku/>
        <w:wordWrap/>
        <w:overflowPunct/>
        <w:topLinePunct w:val="0"/>
        <w:autoSpaceDE/>
        <w:autoSpaceDN/>
        <w:bidi w:val="0"/>
        <w:adjustRightInd/>
        <w:spacing w:line="400" w:lineRule="exact"/>
        <w:ind w:right="420" w:firstLine="4620" w:firstLineChars="2200"/>
        <w:textAlignment w:val="auto"/>
        <w:rPr>
          <w:rFonts w:hint="eastAsia" w:ascii="宋体" w:hAnsi="宋体" w:cs="宋体"/>
          <w:color w:val="auto"/>
          <w:szCs w:val="21"/>
          <w:highlight w:val="none"/>
        </w:rPr>
      </w:pPr>
      <w:r>
        <w:rPr>
          <w:rFonts w:hint="eastAsia" w:ascii="宋体" w:hAnsi="宋体" w:cs="宋体"/>
          <w:color w:val="auto"/>
          <w:szCs w:val="21"/>
          <w:highlight w:val="none"/>
        </w:rPr>
        <w:t>投标人名称（电子签章）</w:t>
      </w:r>
      <w:r>
        <w:rPr>
          <w:rFonts w:hint="eastAsia" w:ascii="宋体" w:hAnsi="宋体" w:cs="宋体"/>
          <w:color w:val="auto"/>
          <w:szCs w:val="21"/>
          <w:highlight w:val="none"/>
          <w:lang w:eastAsia="zh-CN"/>
        </w:rPr>
        <w:t>：</w:t>
      </w:r>
      <w:r>
        <w:rPr>
          <w:rFonts w:hint="eastAsia" w:ascii="宋体" w:hAnsi="宋体" w:cs="宋体"/>
          <w:color w:val="auto"/>
          <w:spacing w:val="20"/>
          <w:szCs w:val="21"/>
          <w:highlight w:val="none"/>
          <w:u w:val="single"/>
        </w:rPr>
        <w:t xml:space="preserve">            </w:t>
      </w:r>
      <w:r>
        <w:rPr>
          <w:rFonts w:hint="eastAsia" w:ascii="宋体" w:hAnsi="宋体" w:cs="宋体"/>
          <w:color w:val="auto"/>
          <w:spacing w:val="20"/>
          <w:szCs w:val="21"/>
          <w:highlight w:val="none"/>
        </w:rPr>
        <w:t xml:space="preserve"> </w:t>
      </w:r>
    </w:p>
    <w:p w14:paraId="523E8151">
      <w:pPr>
        <w:keepNext w:val="0"/>
        <w:keepLines w:val="0"/>
        <w:pageBreakBefore w:val="0"/>
        <w:widowControl w:val="0"/>
        <w:kinsoku/>
        <w:wordWrap/>
        <w:overflowPunct/>
        <w:topLinePunct w:val="0"/>
        <w:autoSpaceDE/>
        <w:autoSpaceDN/>
        <w:bidi w:val="0"/>
        <w:adjustRightInd/>
        <w:snapToGrid w:val="0"/>
        <w:spacing w:before="120" w:beforeLines="50" w:after="50" w:line="400" w:lineRule="exact"/>
        <w:ind w:left="540" w:right="420"/>
        <w:jc w:val="right"/>
        <w:textAlignment w:val="auto"/>
        <w:rPr>
          <w:rFonts w:hint="eastAsia" w:ascii="宋体" w:hAnsi="宋体" w:cs="宋体"/>
          <w:color w:val="auto"/>
          <w:szCs w:val="21"/>
          <w:highlight w:val="none"/>
        </w:rPr>
      </w:pP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月</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日</w:t>
      </w:r>
    </w:p>
    <w:p w14:paraId="077ACB9E">
      <w:pPr>
        <w:keepNext w:val="0"/>
        <w:keepLines w:val="0"/>
        <w:pageBreakBefore w:val="0"/>
        <w:widowControl w:val="0"/>
        <w:kinsoku/>
        <w:wordWrap/>
        <w:overflowPunct/>
        <w:topLinePunct w:val="0"/>
        <w:autoSpaceDE/>
        <w:autoSpaceDN/>
        <w:bidi w:val="0"/>
        <w:adjustRightInd/>
        <w:snapToGrid w:val="0"/>
        <w:spacing w:before="120" w:beforeLines="50" w:after="50" w:line="400" w:lineRule="exact"/>
        <w:jc w:val="center"/>
        <w:textAlignment w:val="auto"/>
        <w:rPr>
          <w:rFonts w:hint="eastAsia" w:ascii="宋体" w:hAnsi="宋体" w:cs="宋体"/>
          <w:b/>
          <w:color w:val="auto"/>
          <w:szCs w:val="21"/>
          <w:highlight w:val="none"/>
        </w:rPr>
      </w:pPr>
    </w:p>
    <w:p w14:paraId="69E3DC53">
      <w:pPr>
        <w:keepNext w:val="0"/>
        <w:keepLines w:val="0"/>
        <w:pageBreakBefore w:val="0"/>
        <w:widowControl w:val="0"/>
        <w:kinsoku/>
        <w:wordWrap/>
        <w:overflowPunct/>
        <w:topLinePunct w:val="0"/>
        <w:autoSpaceDE/>
        <w:autoSpaceDN/>
        <w:bidi w:val="0"/>
        <w:adjustRightInd/>
        <w:snapToGrid w:val="0"/>
        <w:spacing w:before="120" w:beforeLines="50" w:after="50" w:line="400" w:lineRule="exact"/>
        <w:jc w:val="left"/>
        <w:textAlignment w:val="auto"/>
        <w:rPr>
          <w:rFonts w:hint="eastAsia" w:ascii="宋体" w:hAnsi="宋体" w:cs="宋体"/>
          <w:b/>
          <w:color w:val="auto"/>
          <w:szCs w:val="21"/>
          <w:highlight w:val="none"/>
        </w:rPr>
      </w:pPr>
      <w:r>
        <w:rPr>
          <w:rFonts w:hint="eastAsia" w:ascii="宋体" w:hAnsi="宋体" w:cs="宋体"/>
          <w:color w:val="auto"/>
          <w:szCs w:val="21"/>
          <w:highlight w:val="none"/>
        </w:rPr>
        <w:t>注：自然人投标的无需提供</w:t>
      </w:r>
    </w:p>
    <w:p w14:paraId="72B25B63">
      <w:pPr>
        <w:keepNext w:val="0"/>
        <w:keepLines w:val="0"/>
        <w:pageBreakBefore w:val="0"/>
        <w:widowControl w:val="0"/>
        <w:kinsoku/>
        <w:wordWrap/>
        <w:overflowPunct/>
        <w:topLinePunct w:val="0"/>
        <w:autoSpaceDE/>
        <w:autoSpaceDN/>
        <w:bidi w:val="0"/>
        <w:adjustRightInd/>
        <w:snapToGrid w:val="0"/>
        <w:spacing w:before="120" w:beforeLines="50" w:after="50" w:line="400" w:lineRule="exact"/>
        <w:jc w:val="left"/>
        <w:textAlignment w:val="auto"/>
        <w:rPr>
          <w:rFonts w:hint="eastAsia" w:ascii="宋体" w:hAnsi="宋体" w:cs="宋体"/>
          <w:b/>
          <w:color w:val="auto"/>
          <w:sz w:val="24"/>
          <w:szCs w:val="20"/>
          <w:highlight w:val="none"/>
        </w:rPr>
      </w:pPr>
      <w:r>
        <w:rPr>
          <w:rFonts w:hint="eastAsia" w:ascii="宋体" w:hAnsi="宋体" w:cs="宋体"/>
          <w:b/>
          <w:color w:val="auto"/>
          <w:sz w:val="24"/>
          <w:highlight w:val="none"/>
        </w:rPr>
        <w:br w:type="page"/>
      </w:r>
      <w:r>
        <w:rPr>
          <w:rFonts w:hint="eastAsia" w:ascii="宋体" w:hAnsi="宋体" w:cs="宋体"/>
          <w:b/>
          <w:color w:val="auto"/>
          <w:sz w:val="24"/>
          <w:highlight w:val="none"/>
        </w:rPr>
        <w:t>4.授权委托书格式</w:t>
      </w:r>
    </w:p>
    <w:p w14:paraId="06DA41B4">
      <w:pPr>
        <w:snapToGrid w:val="0"/>
        <w:spacing w:before="120" w:beforeLines="50" w:after="50"/>
        <w:jc w:val="center"/>
        <w:rPr>
          <w:rFonts w:hint="eastAsia" w:ascii="宋体" w:hAnsi="宋体" w:cs="宋体"/>
          <w:b/>
          <w:bCs/>
          <w:color w:val="auto"/>
          <w:sz w:val="30"/>
          <w:szCs w:val="30"/>
          <w:highlight w:val="none"/>
        </w:rPr>
      </w:pPr>
      <w:r>
        <w:rPr>
          <w:rFonts w:hint="eastAsia" w:ascii="宋体" w:hAnsi="宋体" w:cs="宋体"/>
          <w:b/>
          <w:bCs/>
          <w:color w:val="auto"/>
          <w:sz w:val="30"/>
          <w:szCs w:val="30"/>
          <w:highlight w:val="none"/>
        </w:rPr>
        <w:t>授权委托书</w:t>
      </w:r>
    </w:p>
    <w:p w14:paraId="55987356">
      <w:pPr>
        <w:snapToGrid w:val="0"/>
        <w:spacing w:before="120" w:beforeLines="50" w:after="50"/>
        <w:jc w:val="center"/>
        <w:rPr>
          <w:rFonts w:hint="eastAsia" w:ascii="宋体" w:hAnsi="宋体" w:cs="宋体"/>
          <w:b/>
          <w:color w:val="auto"/>
          <w:sz w:val="32"/>
          <w:szCs w:val="32"/>
          <w:highlight w:val="none"/>
        </w:rPr>
      </w:pPr>
      <w:r>
        <w:rPr>
          <w:rFonts w:hint="eastAsia" w:ascii="宋体" w:hAnsi="宋体" w:cs="宋体"/>
          <w:b/>
          <w:color w:val="auto"/>
          <w:sz w:val="32"/>
          <w:szCs w:val="32"/>
          <w:highlight w:val="none"/>
        </w:rPr>
        <w:t>（非联合体投标格式）</w:t>
      </w:r>
    </w:p>
    <w:p w14:paraId="1B2F3697">
      <w:pPr>
        <w:snapToGrid w:val="0"/>
        <w:spacing w:before="120" w:beforeLines="50" w:after="50"/>
        <w:jc w:val="center"/>
        <w:rPr>
          <w:rFonts w:hint="eastAsia" w:ascii="宋体" w:hAnsi="宋体" w:cs="宋体"/>
          <w:b/>
          <w:color w:val="auto"/>
          <w:sz w:val="24"/>
          <w:highlight w:val="none"/>
        </w:rPr>
      </w:pPr>
      <w:r>
        <w:rPr>
          <w:rFonts w:hint="eastAsia" w:ascii="宋体" w:hAnsi="宋体" w:cs="宋体"/>
          <w:b/>
          <w:color w:val="auto"/>
          <w:sz w:val="32"/>
          <w:szCs w:val="32"/>
          <w:highlight w:val="none"/>
        </w:rPr>
        <w:t>（如有委托时）</w:t>
      </w:r>
    </w:p>
    <w:p w14:paraId="729FCF61">
      <w:pPr>
        <w:keepNext w:val="0"/>
        <w:keepLines w:val="0"/>
        <w:pageBreakBefore w:val="0"/>
        <w:widowControl w:val="0"/>
        <w:kinsoku/>
        <w:wordWrap/>
        <w:overflowPunct/>
        <w:topLinePunct w:val="0"/>
        <w:autoSpaceDE/>
        <w:autoSpaceDN/>
        <w:bidi w:val="0"/>
        <w:adjustRightInd/>
        <w:spacing w:line="400" w:lineRule="exact"/>
        <w:contextualSpacing/>
        <w:textAlignment w:val="auto"/>
        <w:rPr>
          <w:rFonts w:hint="eastAsia" w:ascii="宋体" w:hAnsi="宋体" w:cs="宋体"/>
          <w:b/>
          <w:bCs/>
          <w:color w:val="auto"/>
          <w:szCs w:val="21"/>
          <w:highlight w:val="none"/>
        </w:rPr>
      </w:pPr>
      <w:r>
        <w:rPr>
          <w:rFonts w:hint="eastAsia" w:ascii="宋体" w:hAnsi="宋体" w:cs="宋体"/>
          <w:bCs/>
          <w:color w:val="auto"/>
          <w:szCs w:val="21"/>
          <w:highlight w:val="none"/>
        </w:rPr>
        <w:t>致：</w:t>
      </w:r>
      <w:r>
        <w:rPr>
          <w:rFonts w:hint="eastAsia" w:ascii="宋体" w:hAnsi="宋体" w:cs="宋体"/>
          <w:color w:val="auto"/>
          <w:szCs w:val="21"/>
          <w:highlight w:val="none"/>
          <w:u w:val="single"/>
        </w:rPr>
        <w:t>采购人名称</w:t>
      </w:r>
    </w:p>
    <w:p w14:paraId="2C7125AE">
      <w:pPr>
        <w:keepNext w:val="0"/>
        <w:keepLines w:val="0"/>
        <w:pageBreakBefore w:val="0"/>
        <w:widowControl w:val="0"/>
        <w:kinsoku/>
        <w:wordWrap/>
        <w:overflowPunct/>
        <w:topLinePunct w:val="0"/>
        <w:autoSpaceDE/>
        <w:autoSpaceDN/>
        <w:bidi w:val="0"/>
        <w:adjustRightInd/>
        <w:spacing w:line="400" w:lineRule="exact"/>
        <w:ind w:firstLine="495" w:firstLineChars="236"/>
        <w:contextualSpacing/>
        <w:textAlignment w:val="auto"/>
        <w:rPr>
          <w:rFonts w:hint="eastAsia" w:ascii="宋体" w:hAnsi="宋体" w:cs="宋体"/>
          <w:color w:val="auto"/>
          <w:szCs w:val="21"/>
          <w:highlight w:val="none"/>
        </w:rPr>
      </w:pPr>
      <w:r>
        <w:rPr>
          <w:rFonts w:hint="eastAsia" w:ascii="宋体" w:hAnsi="宋体" w:cs="宋体"/>
          <w:color w:val="auto"/>
          <w:szCs w:val="21"/>
          <w:highlight w:val="none"/>
        </w:rPr>
        <w:t>我</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（姓名）系</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（投标人名称）的法定代表人，现授权委托</w:t>
      </w:r>
      <w:r>
        <w:rPr>
          <w:rFonts w:hint="eastAsia" w:ascii="宋体" w:hAnsi="宋体" w:cs="宋体"/>
          <w:color w:val="auto"/>
          <w:szCs w:val="21"/>
          <w:highlight w:val="none"/>
          <w:u w:val="single"/>
        </w:rPr>
        <w:t xml:space="preserve">              （姓名）</w:t>
      </w:r>
      <w:r>
        <w:rPr>
          <w:rFonts w:hint="eastAsia" w:ascii="宋体" w:hAnsi="宋体" w:cs="宋体"/>
          <w:color w:val="auto"/>
          <w:szCs w:val="21"/>
          <w:highlight w:val="none"/>
        </w:rPr>
        <w:t>以我方的名义参加</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项目的投标活动，并代表我方全权办理针对上述项目的所有采购程序和环节的具体事务和签署相关文件。</w:t>
      </w:r>
    </w:p>
    <w:p w14:paraId="306A6CA8">
      <w:pPr>
        <w:keepNext w:val="0"/>
        <w:keepLines w:val="0"/>
        <w:pageBreakBefore w:val="0"/>
        <w:widowControl w:val="0"/>
        <w:kinsoku/>
        <w:wordWrap/>
        <w:overflowPunct/>
        <w:topLinePunct w:val="0"/>
        <w:autoSpaceDE/>
        <w:autoSpaceDN/>
        <w:bidi w:val="0"/>
        <w:adjustRightInd/>
        <w:spacing w:line="400" w:lineRule="exact"/>
        <w:contextualSpacing/>
        <w:textAlignment w:val="auto"/>
        <w:rPr>
          <w:rFonts w:hint="eastAsia" w:ascii="宋体" w:hAnsi="宋体" w:cs="宋体"/>
          <w:color w:val="auto"/>
          <w:szCs w:val="21"/>
          <w:highlight w:val="none"/>
        </w:rPr>
      </w:pPr>
      <w:r>
        <w:rPr>
          <w:rFonts w:hint="eastAsia" w:ascii="宋体" w:hAnsi="宋体" w:cs="宋体"/>
          <w:color w:val="auto"/>
          <w:szCs w:val="21"/>
          <w:highlight w:val="none"/>
        </w:rPr>
        <w:t xml:space="preserve">    我方对委托代理人的签字或者电子签名事项负全部责任。</w:t>
      </w:r>
    </w:p>
    <w:p w14:paraId="198AFB1F">
      <w:pPr>
        <w:keepNext w:val="0"/>
        <w:keepLines w:val="0"/>
        <w:pageBreakBefore w:val="0"/>
        <w:widowControl w:val="0"/>
        <w:kinsoku/>
        <w:wordWrap/>
        <w:overflowPunct/>
        <w:topLinePunct w:val="0"/>
        <w:autoSpaceDE/>
        <w:autoSpaceDN/>
        <w:bidi w:val="0"/>
        <w:adjustRightInd/>
        <w:spacing w:line="400" w:lineRule="exact"/>
        <w:ind w:firstLine="480"/>
        <w:contextualSpacing/>
        <w:textAlignment w:val="auto"/>
        <w:rPr>
          <w:rFonts w:hint="eastAsia" w:ascii="宋体" w:hAnsi="宋体" w:cs="宋体"/>
          <w:color w:val="auto"/>
          <w:szCs w:val="21"/>
          <w:highlight w:val="none"/>
        </w:rPr>
      </w:pPr>
      <w:r>
        <w:rPr>
          <w:rFonts w:hint="eastAsia" w:ascii="宋体" w:hAnsi="宋体" w:cs="宋体"/>
          <w:color w:val="auto"/>
          <w:szCs w:val="21"/>
          <w:highlight w:val="none"/>
          <w:u w:val="single"/>
        </w:rPr>
        <w:t>本授权书自签署之日起生效，在撤销授权的书面通知以前，本授权书一直有效。委托代理人在授权书有效期内签署的所有文件不因授权的撤销而失效。</w:t>
      </w:r>
    </w:p>
    <w:p w14:paraId="229B9B48">
      <w:pPr>
        <w:keepNext w:val="0"/>
        <w:keepLines w:val="0"/>
        <w:pageBreakBefore w:val="0"/>
        <w:widowControl w:val="0"/>
        <w:kinsoku/>
        <w:wordWrap/>
        <w:overflowPunct/>
        <w:topLinePunct w:val="0"/>
        <w:autoSpaceDE/>
        <w:autoSpaceDN/>
        <w:bidi w:val="0"/>
        <w:adjustRightInd/>
        <w:spacing w:line="400" w:lineRule="exact"/>
        <w:ind w:firstLine="480"/>
        <w:contextualSpacing/>
        <w:textAlignment w:val="auto"/>
        <w:rPr>
          <w:rFonts w:hint="eastAsia" w:ascii="宋体" w:hAnsi="宋体" w:cs="宋体"/>
          <w:color w:val="auto"/>
          <w:szCs w:val="21"/>
          <w:highlight w:val="none"/>
        </w:rPr>
      </w:pPr>
      <w:r>
        <w:rPr>
          <w:rFonts w:hint="eastAsia" w:ascii="宋体" w:hAnsi="宋体" w:cs="宋体"/>
          <w:color w:val="auto"/>
          <w:szCs w:val="21"/>
          <w:highlight w:val="none"/>
        </w:rPr>
        <w:t>委托代理人无转委托权，特此委托。</w:t>
      </w:r>
    </w:p>
    <w:p w14:paraId="40511309">
      <w:pPr>
        <w:keepNext w:val="0"/>
        <w:keepLines w:val="0"/>
        <w:pageBreakBefore w:val="0"/>
        <w:widowControl w:val="0"/>
        <w:kinsoku/>
        <w:wordWrap/>
        <w:overflowPunct/>
        <w:topLinePunct w:val="0"/>
        <w:autoSpaceDE/>
        <w:autoSpaceDN/>
        <w:bidi w:val="0"/>
        <w:adjustRightInd/>
        <w:spacing w:line="400" w:lineRule="exact"/>
        <w:ind w:firstLine="480"/>
        <w:contextualSpacing/>
        <w:textAlignment w:val="auto"/>
        <w:rPr>
          <w:rFonts w:hint="eastAsia" w:ascii="宋体" w:hAnsi="宋体" w:cs="宋体"/>
          <w:color w:val="auto"/>
          <w:szCs w:val="21"/>
          <w:highlight w:val="none"/>
        </w:rPr>
      </w:pPr>
      <w:r>
        <w:rPr>
          <w:rFonts w:hint="eastAsia" w:ascii="宋体" w:hAnsi="宋体" w:cs="宋体"/>
          <w:color w:val="auto"/>
          <w:szCs w:val="21"/>
          <w:highlight w:val="none"/>
        </w:rPr>
        <w:t>附：法定代表人身份证明及委托代理人有效身份证正反面复印件</w:t>
      </w:r>
    </w:p>
    <w:p w14:paraId="311F1D6D">
      <w:pPr>
        <w:keepNext w:val="0"/>
        <w:keepLines w:val="0"/>
        <w:pageBreakBefore w:val="0"/>
        <w:widowControl w:val="0"/>
        <w:kinsoku/>
        <w:wordWrap/>
        <w:overflowPunct/>
        <w:topLinePunct w:val="0"/>
        <w:autoSpaceDE/>
        <w:autoSpaceDN/>
        <w:bidi w:val="0"/>
        <w:adjustRightInd/>
        <w:spacing w:line="400" w:lineRule="exact"/>
        <w:contextualSpacing/>
        <w:textAlignment w:val="auto"/>
        <w:rPr>
          <w:rFonts w:hint="eastAsia" w:ascii="宋体" w:hAnsi="宋体" w:cs="宋体"/>
          <w:color w:val="auto"/>
          <w:szCs w:val="21"/>
          <w:highlight w:val="none"/>
        </w:rPr>
      </w:pPr>
    </w:p>
    <w:p w14:paraId="6262F903">
      <w:pPr>
        <w:keepNext w:val="0"/>
        <w:keepLines w:val="0"/>
        <w:pageBreakBefore w:val="0"/>
        <w:widowControl w:val="0"/>
        <w:kinsoku/>
        <w:wordWrap/>
        <w:overflowPunct/>
        <w:topLinePunct w:val="0"/>
        <w:autoSpaceDE/>
        <w:autoSpaceDN/>
        <w:bidi w:val="0"/>
        <w:adjustRightInd/>
        <w:spacing w:line="400" w:lineRule="exact"/>
        <w:contextualSpacing/>
        <w:textAlignment w:val="auto"/>
        <w:rPr>
          <w:rFonts w:hint="eastAsia" w:ascii="宋体" w:hAnsi="宋体" w:cs="宋体"/>
          <w:color w:val="auto"/>
          <w:szCs w:val="21"/>
          <w:highlight w:val="none"/>
        </w:rPr>
      </w:pPr>
      <w:r>
        <w:rPr>
          <w:rFonts w:hint="eastAsia" w:ascii="宋体" w:hAnsi="宋体" w:cs="宋体"/>
          <w:color w:val="auto"/>
          <w:szCs w:val="21"/>
          <w:highlight w:val="none"/>
        </w:rPr>
        <w:t>委托代理人（签字或者电子签名）：</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w:t>
      </w:r>
    </w:p>
    <w:p w14:paraId="1A6C19E2">
      <w:pPr>
        <w:keepNext w:val="0"/>
        <w:keepLines w:val="0"/>
        <w:pageBreakBefore w:val="0"/>
        <w:widowControl w:val="0"/>
        <w:kinsoku/>
        <w:wordWrap/>
        <w:overflowPunct/>
        <w:topLinePunct w:val="0"/>
        <w:autoSpaceDE/>
        <w:autoSpaceDN/>
        <w:bidi w:val="0"/>
        <w:adjustRightInd/>
        <w:spacing w:line="400" w:lineRule="exact"/>
        <w:contextualSpacing/>
        <w:textAlignment w:val="auto"/>
        <w:rPr>
          <w:rFonts w:hint="eastAsia" w:ascii="宋体" w:hAnsi="宋体" w:cs="宋体"/>
          <w:color w:val="auto"/>
          <w:szCs w:val="21"/>
          <w:highlight w:val="none"/>
          <w:u w:val="single"/>
        </w:rPr>
      </w:pPr>
      <w:r>
        <w:rPr>
          <w:rFonts w:hint="eastAsia" w:ascii="宋体" w:hAnsi="宋体" w:cs="宋体"/>
          <w:color w:val="auto"/>
          <w:szCs w:val="21"/>
          <w:highlight w:val="none"/>
        </w:rPr>
        <w:t>委托代理人身份证号码：</w:t>
      </w:r>
      <w:r>
        <w:rPr>
          <w:rFonts w:hint="eastAsia" w:ascii="宋体" w:hAnsi="宋体" w:cs="宋体"/>
          <w:color w:val="auto"/>
          <w:szCs w:val="21"/>
          <w:highlight w:val="none"/>
          <w:u w:val="single"/>
        </w:rPr>
        <w:t xml:space="preserve">                             </w:t>
      </w:r>
    </w:p>
    <w:p w14:paraId="7D47036A">
      <w:pPr>
        <w:keepNext w:val="0"/>
        <w:keepLines w:val="0"/>
        <w:pageBreakBefore w:val="0"/>
        <w:widowControl w:val="0"/>
        <w:kinsoku/>
        <w:wordWrap/>
        <w:overflowPunct/>
        <w:topLinePunct w:val="0"/>
        <w:autoSpaceDE/>
        <w:autoSpaceDN/>
        <w:bidi w:val="0"/>
        <w:adjustRightInd/>
        <w:spacing w:line="400" w:lineRule="exact"/>
        <w:contextualSpacing/>
        <w:textAlignment w:val="auto"/>
        <w:rPr>
          <w:rFonts w:hint="eastAsia" w:ascii="宋体" w:hAnsi="宋体" w:cs="宋体"/>
          <w:color w:val="auto"/>
          <w:szCs w:val="21"/>
          <w:highlight w:val="none"/>
          <w:u w:val="single"/>
        </w:rPr>
      </w:pPr>
      <w:r>
        <w:rPr>
          <w:rFonts w:hint="eastAsia" w:ascii="宋体" w:hAnsi="宋体" w:cs="宋体"/>
          <w:color w:val="auto"/>
          <w:szCs w:val="21"/>
          <w:highlight w:val="none"/>
        </w:rPr>
        <w:t>法定代表人（签字或者盖章或者电子签名）：</w:t>
      </w:r>
      <w:r>
        <w:rPr>
          <w:rFonts w:hint="eastAsia" w:ascii="宋体" w:hAnsi="宋体" w:cs="宋体"/>
          <w:color w:val="auto"/>
          <w:szCs w:val="21"/>
          <w:highlight w:val="none"/>
          <w:u w:val="single"/>
        </w:rPr>
        <w:t xml:space="preserve">              </w:t>
      </w:r>
    </w:p>
    <w:p w14:paraId="414DB9B8">
      <w:pPr>
        <w:keepNext w:val="0"/>
        <w:keepLines w:val="0"/>
        <w:pageBreakBefore w:val="0"/>
        <w:widowControl w:val="0"/>
        <w:kinsoku/>
        <w:wordWrap/>
        <w:overflowPunct/>
        <w:topLinePunct w:val="0"/>
        <w:autoSpaceDE/>
        <w:autoSpaceDN/>
        <w:bidi w:val="0"/>
        <w:adjustRightInd/>
        <w:spacing w:line="400" w:lineRule="exact"/>
        <w:contextualSpacing/>
        <w:textAlignment w:val="auto"/>
        <w:rPr>
          <w:rFonts w:hint="eastAsia" w:ascii="宋体" w:hAnsi="宋体" w:cs="宋体"/>
          <w:color w:val="auto"/>
          <w:szCs w:val="21"/>
          <w:highlight w:val="none"/>
        </w:rPr>
      </w:pPr>
      <w:r>
        <w:rPr>
          <w:rFonts w:hint="eastAsia" w:ascii="宋体" w:hAnsi="宋体" w:cs="宋体"/>
          <w:color w:val="auto"/>
          <w:szCs w:val="21"/>
          <w:highlight w:val="none"/>
        </w:rPr>
        <w:t xml:space="preserve"> </w:t>
      </w:r>
    </w:p>
    <w:p w14:paraId="48EB6A0F">
      <w:pPr>
        <w:keepNext w:val="0"/>
        <w:keepLines w:val="0"/>
        <w:pageBreakBefore w:val="0"/>
        <w:widowControl w:val="0"/>
        <w:kinsoku/>
        <w:wordWrap/>
        <w:overflowPunct/>
        <w:topLinePunct w:val="0"/>
        <w:autoSpaceDE/>
        <w:autoSpaceDN/>
        <w:bidi w:val="0"/>
        <w:adjustRightInd/>
        <w:spacing w:line="400" w:lineRule="exact"/>
        <w:contextualSpacing/>
        <w:jc w:val="center"/>
        <w:textAlignment w:val="auto"/>
        <w:rPr>
          <w:rFonts w:hint="eastAsia" w:ascii="宋体" w:hAnsi="宋体" w:cs="宋体"/>
          <w:color w:val="auto"/>
          <w:szCs w:val="21"/>
          <w:highlight w:val="none"/>
        </w:rPr>
      </w:pPr>
      <w:r>
        <w:rPr>
          <w:rFonts w:hint="eastAsia" w:ascii="宋体" w:hAnsi="宋体" w:cs="宋体"/>
          <w:color w:val="auto"/>
          <w:szCs w:val="21"/>
          <w:highlight w:val="none"/>
        </w:rPr>
        <w:t xml:space="preserve">                               投标人名称（电子签章）：</w:t>
      </w:r>
      <w:r>
        <w:rPr>
          <w:rFonts w:hint="eastAsia" w:ascii="宋体" w:hAnsi="宋体" w:cs="宋体"/>
          <w:color w:val="auto"/>
          <w:spacing w:val="20"/>
          <w:szCs w:val="21"/>
          <w:highlight w:val="none"/>
          <w:u w:val="single"/>
        </w:rPr>
        <w:t xml:space="preserve">            </w:t>
      </w:r>
      <w:r>
        <w:rPr>
          <w:rFonts w:hint="eastAsia" w:ascii="宋体" w:hAnsi="宋体" w:cs="宋体"/>
          <w:color w:val="auto"/>
          <w:spacing w:val="20"/>
          <w:szCs w:val="21"/>
          <w:highlight w:val="none"/>
        </w:rPr>
        <w:t xml:space="preserve"> </w:t>
      </w:r>
    </w:p>
    <w:p w14:paraId="46FEF2FA">
      <w:pPr>
        <w:keepNext w:val="0"/>
        <w:keepLines w:val="0"/>
        <w:pageBreakBefore w:val="0"/>
        <w:widowControl w:val="0"/>
        <w:kinsoku/>
        <w:wordWrap/>
        <w:overflowPunct/>
        <w:topLinePunct w:val="0"/>
        <w:autoSpaceDE/>
        <w:autoSpaceDN/>
        <w:bidi w:val="0"/>
        <w:adjustRightInd/>
        <w:snapToGrid w:val="0"/>
        <w:spacing w:before="120" w:beforeLines="50" w:after="50" w:line="400" w:lineRule="exact"/>
        <w:ind w:left="540" w:right="420"/>
        <w:jc w:val="right"/>
        <w:textAlignment w:val="auto"/>
        <w:rPr>
          <w:rFonts w:hint="eastAsia" w:ascii="宋体" w:hAnsi="宋体" w:cs="宋体"/>
          <w:color w:val="auto"/>
          <w:szCs w:val="21"/>
          <w:highlight w:val="none"/>
        </w:rPr>
      </w:pPr>
      <w:r>
        <w:rPr>
          <w:rFonts w:hint="eastAsia" w:ascii="宋体" w:hAnsi="宋体" w:cs="宋体"/>
          <w:color w:val="auto"/>
          <w:szCs w:val="21"/>
          <w:highlight w:val="none"/>
        </w:rPr>
        <w:t xml:space="preserve">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月</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日</w:t>
      </w:r>
    </w:p>
    <w:p w14:paraId="4952D0C1">
      <w:pPr>
        <w:keepNext w:val="0"/>
        <w:keepLines w:val="0"/>
        <w:pageBreakBefore w:val="0"/>
        <w:widowControl w:val="0"/>
        <w:kinsoku/>
        <w:wordWrap/>
        <w:overflowPunct/>
        <w:topLinePunct w:val="0"/>
        <w:autoSpaceDE/>
        <w:autoSpaceDN/>
        <w:bidi w:val="0"/>
        <w:adjustRightInd/>
        <w:spacing w:line="400" w:lineRule="exact"/>
        <w:contextualSpacing/>
        <w:jc w:val="center"/>
        <w:textAlignment w:val="auto"/>
        <w:rPr>
          <w:rFonts w:hint="eastAsia" w:ascii="宋体" w:hAnsi="宋体" w:cs="宋体"/>
          <w:color w:val="auto"/>
          <w:szCs w:val="21"/>
          <w:highlight w:val="none"/>
        </w:rPr>
      </w:pPr>
    </w:p>
    <w:p w14:paraId="05F6D9A5">
      <w:pPr>
        <w:keepNext w:val="0"/>
        <w:keepLines w:val="0"/>
        <w:pageBreakBefore w:val="0"/>
        <w:widowControl w:val="0"/>
        <w:kinsoku/>
        <w:wordWrap/>
        <w:overflowPunct/>
        <w:topLinePunct w:val="0"/>
        <w:autoSpaceDE/>
        <w:autoSpaceDN/>
        <w:bidi w:val="0"/>
        <w:adjustRightInd/>
        <w:spacing w:line="400" w:lineRule="exact"/>
        <w:contextualSpacing/>
        <w:textAlignment w:val="auto"/>
        <w:rPr>
          <w:rFonts w:hint="eastAsia" w:ascii="宋体" w:hAnsi="宋体" w:cs="宋体"/>
          <w:color w:val="auto"/>
          <w:szCs w:val="21"/>
          <w:highlight w:val="none"/>
        </w:rPr>
      </w:pPr>
      <w:r>
        <w:rPr>
          <w:rFonts w:hint="eastAsia" w:ascii="宋体" w:hAnsi="宋体" w:cs="宋体"/>
          <w:color w:val="auto"/>
          <w:szCs w:val="21"/>
          <w:highlight w:val="none"/>
        </w:rPr>
        <w:t>注：1.</w:t>
      </w:r>
      <w:bookmarkStart w:id="201" w:name="_Hlk65851555"/>
      <w:bookmarkStart w:id="202" w:name="_Hlk65851620"/>
      <w:r>
        <w:rPr>
          <w:rFonts w:hint="eastAsia" w:ascii="宋体" w:hAnsi="宋体" w:cs="宋体"/>
          <w:color w:val="auto"/>
          <w:szCs w:val="21"/>
          <w:highlight w:val="none"/>
        </w:rPr>
        <w:t>法定代表人必须在授权委托书上签字或者盖章或者电子签名，</w:t>
      </w:r>
      <w:bookmarkEnd w:id="201"/>
      <w:r>
        <w:rPr>
          <w:rFonts w:hint="eastAsia" w:ascii="宋体" w:hAnsi="宋体" w:cs="宋体"/>
          <w:color w:val="auto"/>
          <w:szCs w:val="21"/>
          <w:highlight w:val="none"/>
        </w:rPr>
        <w:t>委托代理人必须在授权委托书上签字或者电子签名，</w:t>
      </w:r>
      <w:r>
        <w:rPr>
          <w:rFonts w:hint="eastAsia" w:ascii="宋体" w:hAnsi="宋体" w:cs="宋体"/>
          <w:b/>
          <w:bCs/>
          <w:color w:val="auto"/>
          <w:szCs w:val="21"/>
          <w:highlight w:val="none"/>
        </w:rPr>
        <w:t>否则按无效投标处理</w:t>
      </w:r>
      <w:r>
        <w:rPr>
          <w:rFonts w:hint="eastAsia" w:ascii="宋体" w:hAnsi="宋体" w:cs="宋体"/>
          <w:color w:val="auto"/>
          <w:szCs w:val="21"/>
          <w:highlight w:val="none"/>
        </w:rPr>
        <w:t>；</w:t>
      </w:r>
      <w:bookmarkEnd w:id="202"/>
    </w:p>
    <w:p w14:paraId="062DD304">
      <w:pPr>
        <w:keepNext w:val="0"/>
        <w:keepLines w:val="0"/>
        <w:pageBreakBefore w:val="0"/>
        <w:widowControl w:val="0"/>
        <w:kinsoku/>
        <w:wordWrap/>
        <w:overflowPunct/>
        <w:topLinePunct w:val="0"/>
        <w:autoSpaceDE/>
        <w:autoSpaceDN/>
        <w:bidi w:val="0"/>
        <w:adjustRightInd/>
        <w:spacing w:line="400" w:lineRule="exact"/>
        <w:ind w:firstLine="420" w:firstLineChars="200"/>
        <w:contextualSpacing/>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2.法人、其他组织投标时“我方”是指“我单位”，自然人投标时“我方”是指“本人”。</w:t>
      </w:r>
    </w:p>
    <w:p w14:paraId="45AB6683">
      <w:pPr>
        <w:keepNext w:val="0"/>
        <w:keepLines w:val="0"/>
        <w:pageBreakBefore w:val="0"/>
        <w:widowControl w:val="0"/>
        <w:kinsoku/>
        <w:wordWrap/>
        <w:overflowPunct/>
        <w:topLinePunct w:val="0"/>
        <w:autoSpaceDE/>
        <w:autoSpaceDN/>
        <w:bidi w:val="0"/>
        <w:adjustRightInd/>
        <w:snapToGrid w:val="0"/>
        <w:spacing w:before="120" w:beforeLines="50" w:after="50" w:line="400" w:lineRule="exact"/>
        <w:ind w:firstLine="566" w:firstLineChars="236"/>
        <w:jc w:val="center"/>
        <w:textAlignment w:val="auto"/>
        <w:rPr>
          <w:rFonts w:hint="eastAsia" w:ascii="宋体" w:hAnsi="宋体" w:cs="宋体"/>
          <w:b/>
          <w:color w:val="auto"/>
          <w:sz w:val="30"/>
          <w:szCs w:val="30"/>
          <w:highlight w:val="none"/>
        </w:rPr>
      </w:pPr>
      <w:r>
        <w:rPr>
          <w:rFonts w:hint="eastAsia" w:ascii="宋体" w:hAnsi="宋体" w:cs="宋体"/>
          <w:color w:val="auto"/>
          <w:sz w:val="24"/>
          <w:highlight w:val="none"/>
        </w:rPr>
        <w:br w:type="page"/>
      </w:r>
      <w:r>
        <w:rPr>
          <w:rFonts w:hint="eastAsia" w:ascii="宋体" w:hAnsi="宋体" w:cs="宋体"/>
          <w:b/>
          <w:color w:val="auto"/>
          <w:sz w:val="30"/>
          <w:szCs w:val="30"/>
          <w:highlight w:val="none"/>
        </w:rPr>
        <w:t>授权委托书</w:t>
      </w:r>
    </w:p>
    <w:p w14:paraId="362017C2">
      <w:pPr>
        <w:snapToGrid w:val="0"/>
        <w:spacing w:before="120" w:beforeLines="50" w:after="50"/>
        <w:ind w:firstLine="758" w:firstLineChars="236"/>
        <w:jc w:val="center"/>
        <w:rPr>
          <w:rFonts w:hint="eastAsia" w:ascii="宋体" w:hAnsi="宋体" w:cs="宋体"/>
          <w:b/>
          <w:bCs/>
          <w:color w:val="auto"/>
          <w:sz w:val="32"/>
          <w:szCs w:val="32"/>
          <w:highlight w:val="none"/>
        </w:rPr>
      </w:pPr>
      <w:r>
        <w:rPr>
          <w:rFonts w:hint="eastAsia" w:ascii="宋体" w:hAnsi="宋体" w:cs="宋体"/>
          <w:b/>
          <w:bCs/>
          <w:color w:val="auto"/>
          <w:sz w:val="32"/>
          <w:szCs w:val="32"/>
          <w:highlight w:val="none"/>
        </w:rPr>
        <w:t>（联合体投标格式）</w:t>
      </w:r>
    </w:p>
    <w:p w14:paraId="069E05E7">
      <w:pPr>
        <w:snapToGrid w:val="0"/>
        <w:spacing w:before="120" w:beforeLines="50" w:after="50"/>
        <w:ind w:firstLine="758" w:firstLineChars="236"/>
        <w:jc w:val="center"/>
        <w:rPr>
          <w:rFonts w:hint="eastAsia" w:ascii="宋体" w:hAnsi="宋体" w:cs="宋体"/>
          <w:color w:val="auto"/>
          <w:sz w:val="24"/>
          <w:highlight w:val="none"/>
        </w:rPr>
      </w:pPr>
      <w:r>
        <w:rPr>
          <w:rFonts w:hint="eastAsia" w:ascii="宋体" w:hAnsi="宋体" w:cs="宋体"/>
          <w:b/>
          <w:bCs/>
          <w:color w:val="auto"/>
          <w:sz w:val="32"/>
          <w:szCs w:val="32"/>
          <w:highlight w:val="none"/>
        </w:rPr>
        <w:t>（如有委托时）</w:t>
      </w:r>
    </w:p>
    <w:p w14:paraId="1572FBC1">
      <w:pPr>
        <w:keepNext w:val="0"/>
        <w:keepLines w:val="0"/>
        <w:pageBreakBefore w:val="0"/>
        <w:widowControl w:val="0"/>
        <w:kinsoku/>
        <w:wordWrap/>
        <w:overflowPunct/>
        <w:topLinePunct w:val="0"/>
        <w:autoSpaceDE/>
        <w:autoSpaceDN/>
        <w:bidi w:val="0"/>
        <w:adjustRightInd/>
        <w:spacing w:line="400" w:lineRule="exact"/>
        <w:contextualSpacing/>
        <w:jc w:val="left"/>
        <w:textAlignment w:val="auto"/>
        <w:rPr>
          <w:rFonts w:hint="eastAsia" w:ascii="宋体" w:hAnsi="宋体" w:cs="宋体"/>
          <w:color w:val="auto"/>
          <w:szCs w:val="21"/>
          <w:highlight w:val="none"/>
        </w:rPr>
      </w:pPr>
      <w:r>
        <w:rPr>
          <w:rFonts w:hint="eastAsia" w:ascii="宋体" w:hAnsi="宋体" w:cs="宋体"/>
          <w:bCs/>
          <w:color w:val="auto"/>
          <w:szCs w:val="21"/>
          <w:highlight w:val="none"/>
        </w:rPr>
        <w:t>致：</w:t>
      </w:r>
      <w:r>
        <w:rPr>
          <w:rFonts w:hint="eastAsia" w:ascii="宋体" w:hAnsi="宋体" w:cs="宋体"/>
          <w:color w:val="auto"/>
          <w:szCs w:val="21"/>
          <w:highlight w:val="none"/>
          <w:u w:val="single"/>
        </w:rPr>
        <w:t>采购人名称</w:t>
      </w:r>
    </w:p>
    <w:p w14:paraId="7086490B">
      <w:pPr>
        <w:keepNext w:val="0"/>
        <w:keepLines w:val="0"/>
        <w:pageBreakBefore w:val="0"/>
        <w:widowControl w:val="0"/>
        <w:kinsoku/>
        <w:wordWrap/>
        <w:overflowPunct/>
        <w:topLinePunct w:val="0"/>
        <w:autoSpaceDE/>
        <w:autoSpaceDN/>
        <w:bidi w:val="0"/>
        <w:adjustRightInd/>
        <w:spacing w:line="400" w:lineRule="exact"/>
        <w:ind w:firstLine="495" w:firstLineChars="236"/>
        <w:contextualSpacing/>
        <w:textAlignment w:val="auto"/>
        <w:rPr>
          <w:rFonts w:hint="eastAsia" w:ascii="宋体" w:hAnsi="宋体" w:cs="宋体"/>
          <w:color w:val="auto"/>
          <w:szCs w:val="21"/>
          <w:highlight w:val="none"/>
        </w:rPr>
      </w:pPr>
      <w:r>
        <w:rPr>
          <w:rFonts w:hint="eastAsia" w:ascii="宋体" w:hAnsi="宋体" w:cs="宋体"/>
          <w:color w:val="auto"/>
          <w:szCs w:val="21"/>
          <w:highlight w:val="none"/>
        </w:rPr>
        <w:t xml:space="preserve">根据 </w:t>
      </w:r>
      <w:r>
        <w:rPr>
          <w:rFonts w:hint="eastAsia" w:ascii="宋体" w:hAnsi="宋体" w:cs="宋体"/>
          <w:color w:val="auto"/>
          <w:szCs w:val="21"/>
          <w:highlight w:val="none"/>
          <w:u w:val="single"/>
        </w:rPr>
        <w:t xml:space="preserve"> （牵头人名称）</w:t>
      </w:r>
      <w:r>
        <w:rPr>
          <w:rFonts w:hint="eastAsia" w:ascii="宋体" w:hAnsi="宋体" w:cs="宋体"/>
          <w:color w:val="auto"/>
          <w:szCs w:val="21"/>
          <w:highlight w:val="none"/>
        </w:rPr>
        <w:t>与</w:t>
      </w:r>
      <w:r>
        <w:rPr>
          <w:rFonts w:hint="eastAsia" w:ascii="宋体" w:hAnsi="宋体" w:cs="宋体"/>
          <w:color w:val="auto"/>
          <w:szCs w:val="21"/>
          <w:highlight w:val="none"/>
          <w:u w:val="single"/>
        </w:rPr>
        <w:t>（联合体其他成员名称）</w:t>
      </w:r>
      <w:r>
        <w:rPr>
          <w:rFonts w:hint="eastAsia" w:ascii="宋体" w:hAnsi="宋体" w:cs="宋体"/>
          <w:color w:val="auto"/>
          <w:szCs w:val="21"/>
          <w:highlight w:val="none"/>
        </w:rPr>
        <w:t>签订的《联合体投标协议书》的内容，</w:t>
      </w:r>
      <w:r>
        <w:rPr>
          <w:rFonts w:hint="eastAsia" w:ascii="宋体" w:hAnsi="宋体" w:cs="宋体"/>
          <w:color w:val="auto"/>
          <w:szCs w:val="21"/>
          <w:highlight w:val="none"/>
          <w:u w:val="single"/>
        </w:rPr>
        <w:t>（牵头人名称）</w:t>
      </w:r>
      <w:r>
        <w:rPr>
          <w:rFonts w:hint="eastAsia" w:ascii="宋体" w:hAnsi="宋体" w:cs="宋体"/>
          <w:color w:val="auto"/>
          <w:szCs w:val="21"/>
          <w:highlight w:val="none"/>
        </w:rPr>
        <w:t>的法定代表人</w:t>
      </w:r>
      <w:r>
        <w:rPr>
          <w:rFonts w:hint="eastAsia" w:ascii="宋体" w:hAnsi="宋体" w:cs="宋体"/>
          <w:color w:val="auto"/>
          <w:szCs w:val="21"/>
          <w:highlight w:val="none"/>
          <w:u w:val="single"/>
        </w:rPr>
        <w:t>（姓名）</w:t>
      </w:r>
      <w:r>
        <w:rPr>
          <w:rFonts w:hint="eastAsia" w:ascii="宋体" w:hAnsi="宋体" w:cs="宋体"/>
          <w:color w:val="auto"/>
          <w:szCs w:val="21"/>
          <w:highlight w:val="none"/>
        </w:rPr>
        <w:t>现授权委托</w:t>
      </w:r>
      <w:r>
        <w:rPr>
          <w:rFonts w:hint="eastAsia" w:ascii="宋体" w:hAnsi="宋体" w:cs="宋体"/>
          <w:color w:val="auto"/>
          <w:szCs w:val="21"/>
          <w:highlight w:val="none"/>
          <w:u w:val="single"/>
        </w:rPr>
        <w:t xml:space="preserve">          （姓名）</w:t>
      </w:r>
      <w:r>
        <w:rPr>
          <w:rFonts w:hint="eastAsia" w:ascii="宋体" w:hAnsi="宋体" w:cs="宋体"/>
          <w:color w:val="auto"/>
          <w:szCs w:val="21"/>
          <w:highlight w:val="none"/>
        </w:rPr>
        <w:t>以我方的名义参加</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项目的投标活动，并代表我方全权办理针对上述项目的所有采购程序和环节的具体事务和签署相关文件。</w:t>
      </w:r>
    </w:p>
    <w:p w14:paraId="5A66E7C5">
      <w:pPr>
        <w:keepNext w:val="0"/>
        <w:keepLines w:val="0"/>
        <w:pageBreakBefore w:val="0"/>
        <w:widowControl w:val="0"/>
        <w:kinsoku/>
        <w:wordWrap/>
        <w:overflowPunct/>
        <w:topLinePunct w:val="0"/>
        <w:autoSpaceDE/>
        <w:autoSpaceDN/>
        <w:bidi w:val="0"/>
        <w:adjustRightInd/>
        <w:spacing w:line="400" w:lineRule="exact"/>
        <w:ind w:firstLine="495" w:firstLineChars="236"/>
        <w:contextualSpacing/>
        <w:textAlignment w:val="auto"/>
        <w:rPr>
          <w:rFonts w:hint="eastAsia" w:ascii="宋体" w:hAnsi="宋体" w:cs="宋体"/>
          <w:color w:val="auto"/>
          <w:szCs w:val="21"/>
          <w:highlight w:val="none"/>
        </w:rPr>
      </w:pPr>
      <w:bookmarkStart w:id="203" w:name="_Hlk65852658"/>
      <w:r>
        <w:rPr>
          <w:rFonts w:hint="eastAsia" w:ascii="宋体" w:hAnsi="宋体" w:cs="宋体"/>
          <w:color w:val="auto"/>
          <w:szCs w:val="21"/>
          <w:highlight w:val="none"/>
        </w:rPr>
        <w:t>我方对委托代理人的签字或者电子签名事项负全部责任。</w:t>
      </w:r>
    </w:p>
    <w:p w14:paraId="5E960C2F">
      <w:pPr>
        <w:keepNext w:val="0"/>
        <w:keepLines w:val="0"/>
        <w:pageBreakBefore w:val="0"/>
        <w:widowControl w:val="0"/>
        <w:kinsoku/>
        <w:wordWrap/>
        <w:overflowPunct/>
        <w:topLinePunct w:val="0"/>
        <w:autoSpaceDE/>
        <w:autoSpaceDN/>
        <w:bidi w:val="0"/>
        <w:adjustRightInd/>
        <w:spacing w:line="400" w:lineRule="exact"/>
        <w:ind w:firstLine="495" w:firstLineChars="236"/>
        <w:contextualSpacing/>
        <w:textAlignment w:val="auto"/>
        <w:rPr>
          <w:rFonts w:hint="eastAsia" w:ascii="宋体" w:hAnsi="宋体" w:cs="宋体"/>
          <w:color w:val="auto"/>
          <w:szCs w:val="21"/>
          <w:highlight w:val="none"/>
        </w:rPr>
      </w:pPr>
      <w:r>
        <w:rPr>
          <w:rFonts w:hint="eastAsia" w:ascii="宋体" w:hAnsi="宋体" w:cs="宋体"/>
          <w:color w:val="auto"/>
          <w:szCs w:val="21"/>
          <w:highlight w:val="none"/>
        </w:rPr>
        <w:t>本授权书自签署之日起生效，在撤销授权的书面通知以前，本授权书一直有效。委托代理人在授权书有效期内签署的所有文件不因授权的撤销而失效。</w:t>
      </w:r>
    </w:p>
    <w:p w14:paraId="04419FF5">
      <w:pPr>
        <w:keepNext w:val="0"/>
        <w:keepLines w:val="0"/>
        <w:pageBreakBefore w:val="0"/>
        <w:widowControl w:val="0"/>
        <w:kinsoku/>
        <w:wordWrap/>
        <w:overflowPunct/>
        <w:topLinePunct w:val="0"/>
        <w:autoSpaceDE/>
        <w:autoSpaceDN/>
        <w:bidi w:val="0"/>
        <w:adjustRightInd/>
        <w:spacing w:line="400" w:lineRule="exact"/>
        <w:ind w:firstLine="495" w:firstLineChars="236"/>
        <w:contextualSpacing/>
        <w:textAlignment w:val="auto"/>
        <w:rPr>
          <w:rFonts w:hint="eastAsia" w:ascii="宋体" w:hAnsi="宋体" w:cs="宋体"/>
          <w:color w:val="auto"/>
          <w:szCs w:val="21"/>
          <w:highlight w:val="none"/>
        </w:rPr>
      </w:pPr>
      <w:r>
        <w:rPr>
          <w:rFonts w:hint="eastAsia" w:ascii="宋体" w:hAnsi="宋体" w:cs="宋体"/>
          <w:color w:val="auto"/>
          <w:szCs w:val="21"/>
          <w:highlight w:val="none"/>
        </w:rPr>
        <w:t>委托代理人无转委托权，特此委托。</w:t>
      </w:r>
    </w:p>
    <w:p w14:paraId="32340599">
      <w:pPr>
        <w:keepNext w:val="0"/>
        <w:keepLines w:val="0"/>
        <w:pageBreakBefore w:val="0"/>
        <w:widowControl w:val="0"/>
        <w:kinsoku/>
        <w:wordWrap/>
        <w:overflowPunct/>
        <w:topLinePunct w:val="0"/>
        <w:autoSpaceDE/>
        <w:autoSpaceDN/>
        <w:bidi w:val="0"/>
        <w:adjustRightInd/>
        <w:spacing w:line="400" w:lineRule="exact"/>
        <w:ind w:firstLine="495" w:firstLineChars="236"/>
        <w:contextualSpacing/>
        <w:textAlignment w:val="auto"/>
        <w:rPr>
          <w:rFonts w:hint="eastAsia" w:ascii="宋体" w:hAnsi="宋体" w:cs="宋体"/>
          <w:color w:val="auto"/>
          <w:szCs w:val="21"/>
          <w:highlight w:val="none"/>
        </w:rPr>
      </w:pPr>
      <w:r>
        <w:rPr>
          <w:rFonts w:hint="eastAsia" w:ascii="宋体" w:hAnsi="宋体" w:cs="宋体"/>
          <w:color w:val="auto"/>
          <w:szCs w:val="21"/>
          <w:highlight w:val="none"/>
        </w:rPr>
        <w:t>附：牵头人法定代表人身份证明及委托代理人有效身份证正反面复印件</w:t>
      </w:r>
    </w:p>
    <w:p w14:paraId="2874E2FC">
      <w:pPr>
        <w:keepNext w:val="0"/>
        <w:keepLines w:val="0"/>
        <w:pageBreakBefore w:val="0"/>
        <w:widowControl w:val="0"/>
        <w:kinsoku/>
        <w:wordWrap/>
        <w:overflowPunct/>
        <w:topLinePunct w:val="0"/>
        <w:autoSpaceDE/>
        <w:autoSpaceDN/>
        <w:bidi w:val="0"/>
        <w:adjustRightInd/>
        <w:spacing w:line="400" w:lineRule="exact"/>
        <w:ind w:firstLine="495" w:firstLineChars="236"/>
        <w:contextualSpacing/>
        <w:textAlignment w:val="auto"/>
        <w:rPr>
          <w:rFonts w:hint="eastAsia" w:ascii="宋体" w:hAnsi="宋体" w:cs="宋体"/>
          <w:color w:val="auto"/>
          <w:szCs w:val="21"/>
          <w:highlight w:val="none"/>
        </w:rPr>
      </w:pPr>
    </w:p>
    <w:p w14:paraId="1C9CD835">
      <w:pPr>
        <w:keepNext w:val="0"/>
        <w:keepLines w:val="0"/>
        <w:pageBreakBefore w:val="0"/>
        <w:widowControl w:val="0"/>
        <w:kinsoku/>
        <w:wordWrap/>
        <w:overflowPunct/>
        <w:topLinePunct w:val="0"/>
        <w:autoSpaceDE/>
        <w:autoSpaceDN/>
        <w:bidi w:val="0"/>
        <w:adjustRightInd/>
        <w:spacing w:line="400" w:lineRule="exact"/>
        <w:ind w:firstLine="495" w:firstLineChars="236"/>
        <w:contextualSpacing/>
        <w:textAlignment w:val="auto"/>
        <w:rPr>
          <w:rFonts w:hint="eastAsia" w:ascii="宋体" w:hAnsi="宋体" w:cs="宋体"/>
          <w:color w:val="auto"/>
          <w:szCs w:val="21"/>
          <w:highlight w:val="none"/>
        </w:rPr>
      </w:pPr>
      <w:r>
        <w:rPr>
          <w:rFonts w:hint="eastAsia" w:ascii="宋体" w:hAnsi="宋体" w:cs="宋体"/>
          <w:color w:val="auto"/>
          <w:szCs w:val="21"/>
          <w:highlight w:val="none"/>
        </w:rPr>
        <w:t>牵头人法定代表人（签字或者盖章或者电子签名）：</w:t>
      </w:r>
      <w:r>
        <w:rPr>
          <w:rFonts w:hint="eastAsia" w:ascii="宋体" w:hAnsi="宋体" w:cs="宋体"/>
          <w:color w:val="auto"/>
          <w:spacing w:val="20"/>
          <w:szCs w:val="21"/>
          <w:highlight w:val="none"/>
          <w:u w:val="single"/>
        </w:rPr>
        <w:t xml:space="preserve">            </w:t>
      </w:r>
      <w:r>
        <w:rPr>
          <w:rFonts w:hint="eastAsia" w:ascii="宋体" w:hAnsi="宋体" w:cs="宋体"/>
          <w:color w:val="auto"/>
          <w:spacing w:val="20"/>
          <w:szCs w:val="21"/>
          <w:highlight w:val="none"/>
        </w:rPr>
        <w:t xml:space="preserve"> </w:t>
      </w:r>
    </w:p>
    <w:p w14:paraId="26E508F1">
      <w:pPr>
        <w:keepNext w:val="0"/>
        <w:keepLines w:val="0"/>
        <w:pageBreakBefore w:val="0"/>
        <w:widowControl w:val="0"/>
        <w:kinsoku/>
        <w:wordWrap/>
        <w:overflowPunct/>
        <w:topLinePunct w:val="0"/>
        <w:autoSpaceDE/>
        <w:autoSpaceDN/>
        <w:bidi w:val="0"/>
        <w:adjustRightInd/>
        <w:spacing w:line="400" w:lineRule="exact"/>
        <w:ind w:firstLine="495" w:firstLineChars="236"/>
        <w:contextualSpacing/>
        <w:textAlignment w:val="auto"/>
        <w:rPr>
          <w:rFonts w:hint="eastAsia" w:ascii="宋体" w:hAnsi="宋体" w:cs="宋体"/>
          <w:color w:val="auto"/>
          <w:szCs w:val="21"/>
          <w:highlight w:val="none"/>
        </w:rPr>
      </w:pPr>
      <w:r>
        <w:rPr>
          <w:rFonts w:hint="eastAsia" w:ascii="宋体" w:hAnsi="宋体" w:cs="宋体"/>
          <w:color w:val="auto"/>
          <w:szCs w:val="21"/>
          <w:highlight w:val="none"/>
        </w:rPr>
        <w:t>牵头人（电子签章）：</w:t>
      </w:r>
      <w:r>
        <w:rPr>
          <w:rFonts w:hint="eastAsia" w:ascii="宋体" w:hAnsi="宋体" w:cs="宋体"/>
          <w:color w:val="auto"/>
          <w:spacing w:val="20"/>
          <w:szCs w:val="21"/>
          <w:highlight w:val="none"/>
          <w:u w:val="single"/>
        </w:rPr>
        <w:t xml:space="preserve">            </w:t>
      </w:r>
      <w:r>
        <w:rPr>
          <w:rFonts w:hint="eastAsia" w:ascii="宋体" w:hAnsi="宋体" w:cs="宋体"/>
          <w:color w:val="auto"/>
          <w:spacing w:val="20"/>
          <w:szCs w:val="21"/>
          <w:highlight w:val="none"/>
        </w:rPr>
        <w:t xml:space="preserve"> </w:t>
      </w:r>
    </w:p>
    <w:p w14:paraId="2848901E">
      <w:pPr>
        <w:keepNext w:val="0"/>
        <w:keepLines w:val="0"/>
        <w:pageBreakBefore w:val="0"/>
        <w:widowControl w:val="0"/>
        <w:kinsoku/>
        <w:wordWrap/>
        <w:overflowPunct/>
        <w:topLinePunct w:val="0"/>
        <w:autoSpaceDE/>
        <w:autoSpaceDN/>
        <w:bidi w:val="0"/>
        <w:adjustRightInd/>
        <w:spacing w:line="400" w:lineRule="exact"/>
        <w:ind w:firstLine="495" w:firstLineChars="236"/>
        <w:contextualSpacing/>
        <w:textAlignment w:val="auto"/>
        <w:rPr>
          <w:rFonts w:hint="eastAsia" w:ascii="宋体" w:hAnsi="宋体" w:cs="宋体"/>
          <w:color w:val="auto"/>
          <w:szCs w:val="21"/>
          <w:highlight w:val="none"/>
        </w:rPr>
      </w:pPr>
      <w:r>
        <w:rPr>
          <w:rFonts w:hint="eastAsia" w:ascii="宋体" w:hAnsi="宋体" w:cs="宋体"/>
          <w:color w:val="auto"/>
          <w:szCs w:val="21"/>
          <w:highlight w:val="none"/>
        </w:rPr>
        <w:t>日期：    年   月   日</w:t>
      </w:r>
    </w:p>
    <w:p w14:paraId="77DADDF4">
      <w:pPr>
        <w:keepNext w:val="0"/>
        <w:keepLines w:val="0"/>
        <w:pageBreakBefore w:val="0"/>
        <w:widowControl w:val="0"/>
        <w:kinsoku/>
        <w:wordWrap/>
        <w:overflowPunct/>
        <w:topLinePunct w:val="0"/>
        <w:autoSpaceDE/>
        <w:autoSpaceDN/>
        <w:bidi w:val="0"/>
        <w:adjustRightInd/>
        <w:spacing w:line="400" w:lineRule="exact"/>
        <w:ind w:firstLine="495" w:firstLineChars="236"/>
        <w:contextualSpacing/>
        <w:textAlignment w:val="auto"/>
        <w:rPr>
          <w:rFonts w:hint="eastAsia" w:ascii="宋体" w:hAnsi="宋体" w:cs="宋体"/>
          <w:color w:val="auto"/>
          <w:szCs w:val="21"/>
          <w:highlight w:val="none"/>
        </w:rPr>
      </w:pPr>
    </w:p>
    <w:p w14:paraId="053DE485">
      <w:pPr>
        <w:keepNext w:val="0"/>
        <w:keepLines w:val="0"/>
        <w:pageBreakBefore w:val="0"/>
        <w:widowControl w:val="0"/>
        <w:kinsoku/>
        <w:wordWrap/>
        <w:overflowPunct/>
        <w:topLinePunct w:val="0"/>
        <w:autoSpaceDE/>
        <w:autoSpaceDN/>
        <w:bidi w:val="0"/>
        <w:adjustRightInd/>
        <w:spacing w:line="400" w:lineRule="exact"/>
        <w:ind w:firstLine="495" w:firstLineChars="236"/>
        <w:contextualSpacing/>
        <w:textAlignment w:val="auto"/>
        <w:rPr>
          <w:rFonts w:hint="eastAsia" w:ascii="宋体" w:hAnsi="宋体" w:cs="宋体"/>
          <w:color w:val="auto"/>
          <w:szCs w:val="21"/>
          <w:highlight w:val="none"/>
        </w:rPr>
      </w:pPr>
      <w:r>
        <w:rPr>
          <w:rFonts w:hint="eastAsia" w:ascii="宋体" w:hAnsi="宋体" w:cs="宋体"/>
          <w:color w:val="auto"/>
          <w:szCs w:val="21"/>
          <w:highlight w:val="none"/>
        </w:rPr>
        <w:t>被授权人（签字或者电子签名）：</w:t>
      </w:r>
      <w:r>
        <w:rPr>
          <w:rFonts w:hint="eastAsia" w:ascii="宋体" w:hAnsi="宋体" w:cs="宋体"/>
          <w:color w:val="auto"/>
          <w:spacing w:val="20"/>
          <w:szCs w:val="21"/>
          <w:highlight w:val="none"/>
          <w:u w:val="single"/>
        </w:rPr>
        <w:t xml:space="preserve">            </w:t>
      </w:r>
      <w:r>
        <w:rPr>
          <w:rFonts w:hint="eastAsia" w:ascii="宋体" w:hAnsi="宋体" w:cs="宋体"/>
          <w:color w:val="auto"/>
          <w:spacing w:val="20"/>
          <w:szCs w:val="21"/>
          <w:highlight w:val="none"/>
        </w:rPr>
        <w:t xml:space="preserve"> </w:t>
      </w:r>
    </w:p>
    <w:p w14:paraId="3AA00E45">
      <w:pPr>
        <w:keepNext w:val="0"/>
        <w:keepLines w:val="0"/>
        <w:pageBreakBefore w:val="0"/>
        <w:widowControl w:val="0"/>
        <w:kinsoku/>
        <w:wordWrap/>
        <w:overflowPunct/>
        <w:topLinePunct w:val="0"/>
        <w:autoSpaceDE/>
        <w:autoSpaceDN/>
        <w:bidi w:val="0"/>
        <w:adjustRightInd/>
        <w:spacing w:line="400" w:lineRule="exact"/>
        <w:ind w:firstLine="495" w:firstLineChars="236"/>
        <w:contextualSpacing/>
        <w:textAlignment w:val="auto"/>
        <w:rPr>
          <w:rFonts w:hint="eastAsia" w:ascii="宋体" w:hAnsi="宋体" w:cs="宋体"/>
          <w:color w:val="auto"/>
          <w:szCs w:val="21"/>
          <w:highlight w:val="none"/>
        </w:rPr>
      </w:pPr>
      <w:r>
        <w:rPr>
          <w:rFonts w:hint="eastAsia" w:ascii="宋体" w:hAnsi="宋体" w:cs="宋体"/>
          <w:color w:val="auto"/>
          <w:szCs w:val="21"/>
          <w:highlight w:val="none"/>
        </w:rPr>
        <w:t>日期：    年   月   日</w:t>
      </w:r>
    </w:p>
    <w:p w14:paraId="783AA48A">
      <w:pPr>
        <w:keepNext w:val="0"/>
        <w:keepLines w:val="0"/>
        <w:pageBreakBefore w:val="0"/>
        <w:widowControl w:val="0"/>
        <w:kinsoku/>
        <w:wordWrap/>
        <w:overflowPunct/>
        <w:topLinePunct w:val="0"/>
        <w:autoSpaceDE/>
        <w:autoSpaceDN/>
        <w:bidi w:val="0"/>
        <w:adjustRightInd/>
        <w:spacing w:line="400" w:lineRule="exact"/>
        <w:contextualSpacing/>
        <w:textAlignment w:val="auto"/>
        <w:rPr>
          <w:rFonts w:hint="eastAsia" w:ascii="宋体" w:hAnsi="宋体" w:cs="宋体"/>
          <w:color w:val="auto"/>
          <w:szCs w:val="21"/>
          <w:highlight w:val="none"/>
        </w:rPr>
      </w:pPr>
      <w:r>
        <w:rPr>
          <w:rFonts w:hint="eastAsia" w:ascii="宋体" w:hAnsi="宋体" w:cs="宋体"/>
          <w:color w:val="auto"/>
          <w:szCs w:val="21"/>
          <w:highlight w:val="none"/>
        </w:rPr>
        <w:t>注：1.法定代表人必须在授权委托书上签字或者盖章或者电子签名，委托代理人必须在授权委托书上签字或者电子签名，</w:t>
      </w:r>
      <w:r>
        <w:rPr>
          <w:rFonts w:hint="eastAsia" w:ascii="宋体" w:hAnsi="宋体" w:cs="宋体"/>
          <w:b/>
          <w:bCs/>
          <w:color w:val="auto"/>
          <w:szCs w:val="21"/>
          <w:highlight w:val="none"/>
        </w:rPr>
        <w:t>否则按无效投标处理</w:t>
      </w:r>
      <w:r>
        <w:rPr>
          <w:rFonts w:hint="eastAsia" w:ascii="宋体" w:hAnsi="宋体" w:cs="宋体"/>
          <w:color w:val="auto"/>
          <w:szCs w:val="21"/>
          <w:highlight w:val="none"/>
        </w:rPr>
        <w:t>；</w:t>
      </w:r>
    </w:p>
    <w:p w14:paraId="43010D17">
      <w:pPr>
        <w:keepNext w:val="0"/>
        <w:keepLines w:val="0"/>
        <w:pageBreakBefore w:val="0"/>
        <w:widowControl w:val="0"/>
        <w:kinsoku/>
        <w:wordWrap/>
        <w:overflowPunct/>
        <w:topLinePunct w:val="0"/>
        <w:autoSpaceDE/>
        <w:autoSpaceDN/>
        <w:bidi w:val="0"/>
        <w:adjustRightInd/>
        <w:spacing w:line="400" w:lineRule="exact"/>
        <w:ind w:firstLine="420" w:firstLineChars="200"/>
        <w:contextualSpacing/>
        <w:jc w:val="left"/>
        <w:textAlignment w:val="auto"/>
        <w:rPr>
          <w:rFonts w:hint="eastAsia" w:ascii="宋体" w:hAnsi="宋体" w:cs="宋体"/>
          <w:color w:val="auto"/>
          <w:sz w:val="24"/>
          <w:highlight w:val="none"/>
        </w:rPr>
      </w:pPr>
      <w:r>
        <w:rPr>
          <w:rFonts w:hint="eastAsia" w:ascii="宋体" w:hAnsi="宋体" w:cs="宋体"/>
          <w:color w:val="auto"/>
          <w:szCs w:val="21"/>
          <w:highlight w:val="none"/>
        </w:rPr>
        <w:t>2.法人、其他组织投标时“我方”是指“我单位”，自然人投标时“我方”是指“本人”。</w:t>
      </w:r>
    </w:p>
    <w:p w14:paraId="4669E539">
      <w:pPr>
        <w:keepNext w:val="0"/>
        <w:keepLines w:val="0"/>
        <w:pageBreakBefore w:val="0"/>
        <w:widowControl w:val="0"/>
        <w:kinsoku/>
        <w:wordWrap/>
        <w:overflowPunct/>
        <w:topLinePunct w:val="0"/>
        <w:autoSpaceDE/>
        <w:autoSpaceDN/>
        <w:bidi w:val="0"/>
        <w:adjustRightInd/>
        <w:spacing w:line="400" w:lineRule="exact"/>
        <w:contextualSpacing/>
        <w:textAlignment w:val="auto"/>
        <w:rPr>
          <w:rFonts w:hint="eastAsia" w:ascii="宋体" w:hAnsi="宋体" w:cs="宋体"/>
          <w:color w:val="auto"/>
          <w:sz w:val="24"/>
          <w:highlight w:val="none"/>
        </w:rPr>
      </w:pPr>
    </w:p>
    <w:bookmarkEnd w:id="203"/>
    <w:p w14:paraId="590C51EA">
      <w:pPr>
        <w:keepNext w:val="0"/>
        <w:keepLines w:val="0"/>
        <w:pageBreakBefore w:val="0"/>
        <w:widowControl w:val="0"/>
        <w:kinsoku/>
        <w:wordWrap/>
        <w:overflowPunct/>
        <w:topLinePunct w:val="0"/>
        <w:autoSpaceDE/>
        <w:autoSpaceDN/>
        <w:bidi w:val="0"/>
        <w:adjustRightInd/>
        <w:snapToGrid w:val="0"/>
        <w:spacing w:before="50" w:after="120" w:afterLines="50" w:line="400" w:lineRule="exact"/>
        <w:ind w:firstLine="480" w:firstLineChars="200"/>
        <w:jc w:val="left"/>
        <w:textAlignment w:val="auto"/>
        <w:rPr>
          <w:rFonts w:hint="eastAsia" w:ascii="宋体" w:hAnsi="宋体" w:cs="宋体"/>
          <w:color w:val="auto"/>
          <w:sz w:val="24"/>
          <w:highlight w:val="none"/>
        </w:rPr>
        <w:sectPr>
          <w:pgSz w:w="11906" w:h="16838"/>
          <w:pgMar w:top="1440" w:right="1803" w:bottom="1440" w:left="1803" w:header="850" w:footer="850" w:gutter="0"/>
          <w:pgNumType w:fmt="decimal"/>
          <w:cols w:space="720" w:num="1"/>
          <w:docGrid w:linePitch="312" w:charSpace="0"/>
        </w:sectPr>
      </w:pPr>
    </w:p>
    <w:p w14:paraId="766403BF">
      <w:pPr>
        <w:rPr>
          <w:rFonts w:hint="eastAsia" w:ascii="宋体" w:hAnsi="宋体" w:cs="宋体"/>
          <w:color w:val="auto"/>
          <w:sz w:val="24"/>
          <w:highlight w:val="none"/>
        </w:rPr>
      </w:pPr>
    </w:p>
    <w:p w14:paraId="2252FA21">
      <w:pPr>
        <w:rPr>
          <w:rFonts w:hint="eastAsia" w:ascii="宋体" w:hAnsi="宋体" w:cs="宋体"/>
          <w:b/>
          <w:color w:val="auto"/>
          <w:sz w:val="24"/>
          <w:szCs w:val="20"/>
          <w:highlight w:val="none"/>
        </w:rPr>
      </w:pPr>
      <w:r>
        <w:rPr>
          <w:rFonts w:hint="eastAsia" w:ascii="宋体" w:hAnsi="宋体" w:cs="宋体"/>
          <w:b/>
          <w:color w:val="auto"/>
          <w:sz w:val="24"/>
          <w:highlight w:val="none"/>
        </w:rPr>
        <w:t>5.商务要求偏离表格式（注：按项目需求表具体项目修改）</w:t>
      </w:r>
    </w:p>
    <w:p w14:paraId="254D1F17">
      <w:pPr>
        <w:snapToGrid w:val="0"/>
        <w:spacing w:before="50"/>
        <w:jc w:val="left"/>
        <w:rPr>
          <w:rFonts w:hint="eastAsia" w:ascii="宋体" w:hAnsi="宋体" w:cs="宋体"/>
          <w:color w:val="auto"/>
          <w:sz w:val="24"/>
          <w:highlight w:val="none"/>
        </w:rPr>
      </w:pPr>
    </w:p>
    <w:p w14:paraId="16750063">
      <w:pPr>
        <w:pStyle w:val="20"/>
        <w:spacing w:line="440" w:lineRule="exact"/>
        <w:rPr>
          <w:rFonts w:hint="eastAsia" w:hAnsi="宋体" w:cs="宋体"/>
          <w:color w:val="auto"/>
          <w:highlight w:val="none"/>
        </w:rPr>
      </w:pPr>
      <w:r>
        <w:rPr>
          <w:rFonts w:hint="eastAsia" w:hAnsi="宋体" w:cs="宋体"/>
          <w:color w:val="auto"/>
          <w:highlight w:val="none"/>
        </w:rPr>
        <w:t>所投分标：</w:t>
      </w:r>
      <w:r>
        <w:rPr>
          <w:rFonts w:hint="eastAsia" w:hAnsi="宋体" w:cs="宋体"/>
          <w:color w:val="auto"/>
          <w:highlight w:val="none"/>
          <w:u w:val="single"/>
        </w:rPr>
        <w:t xml:space="preserve">   </w:t>
      </w:r>
      <w:r>
        <w:rPr>
          <w:rFonts w:hint="eastAsia" w:hAnsi="宋体" w:cs="宋体"/>
          <w:color w:val="auto"/>
          <w:highlight w:val="none"/>
          <w:u w:val="single"/>
          <w:lang w:val="en-US" w:eastAsia="zh-CN"/>
        </w:rPr>
        <w:t>/</w:t>
      </w:r>
      <w:r>
        <w:rPr>
          <w:rFonts w:hint="eastAsia" w:hAnsi="宋体" w:cs="宋体"/>
          <w:color w:val="auto"/>
          <w:highlight w:val="none"/>
          <w:u w:val="single"/>
        </w:rPr>
        <w:t xml:space="preserve">  </w:t>
      </w:r>
      <w:r>
        <w:rPr>
          <w:rFonts w:hint="eastAsia" w:hAnsi="宋体" w:cs="宋体"/>
          <w:color w:val="auto"/>
          <w:highlight w:val="none"/>
        </w:rPr>
        <w:t>分标</w:t>
      </w:r>
    </w:p>
    <w:p w14:paraId="665BA61B">
      <w:pPr>
        <w:snapToGrid w:val="0"/>
        <w:spacing w:before="50" w:line="440" w:lineRule="exact"/>
        <w:jc w:val="left"/>
        <w:rPr>
          <w:rFonts w:hint="eastAsia" w:ascii="宋体" w:hAnsi="宋体" w:cs="宋体"/>
          <w:color w:val="auto"/>
          <w:szCs w:val="21"/>
          <w:highlight w:val="none"/>
          <w:u w:val="single"/>
        </w:rPr>
      </w:pPr>
    </w:p>
    <w:tbl>
      <w:tblPr>
        <w:tblStyle w:val="39"/>
        <w:tblW w:w="0" w:type="auto"/>
        <w:tblInd w:w="9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853"/>
        <w:gridCol w:w="2776"/>
        <w:gridCol w:w="1760"/>
        <w:gridCol w:w="2853"/>
      </w:tblGrid>
      <w:tr w14:paraId="56420A6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2" w:hRule="atLeast"/>
        </w:trPr>
        <w:tc>
          <w:tcPr>
            <w:tcW w:w="1853" w:type="dxa"/>
            <w:tcBorders>
              <w:top w:val="single" w:color="auto" w:sz="4" w:space="0"/>
              <w:left w:val="single" w:color="auto" w:sz="4" w:space="0"/>
              <w:bottom w:val="single" w:color="auto" w:sz="4" w:space="0"/>
              <w:right w:val="single" w:color="auto" w:sz="4" w:space="0"/>
            </w:tcBorders>
            <w:noWrap w:val="0"/>
            <w:vAlign w:val="top"/>
          </w:tcPr>
          <w:p w14:paraId="5D938AA8">
            <w:pPr>
              <w:keepNext w:val="0"/>
              <w:keepLines w:val="0"/>
              <w:suppressLineNumbers w:val="0"/>
              <w:snapToGrid w:val="0"/>
              <w:spacing w:before="120" w:beforeLines="50" w:beforeAutospacing="0" w:after="0" w:afterAutospacing="0" w:line="440" w:lineRule="exact"/>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项目</w:t>
            </w:r>
          </w:p>
        </w:tc>
        <w:tc>
          <w:tcPr>
            <w:tcW w:w="2776" w:type="dxa"/>
            <w:tcBorders>
              <w:top w:val="single" w:color="auto" w:sz="4" w:space="0"/>
              <w:left w:val="single" w:color="auto" w:sz="4" w:space="0"/>
              <w:bottom w:val="single" w:color="auto" w:sz="4" w:space="0"/>
              <w:right w:val="single" w:color="auto" w:sz="4" w:space="0"/>
            </w:tcBorders>
            <w:noWrap w:val="0"/>
            <w:vAlign w:val="top"/>
          </w:tcPr>
          <w:p w14:paraId="03381859">
            <w:pPr>
              <w:keepNext w:val="0"/>
              <w:keepLines w:val="0"/>
              <w:suppressLineNumbers w:val="0"/>
              <w:snapToGrid w:val="0"/>
              <w:spacing w:before="120" w:beforeLines="50" w:beforeAutospacing="0" w:after="0" w:afterAutospacing="0" w:line="440" w:lineRule="exact"/>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招标文件商务要求</w:t>
            </w:r>
          </w:p>
        </w:tc>
        <w:tc>
          <w:tcPr>
            <w:tcW w:w="1760" w:type="dxa"/>
            <w:tcBorders>
              <w:top w:val="single" w:color="auto" w:sz="4" w:space="0"/>
              <w:left w:val="single" w:color="auto" w:sz="4" w:space="0"/>
              <w:bottom w:val="single" w:color="auto" w:sz="4" w:space="0"/>
              <w:right w:val="single" w:color="auto" w:sz="4" w:space="0"/>
            </w:tcBorders>
            <w:noWrap w:val="0"/>
            <w:vAlign w:val="top"/>
          </w:tcPr>
          <w:p w14:paraId="1D1F2E39">
            <w:pPr>
              <w:keepNext w:val="0"/>
              <w:keepLines w:val="0"/>
              <w:suppressLineNumbers w:val="0"/>
              <w:snapToGrid w:val="0"/>
              <w:spacing w:before="120" w:beforeLines="50" w:beforeAutospacing="0" w:after="0" w:afterAutospacing="0" w:line="440" w:lineRule="exact"/>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投标人的承诺</w:t>
            </w:r>
          </w:p>
        </w:tc>
        <w:tc>
          <w:tcPr>
            <w:tcW w:w="2853" w:type="dxa"/>
            <w:tcBorders>
              <w:top w:val="single" w:color="auto" w:sz="4" w:space="0"/>
              <w:left w:val="single" w:color="auto" w:sz="4" w:space="0"/>
              <w:bottom w:val="single" w:color="auto" w:sz="4" w:space="0"/>
              <w:right w:val="single" w:color="auto" w:sz="4" w:space="0"/>
            </w:tcBorders>
            <w:noWrap w:val="0"/>
            <w:vAlign w:val="top"/>
          </w:tcPr>
          <w:p w14:paraId="1495C1ED">
            <w:pPr>
              <w:keepNext w:val="0"/>
              <w:keepLines w:val="0"/>
              <w:suppressLineNumbers w:val="0"/>
              <w:snapToGrid w:val="0"/>
              <w:spacing w:before="120" w:beforeLines="50" w:beforeAutospacing="0" w:after="0" w:afterAutospacing="0" w:line="440" w:lineRule="exact"/>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偏离说明</w:t>
            </w:r>
          </w:p>
        </w:tc>
      </w:tr>
      <w:tr w14:paraId="42485C1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9" w:hRule="atLeast"/>
        </w:trPr>
        <w:tc>
          <w:tcPr>
            <w:tcW w:w="1853" w:type="dxa"/>
            <w:tcBorders>
              <w:top w:val="single" w:color="auto" w:sz="4" w:space="0"/>
              <w:left w:val="single" w:color="auto" w:sz="4" w:space="0"/>
              <w:bottom w:val="single" w:color="auto" w:sz="4" w:space="0"/>
              <w:right w:val="single" w:color="auto" w:sz="4" w:space="0"/>
            </w:tcBorders>
            <w:noWrap w:val="0"/>
            <w:vAlign w:val="center"/>
          </w:tcPr>
          <w:p w14:paraId="2A423485">
            <w:pPr>
              <w:keepNext w:val="0"/>
              <w:keepLines w:val="0"/>
              <w:suppressLineNumbers w:val="0"/>
              <w:spacing w:before="0" w:beforeAutospacing="0" w:after="0" w:afterAutospacing="0" w:line="440" w:lineRule="exact"/>
              <w:ind w:left="0" w:right="0"/>
              <w:jc w:val="center"/>
              <w:rPr>
                <w:rFonts w:hint="eastAsia" w:ascii="宋体" w:hAnsi="宋体" w:cs="宋体"/>
                <w:color w:val="auto"/>
                <w:szCs w:val="21"/>
                <w:highlight w:val="none"/>
              </w:rPr>
            </w:pPr>
          </w:p>
        </w:tc>
        <w:tc>
          <w:tcPr>
            <w:tcW w:w="2776" w:type="dxa"/>
            <w:tcBorders>
              <w:top w:val="single" w:color="auto" w:sz="4" w:space="0"/>
              <w:left w:val="single" w:color="auto" w:sz="4" w:space="0"/>
              <w:bottom w:val="single" w:color="auto" w:sz="4" w:space="0"/>
              <w:right w:val="single" w:color="auto" w:sz="4" w:space="0"/>
            </w:tcBorders>
            <w:noWrap w:val="0"/>
            <w:vAlign w:val="center"/>
          </w:tcPr>
          <w:p w14:paraId="7E47AEC2">
            <w:pPr>
              <w:keepNext w:val="0"/>
              <w:keepLines w:val="0"/>
              <w:suppressLineNumbers w:val="0"/>
              <w:spacing w:before="0" w:beforeAutospacing="0" w:after="0" w:afterAutospacing="0" w:line="440" w:lineRule="exact"/>
              <w:ind w:left="0" w:right="0"/>
              <w:jc w:val="left"/>
              <w:rPr>
                <w:rFonts w:hint="eastAsia" w:ascii="宋体" w:hAnsi="宋体" w:cs="宋体"/>
                <w:color w:val="auto"/>
                <w:szCs w:val="21"/>
                <w:highlight w:val="none"/>
              </w:rPr>
            </w:pPr>
          </w:p>
        </w:tc>
        <w:tc>
          <w:tcPr>
            <w:tcW w:w="1760" w:type="dxa"/>
            <w:tcBorders>
              <w:top w:val="single" w:color="auto" w:sz="4" w:space="0"/>
              <w:left w:val="single" w:color="auto" w:sz="4" w:space="0"/>
              <w:bottom w:val="single" w:color="auto" w:sz="4" w:space="0"/>
              <w:right w:val="single" w:color="auto" w:sz="4" w:space="0"/>
            </w:tcBorders>
            <w:noWrap w:val="0"/>
            <w:vAlign w:val="top"/>
          </w:tcPr>
          <w:p w14:paraId="29E3BFE4">
            <w:pPr>
              <w:keepNext w:val="0"/>
              <w:keepLines w:val="0"/>
              <w:suppressLineNumbers w:val="0"/>
              <w:snapToGrid w:val="0"/>
              <w:spacing w:before="120" w:beforeLines="50" w:beforeAutospacing="0" w:after="0" w:afterAutospacing="0" w:line="440" w:lineRule="exact"/>
              <w:ind w:left="0" w:right="0"/>
              <w:jc w:val="center"/>
              <w:rPr>
                <w:rFonts w:hint="eastAsia" w:ascii="宋体" w:hAnsi="宋体" w:cs="宋体"/>
                <w:color w:val="auto"/>
                <w:szCs w:val="21"/>
                <w:highlight w:val="none"/>
              </w:rPr>
            </w:pPr>
          </w:p>
        </w:tc>
        <w:tc>
          <w:tcPr>
            <w:tcW w:w="2853" w:type="dxa"/>
            <w:tcBorders>
              <w:top w:val="single" w:color="auto" w:sz="4" w:space="0"/>
              <w:left w:val="single" w:color="auto" w:sz="4" w:space="0"/>
              <w:bottom w:val="single" w:color="auto" w:sz="4" w:space="0"/>
              <w:right w:val="single" w:color="auto" w:sz="4" w:space="0"/>
            </w:tcBorders>
            <w:noWrap w:val="0"/>
            <w:vAlign w:val="top"/>
          </w:tcPr>
          <w:p w14:paraId="7BA4EF59">
            <w:pPr>
              <w:keepNext w:val="0"/>
              <w:keepLines w:val="0"/>
              <w:suppressLineNumbers w:val="0"/>
              <w:snapToGrid w:val="0"/>
              <w:spacing w:before="120" w:beforeLines="50" w:beforeAutospacing="0" w:after="0" w:afterAutospacing="0" w:line="440" w:lineRule="exact"/>
              <w:ind w:left="0" w:right="0"/>
              <w:jc w:val="center"/>
              <w:rPr>
                <w:rFonts w:hint="eastAsia" w:ascii="宋体" w:hAnsi="宋体" w:cs="宋体"/>
                <w:color w:val="auto"/>
                <w:szCs w:val="21"/>
                <w:highlight w:val="none"/>
              </w:rPr>
            </w:pPr>
          </w:p>
        </w:tc>
      </w:tr>
      <w:tr w14:paraId="3116326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8" w:hRule="atLeast"/>
        </w:trPr>
        <w:tc>
          <w:tcPr>
            <w:tcW w:w="1853" w:type="dxa"/>
            <w:tcBorders>
              <w:top w:val="single" w:color="auto" w:sz="4" w:space="0"/>
              <w:left w:val="single" w:color="auto" w:sz="4" w:space="0"/>
              <w:bottom w:val="single" w:color="auto" w:sz="4" w:space="0"/>
              <w:right w:val="single" w:color="auto" w:sz="4" w:space="0"/>
            </w:tcBorders>
            <w:noWrap w:val="0"/>
            <w:vAlign w:val="center"/>
          </w:tcPr>
          <w:p w14:paraId="1A52706A">
            <w:pPr>
              <w:keepNext w:val="0"/>
              <w:keepLines w:val="0"/>
              <w:suppressLineNumbers w:val="0"/>
              <w:spacing w:before="0" w:beforeAutospacing="0" w:after="0" w:afterAutospacing="0" w:line="440" w:lineRule="exact"/>
              <w:ind w:left="0" w:right="0"/>
              <w:jc w:val="center"/>
              <w:rPr>
                <w:rFonts w:hint="eastAsia" w:ascii="宋体" w:hAnsi="宋体" w:cs="宋体"/>
                <w:color w:val="auto"/>
                <w:szCs w:val="21"/>
                <w:highlight w:val="none"/>
              </w:rPr>
            </w:pPr>
          </w:p>
        </w:tc>
        <w:tc>
          <w:tcPr>
            <w:tcW w:w="2776" w:type="dxa"/>
            <w:tcBorders>
              <w:top w:val="single" w:color="auto" w:sz="4" w:space="0"/>
              <w:left w:val="single" w:color="auto" w:sz="4" w:space="0"/>
              <w:bottom w:val="single" w:color="auto" w:sz="4" w:space="0"/>
              <w:right w:val="single" w:color="auto" w:sz="4" w:space="0"/>
            </w:tcBorders>
            <w:noWrap w:val="0"/>
            <w:vAlign w:val="center"/>
          </w:tcPr>
          <w:p w14:paraId="7ACF067F">
            <w:pPr>
              <w:keepNext w:val="0"/>
              <w:keepLines w:val="0"/>
              <w:suppressLineNumbers w:val="0"/>
              <w:spacing w:before="0" w:beforeAutospacing="0" w:after="0" w:afterAutospacing="0" w:line="440" w:lineRule="exact"/>
              <w:ind w:left="0" w:right="0"/>
              <w:jc w:val="left"/>
              <w:rPr>
                <w:rFonts w:hint="eastAsia" w:ascii="宋体" w:hAnsi="宋体" w:cs="宋体"/>
                <w:color w:val="auto"/>
                <w:szCs w:val="21"/>
                <w:highlight w:val="none"/>
              </w:rPr>
            </w:pPr>
          </w:p>
        </w:tc>
        <w:tc>
          <w:tcPr>
            <w:tcW w:w="1760" w:type="dxa"/>
            <w:tcBorders>
              <w:top w:val="single" w:color="auto" w:sz="4" w:space="0"/>
              <w:left w:val="single" w:color="auto" w:sz="4" w:space="0"/>
              <w:bottom w:val="single" w:color="auto" w:sz="4" w:space="0"/>
              <w:right w:val="single" w:color="auto" w:sz="4" w:space="0"/>
            </w:tcBorders>
            <w:noWrap w:val="0"/>
            <w:vAlign w:val="top"/>
          </w:tcPr>
          <w:p w14:paraId="3FB9D1C4">
            <w:pPr>
              <w:keepNext w:val="0"/>
              <w:keepLines w:val="0"/>
              <w:suppressLineNumbers w:val="0"/>
              <w:snapToGrid w:val="0"/>
              <w:spacing w:before="120" w:beforeLines="50" w:beforeAutospacing="0" w:after="0" w:afterAutospacing="0" w:line="440" w:lineRule="exact"/>
              <w:ind w:left="43" w:right="0"/>
              <w:jc w:val="center"/>
              <w:rPr>
                <w:rFonts w:hint="eastAsia" w:ascii="宋体" w:hAnsi="宋体" w:cs="宋体"/>
                <w:color w:val="auto"/>
                <w:szCs w:val="21"/>
                <w:highlight w:val="none"/>
              </w:rPr>
            </w:pPr>
          </w:p>
        </w:tc>
        <w:tc>
          <w:tcPr>
            <w:tcW w:w="2853" w:type="dxa"/>
            <w:tcBorders>
              <w:top w:val="single" w:color="auto" w:sz="4" w:space="0"/>
              <w:left w:val="single" w:color="auto" w:sz="4" w:space="0"/>
              <w:bottom w:val="single" w:color="auto" w:sz="4" w:space="0"/>
              <w:right w:val="single" w:color="auto" w:sz="4" w:space="0"/>
            </w:tcBorders>
            <w:noWrap w:val="0"/>
            <w:vAlign w:val="top"/>
          </w:tcPr>
          <w:p w14:paraId="13416E87">
            <w:pPr>
              <w:keepNext w:val="0"/>
              <w:keepLines w:val="0"/>
              <w:suppressLineNumbers w:val="0"/>
              <w:snapToGrid w:val="0"/>
              <w:spacing w:before="120" w:beforeLines="50" w:beforeAutospacing="0" w:after="0" w:afterAutospacing="0" w:line="440" w:lineRule="exact"/>
              <w:ind w:left="43" w:right="0"/>
              <w:jc w:val="center"/>
              <w:rPr>
                <w:rFonts w:hint="eastAsia" w:ascii="宋体" w:hAnsi="宋体" w:cs="宋体"/>
                <w:color w:val="auto"/>
                <w:szCs w:val="21"/>
                <w:highlight w:val="none"/>
              </w:rPr>
            </w:pPr>
          </w:p>
        </w:tc>
      </w:tr>
      <w:tr w14:paraId="2D24834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853" w:type="dxa"/>
            <w:tcBorders>
              <w:top w:val="single" w:color="auto" w:sz="4" w:space="0"/>
              <w:left w:val="single" w:color="auto" w:sz="4" w:space="0"/>
              <w:bottom w:val="single" w:color="auto" w:sz="4" w:space="0"/>
              <w:right w:val="single" w:color="auto" w:sz="4" w:space="0"/>
            </w:tcBorders>
            <w:noWrap w:val="0"/>
            <w:vAlign w:val="top"/>
          </w:tcPr>
          <w:p w14:paraId="5F52BD36">
            <w:pPr>
              <w:keepNext w:val="0"/>
              <w:keepLines w:val="0"/>
              <w:suppressLineNumbers w:val="0"/>
              <w:snapToGrid w:val="0"/>
              <w:spacing w:before="120" w:beforeLines="50" w:beforeAutospacing="0" w:after="0" w:afterAutospacing="0" w:line="440" w:lineRule="exact"/>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w:t>
            </w:r>
          </w:p>
        </w:tc>
        <w:tc>
          <w:tcPr>
            <w:tcW w:w="2776" w:type="dxa"/>
            <w:tcBorders>
              <w:top w:val="single" w:color="auto" w:sz="4" w:space="0"/>
              <w:left w:val="single" w:color="auto" w:sz="4" w:space="0"/>
              <w:bottom w:val="single" w:color="auto" w:sz="4" w:space="0"/>
              <w:right w:val="single" w:color="auto" w:sz="4" w:space="0"/>
            </w:tcBorders>
            <w:noWrap w:val="0"/>
            <w:vAlign w:val="top"/>
          </w:tcPr>
          <w:p w14:paraId="46BF3D2E">
            <w:pPr>
              <w:keepNext w:val="0"/>
              <w:keepLines w:val="0"/>
              <w:suppressLineNumbers w:val="0"/>
              <w:snapToGrid w:val="0"/>
              <w:spacing w:before="120" w:beforeLines="50" w:beforeAutospacing="0" w:after="0" w:afterAutospacing="0" w:line="440" w:lineRule="exact"/>
              <w:ind w:left="0" w:right="0"/>
              <w:jc w:val="center"/>
              <w:rPr>
                <w:rFonts w:hint="eastAsia" w:ascii="宋体" w:hAnsi="宋体" w:cs="宋体"/>
                <w:color w:val="auto"/>
                <w:szCs w:val="21"/>
                <w:highlight w:val="none"/>
              </w:rPr>
            </w:pPr>
          </w:p>
        </w:tc>
        <w:tc>
          <w:tcPr>
            <w:tcW w:w="1760" w:type="dxa"/>
            <w:tcBorders>
              <w:top w:val="single" w:color="auto" w:sz="4" w:space="0"/>
              <w:left w:val="single" w:color="auto" w:sz="4" w:space="0"/>
              <w:bottom w:val="single" w:color="auto" w:sz="4" w:space="0"/>
              <w:right w:val="single" w:color="auto" w:sz="4" w:space="0"/>
            </w:tcBorders>
            <w:noWrap w:val="0"/>
            <w:vAlign w:val="top"/>
          </w:tcPr>
          <w:p w14:paraId="45E2E948">
            <w:pPr>
              <w:keepNext w:val="0"/>
              <w:keepLines w:val="0"/>
              <w:suppressLineNumbers w:val="0"/>
              <w:snapToGrid w:val="0"/>
              <w:spacing w:before="120" w:beforeLines="50" w:beforeAutospacing="0" w:after="0" w:afterAutospacing="0" w:line="440" w:lineRule="exact"/>
              <w:ind w:left="0" w:right="0"/>
              <w:jc w:val="center"/>
              <w:rPr>
                <w:rFonts w:hint="eastAsia" w:ascii="宋体" w:hAnsi="宋体" w:cs="宋体"/>
                <w:color w:val="auto"/>
                <w:szCs w:val="21"/>
                <w:highlight w:val="none"/>
              </w:rPr>
            </w:pPr>
          </w:p>
        </w:tc>
        <w:tc>
          <w:tcPr>
            <w:tcW w:w="2853" w:type="dxa"/>
            <w:tcBorders>
              <w:top w:val="single" w:color="auto" w:sz="4" w:space="0"/>
              <w:left w:val="single" w:color="auto" w:sz="4" w:space="0"/>
              <w:bottom w:val="single" w:color="auto" w:sz="4" w:space="0"/>
              <w:right w:val="single" w:color="auto" w:sz="4" w:space="0"/>
            </w:tcBorders>
            <w:noWrap w:val="0"/>
            <w:vAlign w:val="top"/>
          </w:tcPr>
          <w:p w14:paraId="3BB34431">
            <w:pPr>
              <w:keepNext w:val="0"/>
              <w:keepLines w:val="0"/>
              <w:suppressLineNumbers w:val="0"/>
              <w:snapToGrid w:val="0"/>
              <w:spacing w:before="120" w:beforeLines="50" w:beforeAutospacing="0" w:after="0" w:afterAutospacing="0" w:line="440" w:lineRule="exact"/>
              <w:ind w:left="0" w:right="0"/>
              <w:jc w:val="center"/>
              <w:rPr>
                <w:rFonts w:hint="eastAsia" w:ascii="宋体" w:hAnsi="宋体" w:cs="宋体"/>
                <w:color w:val="auto"/>
                <w:szCs w:val="21"/>
                <w:highlight w:val="none"/>
              </w:rPr>
            </w:pPr>
          </w:p>
        </w:tc>
      </w:tr>
    </w:tbl>
    <w:p w14:paraId="421F12EB">
      <w:pPr>
        <w:pStyle w:val="14"/>
        <w:keepNext w:val="0"/>
        <w:keepLines w:val="0"/>
        <w:pageBreakBefore w:val="0"/>
        <w:widowControl w:val="0"/>
        <w:kinsoku/>
        <w:wordWrap/>
        <w:overflowPunct/>
        <w:topLinePunct w:val="0"/>
        <w:autoSpaceDE/>
        <w:autoSpaceDN/>
        <w:bidi w:val="0"/>
        <w:adjustRightInd/>
        <w:spacing w:line="400" w:lineRule="exact"/>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注：</w:t>
      </w:r>
    </w:p>
    <w:p w14:paraId="65DBB6BE">
      <w:pPr>
        <w:pStyle w:val="16"/>
        <w:keepNext w:val="0"/>
        <w:keepLines w:val="0"/>
        <w:pageBreakBefore w:val="0"/>
        <w:widowControl w:val="0"/>
        <w:kinsoku/>
        <w:wordWrap/>
        <w:overflowPunct/>
        <w:topLinePunct w:val="0"/>
        <w:autoSpaceDE/>
        <w:autoSpaceDN/>
        <w:bidi w:val="0"/>
        <w:adjustRightInd/>
        <w:spacing w:line="400" w:lineRule="exact"/>
        <w:ind w:firstLine="0"/>
        <w:textAlignment w:val="auto"/>
        <w:rPr>
          <w:rFonts w:hint="eastAsia" w:hAnsi="宋体" w:cs="宋体"/>
          <w:color w:val="auto"/>
          <w:sz w:val="21"/>
          <w:szCs w:val="21"/>
          <w:highlight w:val="none"/>
        </w:rPr>
      </w:pPr>
      <w:r>
        <w:rPr>
          <w:rFonts w:hint="eastAsia" w:hAnsi="宋体" w:cs="宋体"/>
          <w:color w:val="auto"/>
          <w:sz w:val="21"/>
          <w:szCs w:val="21"/>
          <w:highlight w:val="none"/>
        </w:rPr>
        <w:t>1. 说明：应对照招标文件“第二章 采购需求”中的商务要求逐条作明确的投标响应，并作出偏离说明。</w:t>
      </w:r>
    </w:p>
    <w:p w14:paraId="6BF9010B">
      <w:pPr>
        <w:pStyle w:val="14"/>
        <w:keepNext w:val="0"/>
        <w:keepLines w:val="0"/>
        <w:pageBreakBefore w:val="0"/>
        <w:widowControl w:val="0"/>
        <w:kinsoku/>
        <w:wordWrap/>
        <w:overflowPunct/>
        <w:topLinePunct w:val="0"/>
        <w:autoSpaceDE/>
        <w:autoSpaceDN/>
        <w:bidi w:val="0"/>
        <w:adjustRightInd/>
        <w:spacing w:line="400" w:lineRule="exact"/>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2.投标人应根据自身的承诺，对照招标文件要求在“偏离说明”中注明“正偏离</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rPr>
        <w:t>负偏离”或者“无偏离”。既不属于“正偏离”也不属于“负偏离”即为“无偏离”。</w:t>
      </w:r>
    </w:p>
    <w:p w14:paraId="2A3E683B">
      <w:pPr>
        <w:keepNext w:val="0"/>
        <w:keepLines w:val="0"/>
        <w:pageBreakBefore w:val="0"/>
        <w:widowControl w:val="0"/>
        <w:kinsoku/>
        <w:wordWrap/>
        <w:overflowPunct/>
        <w:topLinePunct w:val="0"/>
        <w:autoSpaceDE/>
        <w:autoSpaceDN/>
        <w:bidi w:val="0"/>
        <w:adjustRightInd/>
        <w:snapToGrid w:val="0"/>
        <w:spacing w:before="50" w:after="50" w:line="400" w:lineRule="exact"/>
        <w:textAlignment w:val="auto"/>
        <w:rPr>
          <w:rFonts w:hint="eastAsia" w:ascii="宋体" w:hAnsi="宋体" w:cs="宋体"/>
          <w:color w:val="auto"/>
          <w:szCs w:val="21"/>
          <w:highlight w:val="none"/>
        </w:rPr>
      </w:pPr>
    </w:p>
    <w:p w14:paraId="5C091812">
      <w:pPr>
        <w:keepNext w:val="0"/>
        <w:keepLines w:val="0"/>
        <w:pageBreakBefore w:val="0"/>
        <w:widowControl w:val="0"/>
        <w:kinsoku/>
        <w:wordWrap/>
        <w:overflowPunct/>
        <w:topLinePunct w:val="0"/>
        <w:autoSpaceDE/>
        <w:autoSpaceDN/>
        <w:bidi w:val="0"/>
        <w:adjustRightInd/>
        <w:snapToGrid w:val="0"/>
        <w:spacing w:before="50" w:after="50" w:line="400" w:lineRule="exact"/>
        <w:textAlignment w:val="auto"/>
        <w:rPr>
          <w:rFonts w:hint="eastAsia" w:ascii="宋体" w:hAnsi="宋体" w:cs="宋体"/>
          <w:color w:val="auto"/>
          <w:szCs w:val="21"/>
          <w:highlight w:val="none"/>
        </w:rPr>
      </w:pPr>
    </w:p>
    <w:p w14:paraId="3297F2FF">
      <w:pPr>
        <w:keepNext w:val="0"/>
        <w:keepLines w:val="0"/>
        <w:pageBreakBefore w:val="0"/>
        <w:widowControl w:val="0"/>
        <w:kinsoku/>
        <w:wordWrap/>
        <w:overflowPunct/>
        <w:topLinePunct w:val="0"/>
        <w:autoSpaceDE/>
        <w:autoSpaceDN/>
        <w:bidi w:val="0"/>
        <w:adjustRightInd/>
        <w:snapToGrid w:val="0"/>
        <w:spacing w:before="50" w:after="50" w:line="400" w:lineRule="exact"/>
        <w:textAlignment w:val="auto"/>
        <w:rPr>
          <w:rFonts w:hint="eastAsia" w:ascii="宋体" w:hAnsi="宋体" w:cs="宋体"/>
          <w:color w:val="auto"/>
          <w:spacing w:val="20"/>
          <w:szCs w:val="21"/>
          <w:highlight w:val="none"/>
          <w:u w:val="single"/>
        </w:rPr>
      </w:pPr>
      <w:r>
        <w:rPr>
          <w:rFonts w:hint="eastAsia" w:ascii="宋体" w:hAnsi="宋体" w:cs="宋体"/>
          <w:color w:val="auto"/>
          <w:szCs w:val="21"/>
          <w:highlight w:val="none"/>
        </w:rPr>
        <w:t>法定代表人或者委托代理人</w:t>
      </w:r>
      <w:r>
        <w:rPr>
          <w:rFonts w:hint="eastAsia" w:ascii="宋体" w:hAnsi="宋体" w:cs="宋体"/>
          <w:color w:val="auto"/>
          <w:spacing w:val="20"/>
          <w:szCs w:val="21"/>
          <w:highlight w:val="none"/>
        </w:rPr>
        <w:t>（签字或者电子签名）：</w:t>
      </w:r>
      <w:r>
        <w:rPr>
          <w:rFonts w:hint="eastAsia" w:ascii="宋体" w:hAnsi="宋体" w:cs="宋体"/>
          <w:color w:val="auto"/>
          <w:spacing w:val="20"/>
          <w:szCs w:val="21"/>
          <w:highlight w:val="none"/>
          <w:u w:val="single"/>
        </w:rPr>
        <w:t xml:space="preserve">        </w:t>
      </w:r>
    </w:p>
    <w:p w14:paraId="59EEBD50">
      <w:pPr>
        <w:keepNext w:val="0"/>
        <w:keepLines w:val="0"/>
        <w:pageBreakBefore w:val="0"/>
        <w:widowControl w:val="0"/>
        <w:kinsoku/>
        <w:wordWrap/>
        <w:overflowPunct/>
        <w:topLinePunct w:val="0"/>
        <w:autoSpaceDE/>
        <w:autoSpaceDN/>
        <w:bidi w:val="0"/>
        <w:adjustRightInd/>
        <w:snapToGrid w:val="0"/>
        <w:spacing w:before="120" w:beforeLines="50" w:line="400" w:lineRule="exact"/>
        <w:textAlignment w:val="auto"/>
        <w:rPr>
          <w:rFonts w:hint="eastAsia" w:ascii="宋体" w:hAnsi="宋体" w:cs="宋体"/>
          <w:color w:val="auto"/>
          <w:spacing w:val="20"/>
          <w:szCs w:val="21"/>
          <w:highlight w:val="none"/>
        </w:rPr>
      </w:pPr>
      <w:r>
        <w:rPr>
          <w:rFonts w:hint="eastAsia" w:ascii="宋体" w:hAnsi="宋体" w:cs="宋体"/>
          <w:color w:val="auto"/>
          <w:spacing w:val="20"/>
          <w:szCs w:val="21"/>
          <w:highlight w:val="none"/>
        </w:rPr>
        <w:t>投标人名称（电子签章）：</w:t>
      </w:r>
      <w:r>
        <w:rPr>
          <w:rFonts w:hint="eastAsia" w:ascii="宋体" w:hAnsi="宋体" w:cs="宋体"/>
          <w:color w:val="auto"/>
          <w:spacing w:val="20"/>
          <w:szCs w:val="21"/>
          <w:highlight w:val="none"/>
          <w:u w:val="single"/>
        </w:rPr>
        <w:t xml:space="preserve">            </w:t>
      </w:r>
      <w:r>
        <w:rPr>
          <w:rFonts w:hint="eastAsia" w:ascii="宋体" w:hAnsi="宋体" w:cs="宋体"/>
          <w:color w:val="auto"/>
          <w:spacing w:val="20"/>
          <w:szCs w:val="21"/>
          <w:highlight w:val="none"/>
        </w:rPr>
        <w:t xml:space="preserve">   </w:t>
      </w:r>
    </w:p>
    <w:p w14:paraId="1290D0A4">
      <w:pPr>
        <w:keepNext w:val="0"/>
        <w:keepLines w:val="0"/>
        <w:pageBreakBefore w:val="0"/>
        <w:widowControl w:val="0"/>
        <w:kinsoku/>
        <w:wordWrap/>
        <w:overflowPunct/>
        <w:topLinePunct w:val="0"/>
        <w:autoSpaceDE/>
        <w:autoSpaceDN/>
        <w:bidi w:val="0"/>
        <w:adjustRightInd/>
        <w:snapToGrid w:val="0"/>
        <w:spacing w:before="120" w:beforeLines="50" w:after="50" w:line="400" w:lineRule="exact"/>
        <w:ind w:right="920"/>
        <w:textAlignment w:val="auto"/>
        <w:rPr>
          <w:rFonts w:hint="eastAsia" w:ascii="宋体" w:hAnsi="宋体" w:cs="宋体"/>
          <w:color w:val="auto"/>
          <w:szCs w:val="21"/>
          <w:highlight w:val="none"/>
        </w:rPr>
      </w:pPr>
      <w:r>
        <w:rPr>
          <w:rFonts w:hint="eastAsia" w:ascii="宋体" w:hAnsi="宋体" w:cs="宋体"/>
          <w:color w:val="auto"/>
          <w:spacing w:val="20"/>
          <w:szCs w:val="21"/>
          <w:highlight w:val="none"/>
        </w:rPr>
        <w:t>日  期：</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月</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日</w:t>
      </w:r>
    </w:p>
    <w:p w14:paraId="71B9F20A">
      <w:pPr>
        <w:keepNext w:val="0"/>
        <w:keepLines w:val="0"/>
        <w:pageBreakBefore w:val="0"/>
        <w:widowControl w:val="0"/>
        <w:kinsoku/>
        <w:wordWrap/>
        <w:overflowPunct/>
        <w:topLinePunct w:val="0"/>
        <w:autoSpaceDE/>
        <w:autoSpaceDN/>
        <w:bidi w:val="0"/>
        <w:adjustRightInd/>
        <w:spacing w:line="400" w:lineRule="exact"/>
        <w:contextualSpacing/>
        <w:textAlignment w:val="auto"/>
        <w:rPr>
          <w:rFonts w:hint="eastAsia" w:ascii="宋体" w:hAnsi="宋体" w:cs="宋体"/>
          <w:color w:val="auto"/>
          <w:szCs w:val="21"/>
          <w:highlight w:val="none"/>
        </w:rPr>
      </w:pPr>
    </w:p>
    <w:p w14:paraId="71D2BC6B">
      <w:pPr>
        <w:snapToGrid w:val="0"/>
        <w:spacing w:before="120" w:beforeLines="50" w:line="440" w:lineRule="exact"/>
        <w:rPr>
          <w:rFonts w:hint="eastAsia" w:ascii="宋体" w:hAnsi="宋体" w:cs="宋体"/>
          <w:color w:val="auto"/>
          <w:szCs w:val="21"/>
          <w:highlight w:val="none"/>
        </w:rPr>
      </w:pPr>
    </w:p>
    <w:p w14:paraId="1D1F02FF">
      <w:pPr>
        <w:snapToGrid w:val="0"/>
        <w:spacing w:before="120" w:beforeLines="50"/>
        <w:rPr>
          <w:rFonts w:hint="eastAsia" w:ascii="宋体" w:hAnsi="宋体" w:cs="宋体"/>
          <w:color w:val="auto"/>
          <w:sz w:val="24"/>
          <w:szCs w:val="20"/>
          <w:highlight w:val="none"/>
        </w:rPr>
      </w:pPr>
    </w:p>
    <w:p w14:paraId="5DD2AD09">
      <w:pPr>
        <w:snapToGrid w:val="0"/>
        <w:spacing w:before="120" w:beforeLines="50" w:after="50"/>
        <w:jc w:val="left"/>
        <w:rPr>
          <w:rFonts w:hint="eastAsia" w:ascii="宋体" w:hAnsi="宋体" w:cs="宋体"/>
          <w:color w:val="auto"/>
          <w:sz w:val="24"/>
          <w:szCs w:val="20"/>
          <w:highlight w:val="none"/>
        </w:rPr>
        <w:sectPr>
          <w:footerReference r:id="rId13" w:type="first"/>
          <w:headerReference r:id="rId10" w:type="default"/>
          <w:footerReference r:id="rId11" w:type="default"/>
          <w:footerReference r:id="rId12" w:type="even"/>
          <w:pgSz w:w="11906" w:h="16838"/>
          <w:pgMar w:top="1134" w:right="1247" w:bottom="1134" w:left="1417" w:header="850" w:footer="850" w:gutter="0"/>
          <w:pgNumType w:fmt="decimal"/>
          <w:cols w:space="720" w:num="1"/>
          <w:titlePg/>
          <w:docGrid w:linePitch="312" w:charSpace="0"/>
        </w:sectPr>
      </w:pPr>
    </w:p>
    <w:p w14:paraId="13CE4262">
      <w:pPr>
        <w:snapToGrid w:val="0"/>
        <w:spacing w:before="165" w:beforeLines="50" w:after="50"/>
        <w:jc w:val="left"/>
        <w:rPr>
          <w:rFonts w:hint="eastAsia" w:ascii="宋体" w:hAnsi="宋体" w:cs="宋体"/>
          <w:b/>
          <w:color w:val="auto"/>
          <w:sz w:val="24"/>
          <w:highlight w:val="none"/>
        </w:rPr>
      </w:pPr>
      <w:r>
        <w:rPr>
          <w:rFonts w:hint="eastAsia" w:ascii="宋体" w:hAnsi="宋体" w:cs="宋体"/>
          <w:b/>
          <w:color w:val="auto"/>
          <w:sz w:val="24"/>
          <w:highlight w:val="none"/>
        </w:rPr>
        <w:t>6.投标人业绩证明材料</w:t>
      </w:r>
    </w:p>
    <w:p w14:paraId="40513794">
      <w:pPr>
        <w:pStyle w:val="29"/>
        <w:snapToGrid w:val="0"/>
        <w:ind w:left="480" w:hanging="480"/>
        <w:rPr>
          <w:rFonts w:hint="eastAsia" w:ascii="宋体" w:hAnsi="宋体" w:cs="宋体"/>
          <w:color w:val="auto"/>
          <w:sz w:val="24"/>
          <w:highlight w:val="none"/>
        </w:rPr>
      </w:pPr>
    </w:p>
    <w:p w14:paraId="0B663D39">
      <w:pPr>
        <w:pStyle w:val="29"/>
        <w:snapToGrid w:val="0"/>
        <w:spacing w:line="440" w:lineRule="exact"/>
        <w:ind w:left="600" w:hanging="600"/>
        <w:jc w:val="center"/>
        <w:rPr>
          <w:rFonts w:hint="eastAsia" w:ascii="宋体" w:hAnsi="宋体" w:cs="宋体"/>
          <w:color w:val="auto"/>
          <w:sz w:val="30"/>
          <w:szCs w:val="30"/>
          <w:highlight w:val="none"/>
        </w:rPr>
      </w:pPr>
      <w:r>
        <w:rPr>
          <w:rFonts w:hint="eastAsia" w:ascii="宋体" w:hAnsi="宋体" w:cs="宋体"/>
          <w:color w:val="auto"/>
          <w:sz w:val="30"/>
          <w:szCs w:val="30"/>
          <w:highlight w:val="none"/>
        </w:rPr>
        <w:t xml:space="preserve">投标人业绩情况一览表格式 </w:t>
      </w:r>
    </w:p>
    <w:tbl>
      <w:tblPr>
        <w:tblStyle w:val="39"/>
        <w:tblW w:w="5000" w:type="pct"/>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2365"/>
        <w:gridCol w:w="1963"/>
        <w:gridCol w:w="1963"/>
        <w:gridCol w:w="3167"/>
      </w:tblGrid>
      <w:tr w14:paraId="5EF3EB7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87" w:hRule="atLeast"/>
        </w:trPr>
        <w:tc>
          <w:tcPr>
            <w:tcW w:w="1250" w:type="pct"/>
            <w:vMerge w:val="restart"/>
            <w:tcBorders>
              <w:top w:val="single" w:color="auto" w:sz="4" w:space="0"/>
              <w:left w:val="single" w:color="auto" w:sz="4" w:space="0"/>
              <w:bottom w:val="single" w:color="auto" w:sz="4" w:space="0"/>
              <w:right w:val="single" w:color="auto" w:sz="4" w:space="0"/>
            </w:tcBorders>
            <w:noWrap w:val="0"/>
            <w:vAlign w:val="center"/>
          </w:tcPr>
          <w:p w14:paraId="16E2E14F">
            <w:pPr>
              <w:keepNext w:val="0"/>
              <w:keepLines w:val="0"/>
              <w:suppressLineNumbers w:val="0"/>
              <w:snapToGrid w:val="0"/>
              <w:spacing w:before="0" w:beforeAutospacing="0" w:after="0" w:afterAutospacing="0" w:line="440" w:lineRule="exact"/>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采购人名称</w:t>
            </w:r>
          </w:p>
        </w:tc>
        <w:tc>
          <w:tcPr>
            <w:tcW w:w="1038" w:type="pct"/>
            <w:vMerge w:val="restart"/>
            <w:tcBorders>
              <w:top w:val="single" w:color="auto" w:sz="4" w:space="0"/>
              <w:left w:val="single" w:color="auto" w:sz="4" w:space="0"/>
              <w:bottom w:val="single" w:color="auto" w:sz="4" w:space="0"/>
              <w:right w:val="single" w:color="auto" w:sz="4" w:space="0"/>
            </w:tcBorders>
            <w:noWrap w:val="0"/>
            <w:vAlign w:val="center"/>
          </w:tcPr>
          <w:p w14:paraId="66F6382C">
            <w:pPr>
              <w:keepNext w:val="0"/>
              <w:keepLines w:val="0"/>
              <w:suppressLineNumbers w:val="0"/>
              <w:snapToGrid w:val="0"/>
              <w:spacing w:before="0" w:beforeAutospacing="0" w:after="0" w:afterAutospacing="0" w:line="440" w:lineRule="exact"/>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项目名称</w:t>
            </w:r>
          </w:p>
        </w:tc>
        <w:tc>
          <w:tcPr>
            <w:tcW w:w="1038" w:type="pct"/>
            <w:vMerge w:val="restart"/>
            <w:tcBorders>
              <w:top w:val="single" w:color="auto" w:sz="4" w:space="0"/>
              <w:left w:val="single" w:color="auto" w:sz="4" w:space="0"/>
              <w:bottom w:val="single" w:color="auto" w:sz="4" w:space="0"/>
              <w:right w:val="single" w:color="auto" w:sz="4" w:space="0"/>
            </w:tcBorders>
            <w:noWrap w:val="0"/>
            <w:vAlign w:val="center"/>
          </w:tcPr>
          <w:p w14:paraId="2F9ADBE9">
            <w:pPr>
              <w:keepNext w:val="0"/>
              <w:keepLines w:val="0"/>
              <w:suppressLineNumbers w:val="0"/>
              <w:snapToGrid w:val="0"/>
              <w:spacing w:before="0" w:beforeAutospacing="0" w:after="0" w:afterAutospacing="0" w:line="440" w:lineRule="exact"/>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合同金额</w:t>
            </w:r>
          </w:p>
          <w:p w14:paraId="1F3D11A6">
            <w:pPr>
              <w:keepNext w:val="0"/>
              <w:keepLines w:val="0"/>
              <w:suppressLineNumbers w:val="0"/>
              <w:snapToGrid w:val="0"/>
              <w:spacing w:before="0" w:beforeAutospacing="0" w:after="0" w:afterAutospacing="0" w:line="440" w:lineRule="exact"/>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（万元）</w:t>
            </w:r>
          </w:p>
        </w:tc>
        <w:tc>
          <w:tcPr>
            <w:tcW w:w="1674" w:type="pct"/>
            <w:vMerge w:val="restart"/>
            <w:tcBorders>
              <w:top w:val="single" w:color="auto" w:sz="4" w:space="0"/>
              <w:left w:val="single" w:color="auto" w:sz="4" w:space="0"/>
              <w:bottom w:val="single" w:color="auto" w:sz="4" w:space="0"/>
              <w:right w:val="single" w:color="auto" w:sz="4" w:space="0"/>
            </w:tcBorders>
            <w:noWrap w:val="0"/>
            <w:vAlign w:val="center"/>
          </w:tcPr>
          <w:p w14:paraId="435D5C00">
            <w:pPr>
              <w:keepNext w:val="0"/>
              <w:keepLines w:val="0"/>
              <w:suppressLineNumbers w:val="0"/>
              <w:snapToGrid w:val="0"/>
              <w:spacing w:before="0" w:beforeAutospacing="0" w:after="0" w:afterAutospacing="0" w:line="440" w:lineRule="exact"/>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采购人联系人及</w:t>
            </w:r>
          </w:p>
          <w:p w14:paraId="5751F64E">
            <w:pPr>
              <w:keepNext w:val="0"/>
              <w:keepLines w:val="0"/>
              <w:suppressLineNumbers w:val="0"/>
              <w:snapToGrid w:val="0"/>
              <w:spacing w:before="0" w:beforeAutospacing="0" w:after="0" w:afterAutospacing="0" w:line="440" w:lineRule="exact"/>
              <w:ind w:left="0" w:right="0"/>
              <w:jc w:val="center"/>
              <w:rPr>
                <w:rFonts w:hint="eastAsia" w:ascii="宋体" w:hAnsi="宋体" w:cs="宋体"/>
                <w:color w:val="auto"/>
                <w:szCs w:val="21"/>
                <w:highlight w:val="none"/>
              </w:rPr>
            </w:pPr>
            <w:r>
              <w:rPr>
                <w:rFonts w:hint="eastAsia" w:ascii="宋体" w:hAnsi="宋体" w:cs="宋体"/>
                <w:color w:val="auto"/>
                <w:szCs w:val="21"/>
                <w:highlight w:val="none"/>
              </w:rPr>
              <w:t>联系电话</w:t>
            </w:r>
          </w:p>
        </w:tc>
      </w:tr>
      <w:tr w14:paraId="376EED5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836" w:hRule="atLeast"/>
        </w:trPr>
        <w:tc>
          <w:tcPr>
            <w:tcW w:w="1250" w:type="pct"/>
            <w:vMerge w:val="continue"/>
            <w:tcBorders>
              <w:top w:val="single" w:color="auto" w:sz="4" w:space="0"/>
              <w:left w:val="single" w:color="auto" w:sz="4" w:space="0"/>
              <w:bottom w:val="single" w:color="auto" w:sz="4" w:space="0"/>
              <w:right w:val="single" w:color="auto" w:sz="4" w:space="0"/>
            </w:tcBorders>
            <w:noWrap w:val="0"/>
            <w:vAlign w:val="center"/>
          </w:tcPr>
          <w:p w14:paraId="7CB4B912">
            <w:pPr>
              <w:keepNext w:val="0"/>
              <w:keepLines w:val="0"/>
              <w:suppressLineNumbers w:val="0"/>
              <w:spacing w:before="0" w:beforeAutospacing="0" w:after="0" w:afterAutospacing="0" w:line="440" w:lineRule="exact"/>
              <w:ind w:left="0" w:right="0"/>
              <w:jc w:val="left"/>
              <w:rPr>
                <w:rFonts w:hint="eastAsia" w:ascii="宋体" w:hAnsi="宋体" w:cs="宋体"/>
                <w:color w:val="auto"/>
                <w:szCs w:val="21"/>
                <w:highlight w:val="none"/>
              </w:rPr>
            </w:pPr>
          </w:p>
        </w:tc>
        <w:tc>
          <w:tcPr>
            <w:tcW w:w="1038" w:type="pct"/>
            <w:vMerge w:val="continue"/>
            <w:tcBorders>
              <w:top w:val="single" w:color="auto" w:sz="4" w:space="0"/>
              <w:left w:val="single" w:color="auto" w:sz="4" w:space="0"/>
              <w:bottom w:val="single" w:color="auto" w:sz="4" w:space="0"/>
              <w:right w:val="single" w:color="auto" w:sz="4" w:space="0"/>
            </w:tcBorders>
            <w:noWrap w:val="0"/>
            <w:vAlign w:val="center"/>
          </w:tcPr>
          <w:p w14:paraId="6748652D">
            <w:pPr>
              <w:keepNext w:val="0"/>
              <w:keepLines w:val="0"/>
              <w:suppressLineNumbers w:val="0"/>
              <w:spacing w:before="0" w:beforeAutospacing="0" w:after="0" w:afterAutospacing="0" w:line="440" w:lineRule="exact"/>
              <w:ind w:left="0" w:right="0"/>
              <w:jc w:val="left"/>
              <w:rPr>
                <w:rFonts w:hint="eastAsia" w:ascii="宋体" w:hAnsi="宋体" w:cs="宋体"/>
                <w:color w:val="auto"/>
                <w:szCs w:val="21"/>
                <w:highlight w:val="none"/>
              </w:rPr>
            </w:pPr>
          </w:p>
        </w:tc>
        <w:tc>
          <w:tcPr>
            <w:tcW w:w="1038" w:type="pct"/>
            <w:vMerge w:val="continue"/>
            <w:tcBorders>
              <w:top w:val="single" w:color="auto" w:sz="4" w:space="0"/>
              <w:left w:val="single" w:color="auto" w:sz="4" w:space="0"/>
              <w:bottom w:val="single" w:color="auto" w:sz="4" w:space="0"/>
              <w:right w:val="single" w:color="auto" w:sz="4" w:space="0"/>
            </w:tcBorders>
            <w:noWrap w:val="0"/>
            <w:vAlign w:val="center"/>
          </w:tcPr>
          <w:p w14:paraId="7A96E543">
            <w:pPr>
              <w:keepNext w:val="0"/>
              <w:keepLines w:val="0"/>
              <w:suppressLineNumbers w:val="0"/>
              <w:spacing w:before="0" w:beforeAutospacing="0" w:after="0" w:afterAutospacing="0" w:line="440" w:lineRule="exact"/>
              <w:ind w:left="0" w:right="0"/>
              <w:jc w:val="left"/>
              <w:rPr>
                <w:rFonts w:hint="eastAsia" w:ascii="宋体" w:hAnsi="宋体" w:cs="宋体"/>
                <w:color w:val="auto"/>
                <w:szCs w:val="21"/>
                <w:highlight w:val="none"/>
              </w:rPr>
            </w:pPr>
          </w:p>
        </w:tc>
        <w:tc>
          <w:tcPr>
            <w:tcW w:w="1674" w:type="pct"/>
            <w:vMerge w:val="continue"/>
            <w:tcBorders>
              <w:top w:val="single" w:color="auto" w:sz="4" w:space="0"/>
              <w:left w:val="single" w:color="auto" w:sz="4" w:space="0"/>
              <w:bottom w:val="single" w:color="auto" w:sz="4" w:space="0"/>
              <w:right w:val="single" w:color="auto" w:sz="4" w:space="0"/>
            </w:tcBorders>
            <w:noWrap w:val="0"/>
            <w:vAlign w:val="center"/>
          </w:tcPr>
          <w:p w14:paraId="15E33D1E">
            <w:pPr>
              <w:keepNext w:val="0"/>
              <w:keepLines w:val="0"/>
              <w:suppressLineNumbers w:val="0"/>
              <w:spacing w:before="0" w:beforeAutospacing="0" w:after="0" w:afterAutospacing="0" w:line="440" w:lineRule="exact"/>
              <w:ind w:left="0" w:right="0"/>
              <w:jc w:val="left"/>
              <w:rPr>
                <w:rFonts w:hint="eastAsia" w:ascii="宋体" w:hAnsi="宋体" w:cs="宋体"/>
                <w:color w:val="auto"/>
                <w:szCs w:val="21"/>
                <w:highlight w:val="none"/>
              </w:rPr>
            </w:pPr>
          </w:p>
        </w:tc>
      </w:tr>
      <w:tr w14:paraId="6B99910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9" w:hRule="atLeast"/>
        </w:trPr>
        <w:tc>
          <w:tcPr>
            <w:tcW w:w="1250" w:type="pct"/>
            <w:tcBorders>
              <w:top w:val="single" w:color="auto" w:sz="4" w:space="0"/>
              <w:left w:val="single" w:color="auto" w:sz="4" w:space="0"/>
              <w:bottom w:val="single" w:color="auto" w:sz="4" w:space="0"/>
              <w:right w:val="single" w:color="auto" w:sz="4" w:space="0"/>
            </w:tcBorders>
            <w:noWrap w:val="0"/>
            <w:vAlign w:val="top"/>
          </w:tcPr>
          <w:p w14:paraId="0FF312BA">
            <w:pPr>
              <w:keepNext w:val="0"/>
              <w:keepLines w:val="0"/>
              <w:suppressLineNumbers w:val="0"/>
              <w:snapToGrid w:val="0"/>
              <w:spacing w:before="0" w:beforeAutospacing="0" w:after="0" w:afterAutospacing="0" w:line="440" w:lineRule="exact"/>
              <w:ind w:left="0" w:right="0"/>
              <w:jc w:val="left"/>
              <w:rPr>
                <w:rFonts w:hint="eastAsia" w:ascii="宋体" w:hAnsi="宋体" w:cs="宋体"/>
                <w:color w:val="auto"/>
                <w:szCs w:val="21"/>
                <w:highlight w:val="none"/>
              </w:rPr>
            </w:pPr>
          </w:p>
        </w:tc>
        <w:tc>
          <w:tcPr>
            <w:tcW w:w="1038" w:type="pct"/>
            <w:tcBorders>
              <w:top w:val="single" w:color="auto" w:sz="4" w:space="0"/>
              <w:left w:val="single" w:color="auto" w:sz="4" w:space="0"/>
              <w:bottom w:val="single" w:color="auto" w:sz="4" w:space="0"/>
              <w:right w:val="single" w:color="auto" w:sz="4" w:space="0"/>
            </w:tcBorders>
            <w:noWrap w:val="0"/>
            <w:vAlign w:val="top"/>
          </w:tcPr>
          <w:p w14:paraId="4C61BFBA">
            <w:pPr>
              <w:keepNext w:val="0"/>
              <w:keepLines w:val="0"/>
              <w:suppressLineNumbers w:val="0"/>
              <w:snapToGrid w:val="0"/>
              <w:spacing w:before="0" w:beforeAutospacing="0" w:after="0" w:afterAutospacing="0" w:line="440" w:lineRule="exact"/>
              <w:ind w:left="0" w:right="0"/>
              <w:jc w:val="left"/>
              <w:rPr>
                <w:rFonts w:hint="eastAsia" w:ascii="宋体" w:hAnsi="宋体" w:cs="宋体"/>
                <w:color w:val="auto"/>
                <w:szCs w:val="21"/>
                <w:highlight w:val="none"/>
              </w:rPr>
            </w:pPr>
          </w:p>
        </w:tc>
        <w:tc>
          <w:tcPr>
            <w:tcW w:w="1038" w:type="pct"/>
            <w:tcBorders>
              <w:top w:val="single" w:color="auto" w:sz="4" w:space="0"/>
              <w:left w:val="single" w:color="auto" w:sz="4" w:space="0"/>
              <w:bottom w:val="single" w:color="auto" w:sz="4" w:space="0"/>
              <w:right w:val="single" w:color="auto" w:sz="4" w:space="0"/>
            </w:tcBorders>
            <w:noWrap w:val="0"/>
            <w:vAlign w:val="top"/>
          </w:tcPr>
          <w:p w14:paraId="57754472">
            <w:pPr>
              <w:keepNext w:val="0"/>
              <w:keepLines w:val="0"/>
              <w:suppressLineNumbers w:val="0"/>
              <w:snapToGrid w:val="0"/>
              <w:spacing w:before="0" w:beforeAutospacing="0" w:after="0" w:afterAutospacing="0" w:line="440" w:lineRule="exact"/>
              <w:ind w:left="0" w:right="0"/>
              <w:jc w:val="left"/>
              <w:rPr>
                <w:rFonts w:hint="eastAsia" w:ascii="宋体" w:hAnsi="宋体" w:cs="宋体"/>
                <w:color w:val="auto"/>
                <w:szCs w:val="21"/>
                <w:highlight w:val="none"/>
              </w:rPr>
            </w:pPr>
          </w:p>
        </w:tc>
        <w:tc>
          <w:tcPr>
            <w:tcW w:w="1674" w:type="pct"/>
            <w:tcBorders>
              <w:top w:val="single" w:color="auto" w:sz="4" w:space="0"/>
              <w:left w:val="single" w:color="auto" w:sz="4" w:space="0"/>
              <w:bottom w:val="single" w:color="auto" w:sz="4" w:space="0"/>
              <w:right w:val="single" w:color="auto" w:sz="4" w:space="0"/>
            </w:tcBorders>
            <w:noWrap w:val="0"/>
            <w:vAlign w:val="top"/>
          </w:tcPr>
          <w:p w14:paraId="21A5E0DC">
            <w:pPr>
              <w:keepNext w:val="0"/>
              <w:keepLines w:val="0"/>
              <w:suppressLineNumbers w:val="0"/>
              <w:snapToGrid w:val="0"/>
              <w:spacing w:before="0" w:beforeAutospacing="0" w:after="0" w:afterAutospacing="0" w:line="440" w:lineRule="exact"/>
              <w:ind w:left="0" w:right="0"/>
              <w:jc w:val="left"/>
              <w:rPr>
                <w:rFonts w:hint="eastAsia" w:ascii="宋体" w:hAnsi="宋体" w:cs="宋体"/>
                <w:color w:val="auto"/>
                <w:szCs w:val="21"/>
                <w:highlight w:val="none"/>
              </w:rPr>
            </w:pPr>
          </w:p>
        </w:tc>
      </w:tr>
      <w:tr w14:paraId="48E06D8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250" w:type="pct"/>
            <w:tcBorders>
              <w:top w:val="single" w:color="auto" w:sz="4" w:space="0"/>
              <w:left w:val="single" w:color="auto" w:sz="4" w:space="0"/>
              <w:bottom w:val="single" w:color="auto" w:sz="4" w:space="0"/>
              <w:right w:val="single" w:color="auto" w:sz="4" w:space="0"/>
            </w:tcBorders>
            <w:noWrap w:val="0"/>
            <w:vAlign w:val="top"/>
          </w:tcPr>
          <w:p w14:paraId="31678064">
            <w:pPr>
              <w:keepNext w:val="0"/>
              <w:keepLines w:val="0"/>
              <w:suppressLineNumbers w:val="0"/>
              <w:snapToGrid w:val="0"/>
              <w:spacing w:before="50" w:beforeAutospacing="0" w:after="165" w:afterLines="50" w:afterAutospacing="0" w:line="440" w:lineRule="exact"/>
              <w:ind w:left="0" w:right="0"/>
              <w:jc w:val="left"/>
              <w:rPr>
                <w:rFonts w:hint="eastAsia" w:ascii="宋体" w:hAnsi="宋体" w:cs="宋体"/>
                <w:color w:val="auto"/>
                <w:szCs w:val="21"/>
                <w:highlight w:val="none"/>
              </w:rPr>
            </w:pPr>
          </w:p>
        </w:tc>
        <w:tc>
          <w:tcPr>
            <w:tcW w:w="1038" w:type="pct"/>
            <w:tcBorders>
              <w:top w:val="single" w:color="auto" w:sz="4" w:space="0"/>
              <w:left w:val="single" w:color="auto" w:sz="4" w:space="0"/>
              <w:bottom w:val="single" w:color="auto" w:sz="4" w:space="0"/>
              <w:right w:val="single" w:color="auto" w:sz="4" w:space="0"/>
            </w:tcBorders>
            <w:noWrap w:val="0"/>
            <w:vAlign w:val="top"/>
          </w:tcPr>
          <w:p w14:paraId="1FB5FC81">
            <w:pPr>
              <w:keepNext w:val="0"/>
              <w:keepLines w:val="0"/>
              <w:suppressLineNumbers w:val="0"/>
              <w:snapToGrid w:val="0"/>
              <w:spacing w:before="50" w:beforeAutospacing="0" w:after="165" w:afterLines="50" w:afterAutospacing="0" w:line="440" w:lineRule="exact"/>
              <w:ind w:left="0" w:right="0"/>
              <w:jc w:val="left"/>
              <w:rPr>
                <w:rFonts w:hint="eastAsia" w:ascii="宋体" w:hAnsi="宋体" w:cs="宋体"/>
                <w:color w:val="auto"/>
                <w:szCs w:val="21"/>
                <w:highlight w:val="none"/>
              </w:rPr>
            </w:pPr>
          </w:p>
        </w:tc>
        <w:tc>
          <w:tcPr>
            <w:tcW w:w="1038" w:type="pct"/>
            <w:tcBorders>
              <w:top w:val="single" w:color="auto" w:sz="4" w:space="0"/>
              <w:left w:val="single" w:color="auto" w:sz="4" w:space="0"/>
              <w:bottom w:val="single" w:color="auto" w:sz="4" w:space="0"/>
              <w:right w:val="single" w:color="auto" w:sz="4" w:space="0"/>
            </w:tcBorders>
            <w:noWrap w:val="0"/>
            <w:vAlign w:val="top"/>
          </w:tcPr>
          <w:p w14:paraId="2F09ACC7">
            <w:pPr>
              <w:keepNext w:val="0"/>
              <w:keepLines w:val="0"/>
              <w:suppressLineNumbers w:val="0"/>
              <w:snapToGrid w:val="0"/>
              <w:spacing w:before="50" w:beforeAutospacing="0" w:after="165" w:afterLines="50" w:afterAutospacing="0" w:line="440" w:lineRule="exact"/>
              <w:ind w:left="0" w:right="0"/>
              <w:jc w:val="left"/>
              <w:rPr>
                <w:rFonts w:hint="eastAsia" w:ascii="宋体" w:hAnsi="宋体" w:cs="宋体"/>
                <w:color w:val="auto"/>
                <w:szCs w:val="21"/>
                <w:highlight w:val="none"/>
              </w:rPr>
            </w:pPr>
          </w:p>
        </w:tc>
        <w:tc>
          <w:tcPr>
            <w:tcW w:w="1674" w:type="pct"/>
            <w:tcBorders>
              <w:top w:val="single" w:color="auto" w:sz="4" w:space="0"/>
              <w:left w:val="single" w:color="auto" w:sz="4" w:space="0"/>
              <w:bottom w:val="single" w:color="auto" w:sz="4" w:space="0"/>
              <w:right w:val="single" w:color="auto" w:sz="4" w:space="0"/>
            </w:tcBorders>
            <w:noWrap w:val="0"/>
            <w:vAlign w:val="top"/>
          </w:tcPr>
          <w:p w14:paraId="74CCB28A">
            <w:pPr>
              <w:keepNext w:val="0"/>
              <w:keepLines w:val="0"/>
              <w:suppressLineNumbers w:val="0"/>
              <w:snapToGrid w:val="0"/>
              <w:spacing w:before="50" w:beforeAutospacing="0" w:after="165" w:afterLines="50" w:afterAutospacing="0" w:line="440" w:lineRule="exact"/>
              <w:ind w:left="0" w:right="0"/>
              <w:jc w:val="left"/>
              <w:rPr>
                <w:rFonts w:hint="eastAsia" w:ascii="宋体" w:hAnsi="宋体" w:cs="宋体"/>
                <w:color w:val="auto"/>
                <w:szCs w:val="21"/>
                <w:highlight w:val="none"/>
              </w:rPr>
            </w:pPr>
          </w:p>
        </w:tc>
      </w:tr>
      <w:tr w14:paraId="2125ECB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0" w:hRule="atLeast"/>
        </w:trPr>
        <w:tc>
          <w:tcPr>
            <w:tcW w:w="1250" w:type="pct"/>
            <w:tcBorders>
              <w:top w:val="single" w:color="auto" w:sz="4" w:space="0"/>
              <w:left w:val="single" w:color="auto" w:sz="4" w:space="0"/>
              <w:bottom w:val="single" w:color="auto" w:sz="4" w:space="0"/>
              <w:right w:val="single" w:color="auto" w:sz="4" w:space="0"/>
            </w:tcBorders>
            <w:noWrap w:val="0"/>
            <w:vAlign w:val="top"/>
          </w:tcPr>
          <w:p w14:paraId="40A5929C">
            <w:pPr>
              <w:keepNext w:val="0"/>
              <w:keepLines w:val="0"/>
              <w:suppressLineNumbers w:val="0"/>
              <w:snapToGrid w:val="0"/>
              <w:spacing w:before="50" w:beforeAutospacing="0" w:after="165" w:afterLines="50" w:afterAutospacing="0" w:line="440" w:lineRule="exact"/>
              <w:ind w:left="0" w:right="0"/>
              <w:jc w:val="left"/>
              <w:rPr>
                <w:rFonts w:hint="eastAsia" w:ascii="宋体" w:hAnsi="宋体" w:cs="宋体"/>
                <w:color w:val="auto"/>
                <w:szCs w:val="21"/>
                <w:highlight w:val="none"/>
              </w:rPr>
            </w:pPr>
          </w:p>
        </w:tc>
        <w:tc>
          <w:tcPr>
            <w:tcW w:w="1038" w:type="pct"/>
            <w:tcBorders>
              <w:top w:val="single" w:color="auto" w:sz="4" w:space="0"/>
              <w:left w:val="single" w:color="auto" w:sz="4" w:space="0"/>
              <w:bottom w:val="single" w:color="auto" w:sz="4" w:space="0"/>
              <w:right w:val="single" w:color="auto" w:sz="4" w:space="0"/>
            </w:tcBorders>
            <w:noWrap w:val="0"/>
            <w:vAlign w:val="top"/>
          </w:tcPr>
          <w:p w14:paraId="3D2E2E1D">
            <w:pPr>
              <w:keepNext w:val="0"/>
              <w:keepLines w:val="0"/>
              <w:suppressLineNumbers w:val="0"/>
              <w:snapToGrid w:val="0"/>
              <w:spacing w:before="50" w:beforeAutospacing="0" w:after="165" w:afterLines="50" w:afterAutospacing="0" w:line="440" w:lineRule="exact"/>
              <w:ind w:left="0" w:right="0"/>
              <w:jc w:val="left"/>
              <w:rPr>
                <w:rFonts w:hint="eastAsia" w:ascii="宋体" w:hAnsi="宋体" w:cs="宋体"/>
                <w:color w:val="auto"/>
                <w:szCs w:val="21"/>
                <w:highlight w:val="none"/>
              </w:rPr>
            </w:pPr>
          </w:p>
        </w:tc>
        <w:tc>
          <w:tcPr>
            <w:tcW w:w="1038" w:type="pct"/>
            <w:tcBorders>
              <w:top w:val="single" w:color="auto" w:sz="4" w:space="0"/>
              <w:left w:val="single" w:color="auto" w:sz="4" w:space="0"/>
              <w:bottom w:val="single" w:color="auto" w:sz="4" w:space="0"/>
              <w:right w:val="single" w:color="auto" w:sz="4" w:space="0"/>
            </w:tcBorders>
            <w:noWrap w:val="0"/>
            <w:vAlign w:val="top"/>
          </w:tcPr>
          <w:p w14:paraId="23725E67">
            <w:pPr>
              <w:keepNext w:val="0"/>
              <w:keepLines w:val="0"/>
              <w:suppressLineNumbers w:val="0"/>
              <w:snapToGrid w:val="0"/>
              <w:spacing w:before="50" w:beforeAutospacing="0" w:after="165" w:afterLines="50" w:afterAutospacing="0" w:line="440" w:lineRule="exact"/>
              <w:ind w:left="0" w:right="0"/>
              <w:jc w:val="left"/>
              <w:rPr>
                <w:rFonts w:hint="eastAsia" w:ascii="宋体" w:hAnsi="宋体" w:cs="宋体"/>
                <w:color w:val="auto"/>
                <w:szCs w:val="21"/>
                <w:highlight w:val="none"/>
              </w:rPr>
            </w:pPr>
          </w:p>
        </w:tc>
        <w:tc>
          <w:tcPr>
            <w:tcW w:w="1674" w:type="pct"/>
            <w:tcBorders>
              <w:top w:val="single" w:color="auto" w:sz="4" w:space="0"/>
              <w:left w:val="single" w:color="auto" w:sz="4" w:space="0"/>
              <w:bottom w:val="single" w:color="auto" w:sz="4" w:space="0"/>
              <w:right w:val="single" w:color="auto" w:sz="4" w:space="0"/>
            </w:tcBorders>
            <w:noWrap w:val="0"/>
            <w:vAlign w:val="top"/>
          </w:tcPr>
          <w:p w14:paraId="16560E95">
            <w:pPr>
              <w:keepNext w:val="0"/>
              <w:keepLines w:val="0"/>
              <w:suppressLineNumbers w:val="0"/>
              <w:snapToGrid w:val="0"/>
              <w:spacing w:before="50" w:beforeAutospacing="0" w:after="165" w:afterLines="50" w:afterAutospacing="0" w:line="440" w:lineRule="exact"/>
              <w:ind w:left="0" w:right="0"/>
              <w:jc w:val="left"/>
              <w:rPr>
                <w:rFonts w:hint="eastAsia" w:ascii="宋体" w:hAnsi="宋体" w:cs="宋体"/>
                <w:color w:val="auto"/>
                <w:szCs w:val="21"/>
                <w:highlight w:val="none"/>
              </w:rPr>
            </w:pPr>
          </w:p>
        </w:tc>
      </w:tr>
      <w:tr w14:paraId="7B473C2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250" w:type="pct"/>
            <w:tcBorders>
              <w:top w:val="single" w:color="auto" w:sz="4" w:space="0"/>
              <w:left w:val="single" w:color="auto" w:sz="4" w:space="0"/>
              <w:bottom w:val="single" w:color="auto" w:sz="4" w:space="0"/>
              <w:right w:val="single" w:color="auto" w:sz="4" w:space="0"/>
            </w:tcBorders>
            <w:noWrap w:val="0"/>
            <w:vAlign w:val="top"/>
          </w:tcPr>
          <w:p w14:paraId="2631F5BD">
            <w:pPr>
              <w:keepNext w:val="0"/>
              <w:keepLines w:val="0"/>
              <w:suppressLineNumbers w:val="0"/>
              <w:snapToGrid w:val="0"/>
              <w:spacing w:before="50" w:beforeAutospacing="0" w:after="165" w:afterLines="50" w:afterAutospacing="0" w:line="440" w:lineRule="exact"/>
              <w:ind w:left="0" w:right="0"/>
              <w:jc w:val="left"/>
              <w:rPr>
                <w:rFonts w:hint="eastAsia" w:ascii="宋体" w:hAnsi="宋体" w:cs="宋体"/>
                <w:color w:val="auto"/>
                <w:szCs w:val="21"/>
                <w:highlight w:val="none"/>
              </w:rPr>
            </w:pPr>
          </w:p>
        </w:tc>
        <w:tc>
          <w:tcPr>
            <w:tcW w:w="1038" w:type="pct"/>
            <w:tcBorders>
              <w:top w:val="single" w:color="auto" w:sz="4" w:space="0"/>
              <w:left w:val="single" w:color="auto" w:sz="4" w:space="0"/>
              <w:bottom w:val="single" w:color="auto" w:sz="4" w:space="0"/>
              <w:right w:val="single" w:color="auto" w:sz="4" w:space="0"/>
            </w:tcBorders>
            <w:noWrap w:val="0"/>
            <w:vAlign w:val="top"/>
          </w:tcPr>
          <w:p w14:paraId="317A1C1F">
            <w:pPr>
              <w:keepNext w:val="0"/>
              <w:keepLines w:val="0"/>
              <w:suppressLineNumbers w:val="0"/>
              <w:snapToGrid w:val="0"/>
              <w:spacing w:before="50" w:beforeAutospacing="0" w:after="165" w:afterLines="50" w:afterAutospacing="0" w:line="440" w:lineRule="exact"/>
              <w:ind w:left="0" w:right="0"/>
              <w:jc w:val="left"/>
              <w:rPr>
                <w:rFonts w:hint="eastAsia" w:ascii="宋体" w:hAnsi="宋体" w:cs="宋体"/>
                <w:color w:val="auto"/>
                <w:szCs w:val="21"/>
                <w:highlight w:val="none"/>
              </w:rPr>
            </w:pPr>
          </w:p>
        </w:tc>
        <w:tc>
          <w:tcPr>
            <w:tcW w:w="1038" w:type="pct"/>
            <w:tcBorders>
              <w:top w:val="single" w:color="auto" w:sz="4" w:space="0"/>
              <w:left w:val="single" w:color="auto" w:sz="4" w:space="0"/>
              <w:bottom w:val="single" w:color="auto" w:sz="4" w:space="0"/>
              <w:right w:val="single" w:color="auto" w:sz="4" w:space="0"/>
            </w:tcBorders>
            <w:noWrap w:val="0"/>
            <w:vAlign w:val="top"/>
          </w:tcPr>
          <w:p w14:paraId="4CE22957">
            <w:pPr>
              <w:keepNext w:val="0"/>
              <w:keepLines w:val="0"/>
              <w:suppressLineNumbers w:val="0"/>
              <w:snapToGrid w:val="0"/>
              <w:spacing w:before="50" w:beforeAutospacing="0" w:after="165" w:afterLines="50" w:afterAutospacing="0" w:line="440" w:lineRule="exact"/>
              <w:ind w:left="0" w:right="0"/>
              <w:jc w:val="left"/>
              <w:rPr>
                <w:rFonts w:hint="eastAsia" w:ascii="宋体" w:hAnsi="宋体" w:cs="宋体"/>
                <w:color w:val="auto"/>
                <w:szCs w:val="21"/>
                <w:highlight w:val="none"/>
              </w:rPr>
            </w:pPr>
          </w:p>
        </w:tc>
        <w:tc>
          <w:tcPr>
            <w:tcW w:w="1674" w:type="pct"/>
            <w:tcBorders>
              <w:top w:val="single" w:color="auto" w:sz="4" w:space="0"/>
              <w:left w:val="single" w:color="auto" w:sz="4" w:space="0"/>
              <w:bottom w:val="single" w:color="auto" w:sz="4" w:space="0"/>
              <w:right w:val="single" w:color="auto" w:sz="4" w:space="0"/>
            </w:tcBorders>
            <w:noWrap w:val="0"/>
            <w:vAlign w:val="top"/>
          </w:tcPr>
          <w:p w14:paraId="40C766BB">
            <w:pPr>
              <w:keepNext w:val="0"/>
              <w:keepLines w:val="0"/>
              <w:suppressLineNumbers w:val="0"/>
              <w:snapToGrid w:val="0"/>
              <w:spacing w:before="50" w:beforeAutospacing="0" w:after="165" w:afterLines="50" w:afterAutospacing="0" w:line="440" w:lineRule="exact"/>
              <w:ind w:left="0" w:right="0"/>
              <w:jc w:val="left"/>
              <w:rPr>
                <w:rFonts w:hint="eastAsia" w:ascii="宋体" w:hAnsi="宋体" w:cs="宋体"/>
                <w:color w:val="auto"/>
                <w:szCs w:val="21"/>
                <w:highlight w:val="none"/>
              </w:rPr>
            </w:pPr>
          </w:p>
        </w:tc>
      </w:tr>
      <w:tr w14:paraId="58840F0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250" w:type="pct"/>
            <w:tcBorders>
              <w:top w:val="single" w:color="auto" w:sz="4" w:space="0"/>
              <w:left w:val="single" w:color="auto" w:sz="4" w:space="0"/>
              <w:bottom w:val="single" w:color="auto" w:sz="4" w:space="0"/>
              <w:right w:val="single" w:color="auto" w:sz="4" w:space="0"/>
            </w:tcBorders>
            <w:noWrap w:val="0"/>
            <w:vAlign w:val="top"/>
          </w:tcPr>
          <w:p w14:paraId="58DE756E">
            <w:pPr>
              <w:keepNext w:val="0"/>
              <w:keepLines w:val="0"/>
              <w:suppressLineNumbers w:val="0"/>
              <w:snapToGrid w:val="0"/>
              <w:spacing w:before="50" w:beforeAutospacing="0" w:after="165" w:afterLines="50" w:afterAutospacing="0" w:line="440" w:lineRule="exact"/>
              <w:ind w:left="0" w:right="0"/>
              <w:jc w:val="left"/>
              <w:rPr>
                <w:rFonts w:hint="eastAsia" w:ascii="宋体" w:hAnsi="宋体" w:cs="宋体"/>
                <w:color w:val="auto"/>
                <w:szCs w:val="21"/>
                <w:highlight w:val="none"/>
              </w:rPr>
            </w:pPr>
          </w:p>
        </w:tc>
        <w:tc>
          <w:tcPr>
            <w:tcW w:w="1038" w:type="pct"/>
            <w:tcBorders>
              <w:top w:val="single" w:color="auto" w:sz="4" w:space="0"/>
              <w:left w:val="single" w:color="auto" w:sz="4" w:space="0"/>
              <w:bottom w:val="single" w:color="auto" w:sz="4" w:space="0"/>
              <w:right w:val="single" w:color="auto" w:sz="4" w:space="0"/>
            </w:tcBorders>
            <w:noWrap w:val="0"/>
            <w:vAlign w:val="top"/>
          </w:tcPr>
          <w:p w14:paraId="50F35826">
            <w:pPr>
              <w:keepNext w:val="0"/>
              <w:keepLines w:val="0"/>
              <w:suppressLineNumbers w:val="0"/>
              <w:snapToGrid w:val="0"/>
              <w:spacing w:before="50" w:beforeAutospacing="0" w:after="165" w:afterLines="50" w:afterAutospacing="0" w:line="440" w:lineRule="exact"/>
              <w:ind w:left="0" w:right="0"/>
              <w:jc w:val="left"/>
              <w:rPr>
                <w:rFonts w:hint="eastAsia" w:ascii="宋体" w:hAnsi="宋体" w:cs="宋体"/>
                <w:color w:val="auto"/>
                <w:szCs w:val="21"/>
                <w:highlight w:val="none"/>
              </w:rPr>
            </w:pPr>
          </w:p>
        </w:tc>
        <w:tc>
          <w:tcPr>
            <w:tcW w:w="1038" w:type="pct"/>
            <w:tcBorders>
              <w:top w:val="single" w:color="auto" w:sz="4" w:space="0"/>
              <w:left w:val="single" w:color="auto" w:sz="4" w:space="0"/>
              <w:bottom w:val="single" w:color="auto" w:sz="4" w:space="0"/>
              <w:right w:val="single" w:color="auto" w:sz="4" w:space="0"/>
            </w:tcBorders>
            <w:noWrap w:val="0"/>
            <w:vAlign w:val="top"/>
          </w:tcPr>
          <w:p w14:paraId="2034D220">
            <w:pPr>
              <w:keepNext w:val="0"/>
              <w:keepLines w:val="0"/>
              <w:suppressLineNumbers w:val="0"/>
              <w:snapToGrid w:val="0"/>
              <w:spacing w:before="50" w:beforeAutospacing="0" w:after="165" w:afterLines="50" w:afterAutospacing="0" w:line="440" w:lineRule="exact"/>
              <w:ind w:left="0" w:right="0"/>
              <w:jc w:val="left"/>
              <w:rPr>
                <w:rFonts w:hint="eastAsia" w:ascii="宋体" w:hAnsi="宋体" w:cs="宋体"/>
                <w:color w:val="auto"/>
                <w:szCs w:val="21"/>
                <w:highlight w:val="none"/>
              </w:rPr>
            </w:pPr>
          </w:p>
        </w:tc>
        <w:tc>
          <w:tcPr>
            <w:tcW w:w="1674" w:type="pct"/>
            <w:tcBorders>
              <w:top w:val="single" w:color="auto" w:sz="4" w:space="0"/>
              <w:left w:val="single" w:color="auto" w:sz="4" w:space="0"/>
              <w:bottom w:val="single" w:color="auto" w:sz="4" w:space="0"/>
              <w:right w:val="single" w:color="auto" w:sz="4" w:space="0"/>
            </w:tcBorders>
            <w:noWrap w:val="0"/>
            <w:vAlign w:val="top"/>
          </w:tcPr>
          <w:p w14:paraId="469ECFAB">
            <w:pPr>
              <w:keepNext w:val="0"/>
              <w:keepLines w:val="0"/>
              <w:suppressLineNumbers w:val="0"/>
              <w:snapToGrid w:val="0"/>
              <w:spacing w:before="50" w:beforeAutospacing="0" w:after="165" w:afterLines="50" w:afterAutospacing="0" w:line="440" w:lineRule="exact"/>
              <w:ind w:left="0" w:right="0"/>
              <w:jc w:val="left"/>
              <w:rPr>
                <w:rFonts w:hint="eastAsia" w:ascii="宋体" w:hAnsi="宋体" w:cs="宋体"/>
                <w:color w:val="auto"/>
                <w:szCs w:val="21"/>
                <w:highlight w:val="none"/>
              </w:rPr>
            </w:pPr>
          </w:p>
        </w:tc>
      </w:tr>
    </w:tbl>
    <w:p w14:paraId="3D0EF2AD">
      <w:pPr>
        <w:pStyle w:val="10"/>
        <w:spacing w:before="0" w:after="0" w:line="440" w:lineRule="exact"/>
        <w:contextualSpacing/>
        <w:rPr>
          <w:rFonts w:hint="eastAsia" w:ascii="宋体" w:hAnsi="宋体" w:eastAsia="宋体" w:cs="宋体"/>
          <w:color w:val="auto"/>
          <w:sz w:val="21"/>
          <w:szCs w:val="21"/>
          <w:highlight w:val="none"/>
        </w:rPr>
      </w:pPr>
    </w:p>
    <w:p w14:paraId="2F8FA294">
      <w:pPr>
        <w:pStyle w:val="10"/>
        <w:spacing w:before="0" w:after="0" w:line="440" w:lineRule="exact"/>
        <w:contextualSpacing/>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注：投标人根据评标标准具体要求附业绩证明材料。</w:t>
      </w:r>
    </w:p>
    <w:p w14:paraId="683EEE15">
      <w:pPr>
        <w:pStyle w:val="10"/>
        <w:spacing w:before="0" w:after="0" w:line="440" w:lineRule="exact"/>
        <w:contextualSpacing/>
        <w:jc w:val="left"/>
        <w:rPr>
          <w:rFonts w:hint="eastAsia" w:ascii="宋体" w:hAnsi="宋体" w:eastAsia="宋体" w:cs="宋体"/>
          <w:color w:val="auto"/>
          <w:sz w:val="21"/>
          <w:szCs w:val="21"/>
          <w:highlight w:val="none"/>
        </w:rPr>
      </w:pPr>
    </w:p>
    <w:p w14:paraId="167F7899">
      <w:pPr>
        <w:pStyle w:val="10"/>
        <w:spacing w:before="0" w:after="0" w:line="440" w:lineRule="exact"/>
        <w:contextualSpacing/>
        <w:jc w:val="left"/>
        <w:rPr>
          <w:rFonts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法定代表人或者委托代理人（签字或者电子签名）：</w:t>
      </w:r>
      <w:r>
        <w:rPr>
          <w:rFonts w:hint="eastAsia" w:ascii="宋体" w:hAnsi="宋体" w:eastAsia="宋体" w:cs="宋体"/>
          <w:color w:val="auto"/>
          <w:sz w:val="21"/>
          <w:szCs w:val="21"/>
          <w:highlight w:val="none"/>
          <w:u w:val="single"/>
        </w:rPr>
        <w:t xml:space="preserve">             </w:t>
      </w:r>
    </w:p>
    <w:p w14:paraId="6478A9BB">
      <w:pPr>
        <w:spacing w:line="440" w:lineRule="exact"/>
        <w:ind w:right="480"/>
        <w:contextualSpacing/>
        <w:jc w:val="left"/>
        <w:rPr>
          <w:rFonts w:hint="eastAsia" w:ascii="宋体" w:hAnsi="宋体" w:cs="宋体"/>
          <w:color w:val="auto"/>
          <w:szCs w:val="21"/>
          <w:highlight w:val="none"/>
          <w:u w:val="single"/>
        </w:rPr>
      </w:pPr>
      <w:r>
        <w:rPr>
          <w:rFonts w:hint="eastAsia" w:ascii="宋体" w:hAnsi="宋体" w:cs="宋体"/>
          <w:color w:val="auto"/>
          <w:szCs w:val="21"/>
          <w:highlight w:val="none"/>
        </w:rPr>
        <w:t xml:space="preserve">投标人名称（电子签章）： </w:t>
      </w:r>
      <w:r>
        <w:rPr>
          <w:rFonts w:hint="eastAsia" w:ascii="宋体" w:hAnsi="宋体" w:cs="宋体"/>
          <w:color w:val="auto"/>
          <w:szCs w:val="21"/>
          <w:highlight w:val="none"/>
          <w:u w:val="single"/>
        </w:rPr>
        <w:t xml:space="preserve">                </w:t>
      </w:r>
    </w:p>
    <w:p w14:paraId="6AA163FB">
      <w:pPr>
        <w:snapToGrid w:val="0"/>
        <w:spacing w:before="165" w:beforeLines="50" w:after="50"/>
        <w:ind w:right="840"/>
        <w:rPr>
          <w:rFonts w:hint="eastAsia" w:ascii="宋体" w:hAnsi="宋体" w:cs="宋体"/>
          <w:color w:val="auto"/>
          <w:szCs w:val="21"/>
          <w:highlight w:val="none"/>
        </w:rPr>
      </w:pP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月</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日</w:t>
      </w:r>
    </w:p>
    <w:p w14:paraId="4951C56A">
      <w:pPr>
        <w:snapToGrid w:val="0"/>
        <w:spacing w:before="165" w:beforeLines="50" w:after="50"/>
        <w:jc w:val="left"/>
        <w:rPr>
          <w:rFonts w:hint="eastAsia" w:ascii="宋体" w:hAnsi="宋体" w:cs="宋体"/>
          <w:b/>
          <w:color w:val="auto"/>
          <w:sz w:val="24"/>
          <w:highlight w:val="none"/>
        </w:rPr>
      </w:pPr>
      <w:r>
        <w:rPr>
          <w:rFonts w:hint="eastAsia" w:ascii="宋体" w:hAnsi="宋体" w:cs="宋体"/>
          <w:color w:val="auto"/>
          <w:sz w:val="24"/>
          <w:highlight w:val="none"/>
        </w:rPr>
        <w:br w:type="page"/>
      </w:r>
      <w:r>
        <w:rPr>
          <w:rFonts w:hint="eastAsia" w:ascii="宋体" w:hAnsi="宋体" w:cs="宋体"/>
          <w:b/>
          <w:color w:val="auto"/>
          <w:sz w:val="24"/>
          <w:highlight w:val="none"/>
        </w:rPr>
        <w:t xml:space="preserve">（二）技术文件封面格式： </w:t>
      </w:r>
    </w:p>
    <w:p w14:paraId="61DF42D4">
      <w:pPr>
        <w:snapToGrid w:val="0"/>
        <w:spacing w:before="165" w:beforeLines="50" w:after="50"/>
        <w:jc w:val="center"/>
        <w:rPr>
          <w:rFonts w:hint="eastAsia" w:ascii="宋体" w:hAnsi="宋体" w:cs="宋体"/>
          <w:color w:val="auto"/>
          <w:sz w:val="24"/>
          <w:highlight w:val="none"/>
        </w:rPr>
      </w:pPr>
      <w:r>
        <w:rPr>
          <w:rFonts w:hint="eastAsia" w:ascii="宋体" w:hAnsi="宋体" w:cs="宋体"/>
          <w:bCs/>
          <w:color w:val="auto"/>
          <w:sz w:val="48"/>
          <w:szCs w:val="48"/>
          <w:highlight w:val="none"/>
        </w:rPr>
        <w:t>电子投标文件</w:t>
      </w:r>
    </w:p>
    <w:p w14:paraId="756064F6">
      <w:pPr>
        <w:snapToGrid w:val="0"/>
        <w:spacing w:before="165" w:beforeLines="50" w:after="50"/>
        <w:rPr>
          <w:rFonts w:hint="eastAsia" w:ascii="宋体" w:hAnsi="宋体" w:cs="宋体"/>
          <w:color w:val="auto"/>
          <w:sz w:val="24"/>
          <w:highlight w:val="none"/>
        </w:rPr>
      </w:pPr>
      <w:r>
        <w:rPr>
          <w:rFonts w:hint="eastAsia" w:ascii="宋体" w:hAnsi="宋体" w:cs="宋体"/>
          <w:color w:val="auto"/>
          <w:sz w:val="24"/>
          <w:highlight w:val="none"/>
        </w:rPr>
        <w:t xml:space="preserve">                </w:t>
      </w:r>
    </w:p>
    <w:p w14:paraId="5DD162BA">
      <w:pPr>
        <w:rPr>
          <w:rFonts w:hint="eastAsia" w:ascii="宋体" w:hAnsi="宋体" w:cs="宋体"/>
          <w:color w:val="auto"/>
          <w:sz w:val="24"/>
          <w:highlight w:val="none"/>
        </w:rPr>
      </w:pPr>
    </w:p>
    <w:p w14:paraId="2E04F1F1">
      <w:pPr>
        <w:rPr>
          <w:rFonts w:hint="eastAsia"/>
          <w:color w:val="auto"/>
          <w:highlight w:val="none"/>
        </w:rPr>
      </w:pPr>
    </w:p>
    <w:p w14:paraId="203138E6">
      <w:pPr>
        <w:snapToGrid w:val="0"/>
        <w:spacing w:before="165" w:beforeLines="50" w:after="50"/>
        <w:jc w:val="center"/>
        <w:rPr>
          <w:rFonts w:hint="eastAsia" w:ascii="宋体" w:hAnsi="宋体" w:cs="宋体"/>
          <w:b/>
          <w:color w:val="auto"/>
          <w:sz w:val="32"/>
          <w:szCs w:val="32"/>
          <w:highlight w:val="none"/>
        </w:rPr>
      </w:pPr>
      <w:r>
        <w:rPr>
          <w:rFonts w:hint="eastAsia" w:ascii="宋体" w:hAnsi="宋体" w:cs="宋体"/>
          <w:b/>
          <w:color w:val="auto"/>
          <w:sz w:val="32"/>
          <w:szCs w:val="32"/>
          <w:highlight w:val="none"/>
        </w:rPr>
        <w:t>技术文件</w:t>
      </w:r>
    </w:p>
    <w:p w14:paraId="29CF6A31">
      <w:pPr>
        <w:rPr>
          <w:rFonts w:hint="eastAsia" w:ascii="宋体" w:hAnsi="宋体" w:cs="宋体"/>
          <w:b/>
          <w:color w:val="auto"/>
          <w:sz w:val="32"/>
          <w:szCs w:val="32"/>
          <w:highlight w:val="none"/>
        </w:rPr>
      </w:pPr>
    </w:p>
    <w:p w14:paraId="051A3379">
      <w:pPr>
        <w:rPr>
          <w:rFonts w:hint="eastAsia"/>
          <w:color w:val="auto"/>
          <w:highlight w:val="none"/>
        </w:rPr>
      </w:pPr>
    </w:p>
    <w:p w14:paraId="2D00226F">
      <w:pPr>
        <w:snapToGrid w:val="0"/>
        <w:spacing w:before="165" w:beforeLines="50" w:after="50"/>
        <w:rPr>
          <w:rFonts w:hint="eastAsia" w:ascii="宋体" w:hAnsi="宋体" w:cs="宋体"/>
          <w:bCs/>
          <w:color w:val="auto"/>
          <w:sz w:val="24"/>
          <w:szCs w:val="20"/>
          <w:highlight w:val="none"/>
        </w:rPr>
      </w:pPr>
    </w:p>
    <w:p w14:paraId="7CCA3472">
      <w:pPr>
        <w:snapToGrid w:val="0"/>
        <w:spacing w:before="165" w:beforeLines="50" w:after="50"/>
        <w:ind w:firstLine="540" w:firstLineChars="225"/>
        <w:rPr>
          <w:rFonts w:hint="eastAsia" w:ascii="宋体" w:hAnsi="宋体" w:cs="宋体"/>
          <w:bCs/>
          <w:color w:val="auto"/>
          <w:sz w:val="24"/>
          <w:highlight w:val="none"/>
        </w:rPr>
      </w:pPr>
      <w:r>
        <w:rPr>
          <w:rFonts w:hint="eastAsia" w:ascii="宋体" w:hAnsi="宋体" w:cs="宋体"/>
          <w:bCs/>
          <w:color w:val="auto"/>
          <w:sz w:val="24"/>
          <w:highlight w:val="none"/>
        </w:rPr>
        <w:t>项目名称：</w:t>
      </w:r>
    </w:p>
    <w:p w14:paraId="7C090EA1">
      <w:pPr>
        <w:snapToGrid w:val="0"/>
        <w:spacing w:before="165" w:beforeLines="50" w:after="50"/>
        <w:ind w:firstLine="540" w:firstLineChars="225"/>
        <w:rPr>
          <w:rFonts w:hint="eastAsia" w:ascii="宋体" w:hAnsi="宋体" w:cs="宋体"/>
          <w:bCs/>
          <w:color w:val="auto"/>
          <w:sz w:val="24"/>
          <w:szCs w:val="20"/>
          <w:highlight w:val="none"/>
        </w:rPr>
      </w:pPr>
    </w:p>
    <w:p w14:paraId="2C530978">
      <w:pPr>
        <w:snapToGrid w:val="0"/>
        <w:spacing w:before="165" w:beforeLines="50" w:after="50"/>
        <w:ind w:firstLine="540" w:firstLineChars="225"/>
        <w:rPr>
          <w:rFonts w:hint="eastAsia" w:ascii="宋体" w:hAnsi="宋体" w:cs="宋体"/>
          <w:bCs/>
          <w:color w:val="auto"/>
          <w:sz w:val="24"/>
          <w:highlight w:val="none"/>
        </w:rPr>
      </w:pPr>
      <w:r>
        <w:rPr>
          <w:rFonts w:hint="eastAsia" w:ascii="宋体" w:hAnsi="宋体" w:cs="宋体"/>
          <w:bCs/>
          <w:color w:val="auto"/>
          <w:sz w:val="24"/>
          <w:highlight w:val="none"/>
        </w:rPr>
        <w:t>项目编号：</w:t>
      </w:r>
    </w:p>
    <w:p w14:paraId="122E2E1F">
      <w:pPr>
        <w:snapToGrid w:val="0"/>
        <w:spacing w:before="165" w:beforeLines="50" w:after="50"/>
        <w:ind w:firstLine="540" w:firstLineChars="225"/>
        <w:rPr>
          <w:rFonts w:hint="eastAsia" w:ascii="宋体" w:hAnsi="宋体" w:cs="宋体"/>
          <w:bCs/>
          <w:color w:val="auto"/>
          <w:sz w:val="24"/>
          <w:szCs w:val="20"/>
          <w:highlight w:val="none"/>
        </w:rPr>
      </w:pPr>
      <w:r>
        <w:rPr>
          <w:rFonts w:hint="eastAsia" w:ascii="宋体" w:hAnsi="宋体" w:cs="宋体"/>
          <w:bCs/>
          <w:color w:val="auto"/>
          <w:sz w:val="24"/>
          <w:highlight w:val="none"/>
        </w:rPr>
        <w:t xml:space="preserve"> </w:t>
      </w:r>
    </w:p>
    <w:p w14:paraId="1F3A0C56">
      <w:pPr>
        <w:snapToGrid w:val="0"/>
        <w:spacing w:before="165" w:beforeLines="50" w:after="50"/>
        <w:ind w:firstLine="540" w:firstLineChars="225"/>
        <w:rPr>
          <w:rFonts w:hint="eastAsia" w:ascii="宋体" w:hAnsi="宋体" w:cs="宋体"/>
          <w:bCs/>
          <w:color w:val="auto"/>
          <w:sz w:val="24"/>
          <w:highlight w:val="none"/>
        </w:rPr>
      </w:pPr>
      <w:r>
        <w:rPr>
          <w:rFonts w:hint="eastAsia" w:ascii="宋体" w:hAnsi="宋体" w:cs="宋体"/>
          <w:bCs/>
          <w:color w:val="auto"/>
          <w:sz w:val="24"/>
          <w:highlight w:val="none"/>
        </w:rPr>
        <w:t>所投分标：</w:t>
      </w:r>
    </w:p>
    <w:p w14:paraId="1EDAD674">
      <w:pPr>
        <w:snapToGrid w:val="0"/>
        <w:spacing w:before="165" w:beforeLines="50" w:after="50"/>
        <w:ind w:firstLine="540" w:firstLineChars="225"/>
        <w:rPr>
          <w:rFonts w:hint="eastAsia" w:ascii="宋体" w:hAnsi="宋体" w:cs="宋体"/>
          <w:bCs/>
          <w:color w:val="auto"/>
          <w:sz w:val="24"/>
          <w:szCs w:val="20"/>
          <w:highlight w:val="none"/>
        </w:rPr>
      </w:pPr>
    </w:p>
    <w:p w14:paraId="13C94DE7">
      <w:pPr>
        <w:pStyle w:val="9"/>
        <w:snapToGrid w:val="0"/>
        <w:spacing w:before="50" w:after="50"/>
        <w:ind w:firstLine="540" w:firstLineChars="225"/>
        <w:rPr>
          <w:rFonts w:hint="eastAsia" w:ascii="宋体" w:hAnsi="宋体" w:cs="宋体"/>
          <w:bCs/>
          <w:color w:val="auto"/>
          <w:sz w:val="24"/>
          <w:szCs w:val="24"/>
          <w:highlight w:val="none"/>
        </w:rPr>
      </w:pPr>
      <w:r>
        <w:rPr>
          <w:rFonts w:hint="eastAsia" w:ascii="宋体" w:hAnsi="宋体" w:cs="宋体"/>
          <w:bCs/>
          <w:color w:val="auto"/>
          <w:sz w:val="24"/>
          <w:szCs w:val="24"/>
          <w:highlight w:val="none"/>
        </w:rPr>
        <w:t>投标人名称：</w:t>
      </w:r>
    </w:p>
    <w:p w14:paraId="29B74424">
      <w:pPr>
        <w:pStyle w:val="9"/>
        <w:snapToGrid w:val="0"/>
        <w:spacing w:before="50" w:after="50"/>
        <w:ind w:firstLine="540" w:firstLineChars="225"/>
        <w:rPr>
          <w:rFonts w:hint="eastAsia" w:ascii="宋体" w:hAnsi="宋体" w:cs="宋体"/>
          <w:bCs/>
          <w:color w:val="auto"/>
          <w:sz w:val="24"/>
          <w:szCs w:val="24"/>
          <w:highlight w:val="none"/>
        </w:rPr>
      </w:pPr>
    </w:p>
    <w:p w14:paraId="781F1461">
      <w:pPr>
        <w:pStyle w:val="9"/>
        <w:snapToGrid w:val="0"/>
        <w:spacing w:before="50" w:after="50"/>
        <w:ind w:firstLine="540" w:firstLineChars="225"/>
        <w:rPr>
          <w:rFonts w:hint="eastAsia" w:ascii="宋体" w:hAnsi="宋体" w:cs="宋体"/>
          <w:bCs/>
          <w:color w:val="auto"/>
          <w:sz w:val="24"/>
          <w:szCs w:val="24"/>
          <w:highlight w:val="none"/>
        </w:rPr>
      </w:pPr>
      <w:r>
        <w:rPr>
          <w:rFonts w:hint="eastAsia" w:ascii="宋体" w:hAnsi="宋体" w:cs="宋体"/>
          <w:bCs/>
          <w:color w:val="auto"/>
          <w:sz w:val="24"/>
          <w:szCs w:val="24"/>
          <w:highlight w:val="none"/>
        </w:rPr>
        <w:t>投标人地址：</w:t>
      </w:r>
    </w:p>
    <w:p w14:paraId="0131E0B5">
      <w:pPr>
        <w:pStyle w:val="9"/>
        <w:snapToGrid w:val="0"/>
        <w:spacing w:before="50" w:after="50"/>
        <w:ind w:firstLine="960" w:firstLineChars="400"/>
        <w:rPr>
          <w:rFonts w:hint="eastAsia" w:ascii="宋体" w:hAnsi="宋体" w:cs="宋体"/>
          <w:bCs/>
          <w:color w:val="auto"/>
          <w:sz w:val="24"/>
          <w:szCs w:val="24"/>
          <w:highlight w:val="none"/>
        </w:rPr>
      </w:pPr>
    </w:p>
    <w:p w14:paraId="11DF8CDB">
      <w:pPr>
        <w:snapToGrid w:val="0"/>
        <w:spacing w:before="165" w:beforeLines="50" w:after="50"/>
        <w:ind w:firstLine="645"/>
        <w:rPr>
          <w:rFonts w:hint="eastAsia" w:ascii="宋体" w:hAnsi="宋体" w:cs="宋体"/>
          <w:color w:val="auto"/>
          <w:sz w:val="24"/>
          <w:highlight w:val="none"/>
        </w:rPr>
      </w:pPr>
      <w:r>
        <w:rPr>
          <w:rFonts w:hint="eastAsia" w:ascii="宋体" w:hAnsi="宋体" w:cs="宋体"/>
          <w:color w:val="auto"/>
          <w:sz w:val="24"/>
          <w:highlight w:val="none"/>
        </w:rPr>
        <w:t xml:space="preserve">                        年  月  日</w:t>
      </w:r>
    </w:p>
    <w:p w14:paraId="6708AEA6">
      <w:pPr>
        <w:snapToGrid w:val="0"/>
        <w:spacing w:before="165" w:beforeLines="50" w:after="50"/>
        <w:rPr>
          <w:rFonts w:hint="eastAsia" w:ascii="宋体" w:hAnsi="宋体" w:cs="宋体"/>
          <w:color w:val="auto"/>
          <w:sz w:val="24"/>
          <w:szCs w:val="20"/>
          <w:highlight w:val="none"/>
        </w:rPr>
      </w:pPr>
      <w:r>
        <w:rPr>
          <w:rFonts w:hint="eastAsia" w:ascii="宋体" w:hAnsi="宋体" w:cs="宋体"/>
          <w:color w:val="auto"/>
          <w:sz w:val="24"/>
          <w:szCs w:val="20"/>
          <w:highlight w:val="none"/>
        </w:rPr>
        <w:t xml:space="preserve"> </w:t>
      </w:r>
    </w:p>
    <w:p w14:paraId="0679DBE8">
      <w:pPr>
        <w:snapToGrid w:val="0"/>
        <w:spacing w:line="360" w:lineRule="auto"/>
        <w:ind w:firstLine="120" w:firstLineChars="50"/>
        <w:jc w:val="center"/>
        <w:rPr>
          <w:rFonts w:hint="eastAsia" w:ascii="宋体" w:hAnsi="宋体" w:cs="宋体"/>
          <w:b/>
          <w:bCs/>
          <w:color w:val="auto"/>
          <w:sz w:val="28"/>
          <w:szCs w:val="28"/>
          <w:highlight w:val="none"/>
        </w:rPr>
      </w:pPr>
      <w:r>
        <w:rPr>
          <w:rFonts w:hint="eastAsia" w:ascii="宋体" w:hAnsi="宋体" w:cs="宋体"/>
          <w:color w:val="auto"/>
          <w:sz w:val="24"/>
          <w:szCs w:val="20"/>
          <w:highlight w:val="none"/>
        </w:rPr>
        <w:br w:type="page"/>
      </w:r>
      <w:r>
        <w:rPr>
          <w:rFonts w:hint="eastAsia" w:ascii="宋体" w:hAnsi="宋体" w:cs="宋体"/>
          <w:b/>
          <w:bCs/>
          <w:color w:val="auto"/>
          <w:sz w:val="28"/>
          <w:szCs w:val="28"/>
          <w:highlight w:val="none"/>
        </w:rPr>
        <w:t>商务及技术文件目录</w:t>
      </w:r>
    </w:p>
    <w:p w14:paraId="2390DACF">
      <w:pPr>
        <w:snapToGrid w:val="0"/>
        <w:spacing w:before="50" w:after="165" w:afterLines="50" w:line="360" w:lineRule="auto"/>
        <w:jc w:val="center"/>
        <w:rPr>
          <w:rFonts w:ascii="宋体" w:hAnsi="宋体" w:cs="宋体"/>
          <w:color w:val="auto"/>
          <w:szCs w:val="21"/>
          <w:highlight w:val="none"/>
        </w:rPr>
      </w:pPr>
      <w:r>
        <w:rPr>
          <w:rFonts w:hint="eastAsia" w:ascii="宋体" w:hAnsi="宋体" w:cs="宋体"/>
          <w:color w:val="auto"/>
          <w:szCs w:val="21"/>
          <w:highlight w:val="none"/>
        </w:rPr>
        <w:t>根据招标文件规定及投标人提供的材料自行编写目录。</w:t>
      </w:r>
    </w:p>
    <w:p w14:paraId="66C131F1">
      <w:pPr>
        <w:snapToGrid w:val="0"/>
        <w:spacing w:before="165" w:beforeLines="50" w:after="50"/>
        <w:ind w:left="142"/>
        <w:jc w:val="left"/>
        <w:rPr>
          <w:rFonts w:hint="eastAsia"/>
          <w:b/>
          <w:color w:val="auto"/>
          <w:highlight w:val="none"/>
        </w:rPr>
      </w:pPr>
      <w:r>
        <w:rPr>
          <w:color w:val="auto"/>
          <w:highlight w:val="none"/>
        </w:rPr>
        <w:br w:type="page"/>
      </w:r>
      <w:r>
        <w:rPr>
          <w:rFonts w:hint="eastAsia" w:ascii="宋体" w:hAnsi="宋体" w:cs="宋体"/>
          <w:b/>
          <w:color w:val="auto"/>
          <w:sz w:val="24"/>
          <w:highlight w:val="none"/>
        </w:rPr>
        <w:t>1.技术要求偏离表格式</w:t>
      </w:r>
    </w:p>
    <w:p w14:paraId="5634C565">
      <w:pPr>
        <w:snapToGrid w:val="0"/>
        <w:spacing w:before="165" w:beforeLines="50" w:after="50"/>
        <w:ind w:left="142"/>
        <w:jc w:val="left"/>
        <w:rPr>
          <w:rFonts w:hint="eastAsia" w:ascii="宋体" w:hAnsi="宋体" w:cs="宋体"/>
          <w:b/>
          <w:color w:val="auto"/>
          <w:sz w:val="24"/>
          <w:highlight w:val="none"/>
        </w:rPr>
      </w:pPr>
    </w:p>
    <w:p w14:paraId="7AD94E6C">
      <w:pPr>
        <w:snapToGrid w:val="0"/>
        <w:spacing w:before="165" w:beforeLines="50" w:after="50"/>
        <w:ind w:left="142"/>
        <w:jc w:val="center"/>
        <w:rPr>
          <w:rFonts w:hint="eastAsia" w:ascii="宋体" w:hAnsi="宋体" w:cs="宋体"/>
          <w:b/>
          <w:color w:val="auto"/>
          <w:sz w:val="30"/>
          <w:szCs w:val="30"/>
          <w:highlight w:val="none"/>
        </w:rPr>
      </w:pPr>
      <w:r>
        <w:rPr>
          <w:rFonts w:hint="eastAsia" w:ascii="宋体" w:hAnsi="宋体" w:cs="宋体"/>
          <w:b/>
          <w:color w:val="auto"/>
          <w:sz w:val="30"/>
          <w:szCs w:val="30"/>
          <w:highlight w:val="none"/>
        </w:rPr>
        <w:t>技术要求偏离表</w:t>
      </w:r>
    </w:p>
    <w:p w14:paraId="32380750">
      <w:pPr>
        <w:pStyle w:val="20"/>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hAnsi="宋体" w:cs="宋体"/>
          <w:color w:val="auto"/>
          <w:highlight w:val="none"/>
        </w:rPr>
      </w:pPr>
      <w:r>
        <w:rPr>
          <w:rFonts w:hint="eastAsia" w:hAnsi="宋体" w:cs="宋体"/>
          <w:color w:val="auto"/>
          <w:highlight w:val="none"/>
        </w:rPr>
        <w:t>所投分标：</w:t>
      </w:r>
      <w:r>
        <w:rPr>
          <w:rFonts w:hint="eastAsia" w:hAnsi="宋体" w:cs="宋体"/>
          <w:color w:val="auto"/>
          <w:highlight w:val="none"/>
          <w:u w:val="single"/>
        </w:rPr>
        <w:t xml:space="preserve">     </w:t>
      </w:r>
      <w:r>
        <w:rPr>
          <w:rFonts w:hint="eastAsia" w:hAnsi="宋体" w:cs="宋体"/>
          <w:color w:val="auto"/>
          <w:highlight w:val="none"/>
        </w:rPr>
        <w:t>分标</w:t>
      </w:r>
    </w:p>
    <w:tbl>
      <w:tblPr>
        <w:tblStyle w:val="39"/>
        <w:tblW w:w="916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5"/>
        <w:gridCol w:w="2143"/>
        <w:gridCol w:w="1834"/>
        <w:gridCol w:w="2181"/>
        <w:gridCol w:w="2084"/>
      </w:tblGrid>
      <w:tr w14:paraId="4F4F3B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jc w:val="center"/>
        </w:trPr>
        <w:tc>
          <w:tcPr>
            <w:tcW w:w="925" w:type="dxa"/>
            <w:noWrap w:val="0"/>
            <w:vAlign w:val="center"/>
          </w:tcPr>
          <w:p w14:paraId="3206FB8D">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hAnsi="宋体" w:cs="宋体"/>
                <w:color w:val="auto"/>
                <w:highlight w:val="none"/>
              </w:rPr>
            </w:pPr>
            <w:r>
              <w:rPr>
                <w:rFonts w:hint="eastAsia" w:hAnsi="宋体" w:cs="宋体"/>
                <w:color w:val="auto"/>
                <w:highlight w:val="none"/>
              </w:rPr>
              <w:t>项号</w:t>
            </w:r>
          </w:p>
        </w:tc>
        <w:tc>
          <w:tcPr>
            <w:tcW w:w="2143" w:type="dxa"/>
            <w:noWrap w:val="0"/>
            <w:vAlign w:val="center"/>
          </w:tcPr>
          <w:p w14:paraId="4B3B4A7C">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hAnsi="宋体" w:cs="宋体"/>
                <w:color w:val="auto"/>
                <w:highlight w:val="none"/>
              </w:rPr>
            </w:pPr>
            <w:r>
              <w:rPr>
                <w:rFonts w:hint="eastAsia" w:hAnsi="宋体" w:cs="宋体"/>
                <w:color w:val="auto"/>
                <w:highlight w:val="none"/>
              </w:rPr>
              <w:t>标的名称</w:t>
            </w:r>
          </w:p>
        </w:tc>
        <w:tc>
          <w:tcPr>
            <w:tcW w:w="1834" w:type="dxa"/>
            <w:noWrap w:val="0"/>
            <w:vAlign w:val="center"/>
          </w:tcPr>
          <w:p w14:paraId="76C45495">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hAnsi="宋体" w:cs="宋体"/>
                <w:color w:val="auto"/>
                <w:highlight w:val="none"/>
              </w:rPr>
            </w:pPr>
            <w:r>
              <w:rPr>
                <w:rFonts w:hint="eastAsia" w:hAnsi="宋体" w:cs="宋体"/>
                <w:color w:val="auto"/>
                <w:highlight w:val="none"/>
              </w:rPr>
              <w:t>项目要求及技术需求</w:t>
            </w:r>
          </w:p>
        </w:tc>
        <w:tc>
          <w:tcPr>
            <w:tcW w:w="2181" w:type="dxa"/>
            <w:noWrap w:val="0"/>
            <w:vAlign w:val="center"/>
          </w:tcPr>
          <w:p w14:paraId="3A2A0E5E">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hAnsi="宋体" w:cs="宋体"/>
                <w:color w:val="auto"/>
                <w:highlight w:val="none"/>
              </w:rPr>
            </w:pPr>
            <w:r>
              <w:rPr>
                <w:rFonts w:hint="eastAsia" w:hAnsi="宋体" w:cs="宋体"/>
                <w:color w:val="auto"/>
                <w:highlight w:val="none"/>
              </w:rPr>
              <w:t>投标响应</w:t>
            </w:r>
          </w:p>
        </w:tc>
        <w:tc>
          <w:tcPr>
            <w:tcW w:w="2084" w:type="dxa"/>
            <w:noWrap w:val="0"/>
            <w:vAlign w:val="center"/>
          </w:tcPr>
          <w:p w14:paraId="3D254EC6">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hAnsi="宋体" w:cs="宋体"/>
                <w:color w:val="auto"/>
                <w:highlight w:val="none"/>
              </w:rPr>
            </w:pPr>
            <w:r>
              <w:rPr>
                <w:rFonts w:hint="eastAsia" w:hAnsi="宋体" w:cs="宋体"/>
                <w:color w:val="auto"/>
                <w:highlight w:val="none"/>
              </w:rPr>
              <w:t>偏离说明</w:t>
            </w:r>
          </w:p>
        </w:tc>
      </w:tr>
      <w:tr w14:paraId="012A54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5" w:type="dxa"/>
            <w:noWrap w:val="0"/>
            <w:vAlign w:val="top"/>
          </w:tcPr>
          <w:p w14:paraId="44B2E5D2">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hAnsi="宋体" w:cs="宋体"/>
                <w:color w:val="auto"/>
                <w:highlight w:val="none"/>
              </w:rPr>
            </w:pPr>
          </w:p>
        </w:tc>
        <w:tc>
          <w:tcPr>
            <w:tcW w:w="2143" w:type="dxa"/>
            <w:noWrap w:val="0"/>
            <w:vAlign w:val="center"/>
          </w:tcPr>
          <w:p w14:paraId="7E8E2BCA">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hAnsi="宋体" w:cs="宋体"/>
                <w:color w:val="auto"/>
                <w:highlight w:val="none"/>
              </w:rPr>
            </w:pPr>
          </w:p>
        </w:tc>
        <w:tc>
          <w:tcPr>
            <w:tcW w:w="1834" w:type="dxa"/>
            <w:noWrap w:val="0"/>
            <w:vAlign w:val="center"/>
          </w:tcPr>
          <w:p w14:paraId="5481EB43">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hAnsi="宋体" w:cs="宋体"/>
                <w:color w:val="auto"/>
                <w:highlight w:val="none"/>
              </w:rPr>
            </w:pPr>
          </w:p>
        </w:tc>
        <w:tc>
          <w:tcPr>
            <w:tcW w:w="2181" w:type="dxa"/>
            <w:noWrap w:val="0"/>
            <w:vAlign w:val="center"/>
          </w:tcPr>
          <w:p w14:paraId="09326B0E">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hAnsi="宋体" w:cs="宋体"/>
                <w:color w:val="auto"/>
                <w:highlight w:val="none"/>
              </w:rPr>
            </w:pPr>
          </w:p>
        </w:tc>
        <w:tc>
          <w:tcPr>
            <w:tcW w:w="2084" w:type="dxa"/>
            <w:noWrap w:val="0"/>
            <w:vAlign w:val="center"/>
          </w:tcPr>
          <w:p w14:paraId="648771FE">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hAnsi="宋体" w:cs="宋体"/>
                <w:color w:val="auto"/>
                <w:highlight w:val="none"/>
              </w:rPr>
            </w:pPr>
          </w:p>
        </w:tc>
      </w:tr>
      <w:tr w14:paraId="555D1C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5" w:type="dxa"/>
            <w:noWrap w:val="0"/>
            <w:vAlign w:val="top"/>
          </w:tcPr>
          <w:p w14:paraId="10ACF3F5">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textAlignment w:val="auto"/>
              <w:rPr>
                <w:rFonts w:hint="eastAsia" w:hAnsi="宋体" w:cs="宋体"/>
                <w:color w:val="auto"/>
                <w:highlight w:val="none"/>
              </w:rPr>
            </w:pPr>
          </w:p>
        </w:tc>
        <w:tc>
          <w:tcPr>
            <w:tcW w:w="2143" w:type="dxa"/>
            <w:noWrap w:val="0"/>
            <w:vAlign w:val="top"/>
          </w:tcPr>
          <w:p w14:paraId="3B143124">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textAlignment w:val="auto"/>
              <w:rPr>
                <w:rFonts w:hint="eastAsia" w:hAnsi="宋体" w:cs="宋体"/>
                <w:color w:val="auto"/>
                <w:highlight w:val="none"/>
              </w:rPr>
            </w:pPr>
          </w:p>
        </w:tc>
        <w:tc>
          <w:tcPr>
            <w:tcW w:w="1834" w:type="dxa"/>
            <w:noWrap w:val="0"/>
            <w:vAlign w:val="top"/>
          </w:tcPr>
          <w:p w14:paraId="7C2363F3">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textAlignment w:val="auto"/>
              <w:rPr>
                <w:rFonts w:hint="eastAsia" w:hAnsi="宋体" w:cs="宋体"/>
                <w:color w:val="auto"/>
                <w:highlight w:val="none"/>
              </w:rPr>
            </w:pPr>
          </w:p>
        </w:tc>
        <w:tc>
          <w:tcPr>
            <w:tcW w:w="2181" w:type="dxa"/>
            <w:noWrap w:val="0"/>
            <w:vAlign w:val="top"/>
          </w:tcPr>
          <w:p w14:paraId="08C21DBC">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textAlignment w:val="auto"/>
              <w:rPr>
                <w:rFonts w:hint="eastAsia" w:hAnsi="宋体" w:cs="宋体"/>
                <w:color w:val="auto"/>
                <w:highlight w:val="none"/>
              </w:rPr>
            </w:pPr>
          </w:p>
        </w:tc>
        <w:tc>
          <w:tcPr>
            <w:tcW w:w="2084" w:type="dxa"/>
            <w:noWrap w:val="0"/>
            <w:vAlign w:val="top"/>
          </w:tcPr>
          <w:p w14:paraId="0B82C91E">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textAlignment w:val="auto"/>
              <w:rPr>
                <w:rFonts w:hint="eastAsia" w:hAnsi="宋体" w:cs="宋体"/>
                <w:color w:val="auto"/>
                <w:highlight w:val="none"/>
              </w:rPr>
            </w:pPr>
          </w:p>
        </w:tc>
      </w:tr>
      <w:tr w14:paraId="53EB9A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5" w:type="dxa"/>
            <w:noWrap w:val="0"/>
            <w:vAlign w:val="top"/>
          </w:tcPr>
          <w:p w14:paraId="292D8EC1">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textAlignment w:val="auto"/>
              <w:rPr>
                <w:rFonts w:hint="eastAsia" w:hAnsi="宋体" w:cs="宋体"/>
                <w:color w:val="auto"/>
                <w:highlight w:val="none"/>
              </w:rPr>
            </w:pPr>
          </w:p>
        </w:tc>
        <w:tc>
          <w:tcPr>
            <w:tcW w:w="2143" w:type="dxa"/>
            <w:noWrap w:val="0"/>
            <w:vAlign w:val="top"/>
          </w:tcPr>
          <w:p w14:paraId="02652D05">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textAlignment w:val="auto"/>
              <w:rPr>
                <w:rFonts w:hint="eastAsia" w:hAnsi="宋体" w:cs="宋体"/>
                <w:color w:val="auto"/>
                <w:highlight w:val="none"/>
              </w:rPr>
            </w:pPr>
          </w:p>
        </w:tc>
        <w:tc>
          <w:tcPr>
            <w:tcW w:w="1834" w:type="dxa"/>
            <w:noWrap w:val="0"/>
            <w:vAlign w:val="top"/>
          </w:tcPr>
          <w:p w14:paraId="6248E461">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textAlignment w:val="auto"/>
              <w:rPr>
                <w:rFonts w:hint="eastAsia" w:hAnsi="宋体" w:cs="宋体"/>
                <w:color w:val="auto"/>
                <w:highlight w:val="none"/>
              </w:rPr>
            </w:pPr>
          </w:p>
        </w:tc>
        <w:tc>
          <w:tcPr>
            <w:tcW w:w="2181" w:type="dxa"/>
            <w:noWrap w:val="0"/>
            <w:vAlign w:val="top"/>
          </w:tcPr>
          <w:p w14:paraId="4065E583">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textAlignment w:val="auto"/>
              <w:rPr>
                <w:rFonts w:hint="eastAsia" w:hAnsi="宋体" w:cs="宋体"/>
                <w:color w:val="auto"/>
                <w:highlight w:val="none"/>
              </w:rPr>
            </w:pPr>
          </w:p>
        </w:tc>
        <w:tc>
          <w:tcPr>
            <w:tcW w:w="2084" w:type="dxa"/>
            <w:noWrap w:val="0"/>
            <w:vAlign w:val="top"/>
          </w:tcPr>
          <w:p w14:paraId="7716B6EE">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textAlignment w:val="auto"/>
              <w:rPr>
                <w:rFonts w:hint="eastAsia" w:hAnsi="宋体" w:cs="宋体"/>
                <w:color w:val="auto"/>
                <w:highlight w:val="none"/>
              </w:rPr>
            </w:pPr>
          </w:p>
        </w:tc>
      </w:tr>
      <w:tr w14:paraId="3E7204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5" w:type="dxa"/>
            <w:noWrap w:val="0"/>
            <w:vAlign w:val="top"/>
          </w:tcPr>
          <w:p w14:paraId="536714AD">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textAlignment w:val="auto"/>
              <w:rPr>
                <w:rFonts w:hint="eastAsia" w:hAnsi="宋体" w:cs="宋体"/>
                <w:color w:val="auto"/>
                <w:highlight w:val="none"/>
              </w:rPr>
            </w:pPr>
          </w:p>
        </w:tc>
        <w:tc>
          <w:tcPr>
            <w:tcW w:w="2143" w:type="dxa"/>
            <w:noWrap w:val="0"/>
            <w:vAlign w:val="top"/>
          </w:tcPr>
          <w:p w14:paraId="492EF9F2">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textAlignment w:val="auto"/>
              <w:rPr>
                <w:rFonts w:hint="eastAsia" w:hAnsi="宋体" w:cs="宋体"/>
                <w:color w:val="auto"/>
                <w:highlight w:val="none"/>
              </w:rPr>
            </w:pPr>
          </w:p>
        </w:tc>
        <w:tc>
          <w:tcPr>
            <w:tcW w:w="1834" w:type="dxa"/>
            <w:noWrap w:val="0"/>
            <w:vAlign w:val="top"/>
          </w:tcPr>
          <w:p w14:paraId="576FD1BA">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textAlignment w:val="auto"/>
              <w:rPr>
                <w:rFonts w:hint="eastAsia" w:hAnsi="宋体" w:cs="宋体"/>
                <w:color w:val="auto"/>
                <w:highlight w:val="none"/>
              </w:rPr>
            </w:pPr>
          </w:p>
        </w:tc>
        <w:tc>
          <w:tcPr>
            <w:tcW w:w="2181" w:type="dxa"/>
            <w:noWrap w:val="0"/>
            <w:vAlign w:val="top"/>
          </w:tcPr>
          <w:p w14:paraId="606F0124">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textAlignment w:val="auto"/>
              <w:rPr>
                <w:rFonts w:hint="eastAsia" w:hAnsi="宋体" w:cs="宋体"/>
                <w:color w:val="auto"/>
                <w:highlight w:val="none"/>
              </w:rPr>
            </w:pPr>
          </w:p>
        </w:tc>
        <w:tc>
          <w:tcPr>
            <w:tcW w:w="2084" w:type="dxa"/>
            <w:noWrap w:val="0"/>
            <w:vAlign w:val="top"/>
          </w:tcPr>
          <w:p w14:paraId="4233E3A9">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textAlignment w:val="auto"/>
              <w:rPr>
                <w:rFonts w:hint="eastAsia" w:hAnsi="宋体" w:cs="宋体"/>
                <w:color w:val="auto"/>
                <w:highlight w:val="none"/>
              </w:rPr>
            </w:pPr>
          </w:p>
        </w:tc>
      </w:tr>
      <w:tr w14:paraId="3CB34A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5" w:type="dxa"/>
            <w:noWrap w:val="0"/>
            <w:vAlign w:val="top"/>
          </w:tcPr>
          <w:p w14:paraId="214748BC">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textAlignment w:val="auto"/>
              <w:rPr>
                <w:rFonts w:hint="eastAsia" w:hAnsi="宋体" w:cs="宋体"/>
                <w:color w:val="auto"/>
                <w:highlight w:val="none"/>
              </w:rPr>
            </w:pPr>
          </w:p>
        </w:tc>
        <w:tc>
          <w:tcPr>
            <w:tcW w:w="2143" w:type="dxa"/>
            <w:noWrap w:val="0"/>
            <w:vAlign w:val="top"/>
          </w:tcPr>
          <w:p w14:paraId="5B61D52E">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textAlignment w:val="auto"/>
              <w:rPr>
                <w:rFonts w:hint="eastAsia" w:hAnsi="宋体" w:cs="宋体"/>
                <w:color w:val="auto"/>
                <w:highlight w:val="none"/>
              </w:rPr>
            </w:pPr>
          </w:p>
        </w:tc>
        <w:tc>
          <w:tcPr>
            <w:tcW w:w="1834" w:type="dxa"/>
            <w:noWrap w:val="0"/>
            <w:vAlign w:val="top"/>
          </w:tcPr>
          <w:p w14:paraId="15130A33">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textAlignment w:val="auto"/>
              <w:rPr>
                <w:rFonts w:hint="eastAsia" w:hAnsi="宋体" w:cs="宋体"/>
                <w:color w:val="auto"/>
                <w:highlight w:val="none"/>
              </w:rPr>
            </w:pPr>
          </w:p>
        </w:tc>
        <w:tc>
          <w:tcPr>
            <w:tcW w:w="2181" w:type="dxa"/>
            <w:noWrap w:val="0"/>
            <w:vAlign w:val="top"/>
          </w:tcPr>
          <w:p w14:paraId="49E774CD">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textAlignment w:val="auto"/>
              <w:rPr>
                <w:rFonts w:hint="eastAsia" w:hAnsi="宋体" w:cs="宋体"/>
                <w:color w:val="auto"/>
                <w:highlight w:val="none"/>
              </w:rPr>
            </w:pPr>
          </w:p>
        </w:tc>
        <w:tc>
          <w:tcPr>
            <w:tcW w:w="2084" w:type="dxa"/>
            <w:noWrap w:val="0"/>
            <w:vAlign w:val="top"/>
          </w:tcPr>
          <w:p w14:paraId="5002C295">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textAlignment w:val="auto"/>
              <w:rPr>
                <w:rFonts w:hint="eastAsia" w:hAnsi="宋体" w:cs="宋体"/>
                <w:color w:val="auto"/>
                <w:highlight w:val="none"/>
              </w:rPr>
            </w:pPr>
          </w:p>
        </w:tc>
      </w:tr>
      <w:tr w14:paraId="7ABDD8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5" w:type="dxa"/>
            <w:noWrap w:val="0"/>
            <w:vAlign w:val="top"/>
          </w:tcPr>
          <w:p w14:paraId="06B39ACE">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textAlignment w:val="auto"/>
              <w:rPr>
                <w:rFonts w:hint="eastAsia" w:hAnsi="宋体" w:cs="宋体"/>
                <w:color w:val="auto"/>
                <w:highlight w:val="none"/>
              </w:rPr>
            </w:pPr>
          </w:p>
        </w:tc>
        <w:tc>
          <w:tcPr>
            <w:tcW w:w="2143" w:type="dxa"/>
            <w:noWrap w:val="0"/>
            <w:vAlign w:val="top"/>
          </w:tcPr>
          <w:p w14:paraId="6D226B91">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textAlignment w:val="auto"/>
              <w:rPr>
                <w:rFonts w:hint="eastAsia" w:hAnsi="宋体" w:cs="宋体"/>
                <w:color w:val="auto"/>
                <w:highlight w:val="none"/>
              </w:rPr>
            </w:pPr>
          </w:p>
        </w:tc>
        <w:tc>
          <w:tcPr>
            <w:tcW w:w="1834" w:type="dxa"/>
            <w:noWrap w:val="0"/>
            <w:vAlign w:val="top"/>
          </w:tcPr>
          <w:p w14:paraId="44D3A221">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textAlignment w:val="auto"/>
              <w:rPr>
                <w:rFonts w:hint="eastAsia" w:hAnsi="宋体" w:cs="宋体"/>
                <w:color w:val="auto"/>
                <w:highlight w:val="none"/>
              </w:rPr>
            </w:pPr>
          </w:p>
        </w:tc>
        <w:tc>
          <w:tcPr>
            <w:tcW w:w="2181" w:type="dxa"/>
            <w:noWrap w:val="0"/>
            <w:vAlign w:val="top"/>
          </w:tcPr>
          <w:p w14:paraId="6DF3AD72">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textAlignment w:val="auto"/>
              <w:rPr>
                <w:rFonts w:hint="eastAsia" w:hAnsi="宋体" w:cs="宋体"/>
                <w:color w:val="auto"/>
                <w:highlight w:val="none"/>
              </w:rPr>
            </w:pPr>
          </w:p>
        </w:tc>
        <w:tc>
          <w:tcPr>
            <w:tcW w:w="2084" w:type="dxa"/>
            <w:noWrap w:val="0"/>
            <w:vAlign w:val="top"/>
          </w:tcPr>
          <w:p w14:paraId="69FCB783">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textAlignment w:val="auto"/>
              <w:rPr>
                <w:rFonts w:hint="eastAsia" w:hAnsi="宋体" w:cs="宋体"/>
                <w:color w:val="auto"/>
                <w:highlight w:val="none"/>
              </w:rPr>
            </w:pPr>
          </w:p>
        </w:tc>
      </w:tr>
      <w:tr w14:paraId="66B00B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5" w:type="dxa"/>
            <w:noWrap w:val="0"/>
            <w:vAlign w:val="top"/>
          </w:tcPr>
          <w:p w14:paraId="68084198">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textAlignment w:val="auto"/>
              <w:rPr>
                <w:rFonts w:hint="eastAsia" w:hAnsi="宋体" w:cs="宋体"/>
                <w:color w:val="auto"/>
                <w:highlight w:val="none"/>
              </w:rPr>
            </w:pPr>
          </w:p>
        </w:tc>
        <w:tc>
          <w:tcPr>
            <w:tcW w:w="2143" w:type="dxa"/>
            <w:noWrap w:val="0"/>
            <w:vAlign w:val="top"/>
          </w:tcPr>
          <w:p w14:paraId="2B548D10">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textAlignment w:val="auto"/>
              <w:rPr>
                <w:rFonts w:hint="eastAsia" w:hAnsi="宋体" w:cs="宋体"/>
                <w:color w:val="auto"/>
                <w:highlight w:val="none"/>
              </w:rPr>
            </w:pPr>
          </w:p>
        </w:tc>
        <w:tc>
          <w:tcPr>
            <w:tcW w:w="1834" w:type="dxa"/>
            <w:noWrap w:val="0"/>
            <w:vAlign w:val="top"/>
          </w:tcPr>
          <w:p w14:paraId="3B2EA757">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textAlignment w:val="auto"/>
              <w:rPr>
                <w:rFonts w:hint="eastAsia" w:hAnsi="宋体" w:cs="宋体"/>
                <w:color w:val="auto"/>
                <w:highlight w:val="none"/>
              </w:rPr>
            </w:pPr>
          </w:p>
        </w:tc>
        <w:tc>
          <w:tcPr>
            <w:tcW w:w="2181" w:type="dxa"/>
            <w:noWrap w:val="0"/>
            <w:vAlign w:val="top"/>
          </w:tcPr>
          <w:p w14:paraId="486DA6A0">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textAlignment w:val="auto"/>
              <w:rPr>
                <w:rFonts w:hint="eastAsia" w:hAnsi="宋体" w:cs="宋体"/>
                <w:color w:val="auto"/>
                <w:highlight w:val="none"/>
              </w:rPr>
            </w:pPr>
          </w:p>
        </w:tc>
        <w:tc>
          <w:tcPr>
            <w:tcW w:w="2084" w:type="dxa"/>
            <w:noWrap w:val="0"/>
            <w:vAlign w:val="top"/>
          </w:tcPr>
          <w:p w14:paraId="466E61A6">
            <w:pPr>
              <w:pStyle w:val="20"/>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textAlignment w:val="auto"/>
              <w:rPr>
                <w:rFonts w:hint="eastAsia" w:hAnsi="宋体" w:cs="宋体"/>
                <w:color w:val="auto"/>
                <w:highlight w:val="none"/>
              </w:rPr>
            </w:pPr>
          </w:p>
        </w:tc>
      </w:tr>
    </w:tbl>
    <w:p w14:paraId="00B53EA3">
      <w:pPr>
        <w:pStyle w:val="14"/>
        <w:keepNext w:val="0"/>
        <w:keepLines w:val="0"/>
        <w:pageBreakBefore w:val="0"/>
        <w:widowControl w:val="0"/>
        <w:kinsoku/>
        <w:wordWrap/>
        <w:overflowPunct/>
        <w:topLinePunct w:val="0"/>
        <w:autoSpaceDE/>
        <w:autoSpaceDN/>
        <w:bidi w:val="0"/>
        <w:adjustRightInd/>
        <w:snapToGrid/>
        <w:spacing w:line="400" w:lineRule="exact"/>
        <w:contextualSpacing/>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注：</w:t>
      </w:r>
    </w:p>
    <w:p w14:paraId="52FF2B02">
      <w:pPr>
        <w:pStyle w:val="16"/>
        <w:keepNext w:val="0"/>
        <w:keepLines w:val="0"/>
        <w:pageBreakBefore w:val="0"/>
        <w:widowControl w:val="0"/>
        <w:kinsoku/>
        <w:wordWrap/>
        <w:overflowPunct/>
        <w:topLinePunct w:val="0"/>
        <w:autoSpaceDE/>
        <w:autoSpaceDN/>
        <w:bidi w:val="0"/>
        <w:adjustRightInd/>
        <w:snapToGrid/>
        <w:spacing w:line="400" w:lineRule="exact"/>
        <w:ind w:firstLine="0"/>
        <w:contextualSpacing/>
        <w:textAlignment w:val="auto"/>
        <w:rPr>
          <w:rFonts w:hint="eastAsia" w:hAnsi="宋体" w:cs="宋体"/>
          <w:color w:val="auto"/>
          <w:sz w:val="21"/>
          <w:szCs w:val="21"/>
          <w:highlight w:val="none"/>
        </w:rPr>
      </w:pPr>
      <w:r>
        <w:rPr>
          <w:rFonts w:hint="eastAsia" w:hAnsi="宋体" w:cs="宋体"/>
          <w:color w:val="auto"/>
          <w:sz w:val="21"/>
          <w:szCs w:val="21"/>
          <w:highlight w:val="none"/>
        </w:rPr>
        <w:t>1. 说明：应对照招标文件“第二章 采购需求”中的项目要求及技术需求逐条作明确的投标响应，并作出偏离说明。</w:t>
      </w:r>
    </w:p>
    <w:p w14:paraId="01ADBF4A">
      <w:pPr>
        <w:pStyle w:val="14"/>
        <w:keepNext w:val="0"/>
        <w:keepLines w:val="0"/>
        <w:pageBreakBefore w:val="0"/>
        <w:widowControl w:val="0"/>
        <w:kinsoku/>
        <w:wordWrap/>
        <w:overflowPunct/>
        <w:topLinePunct w:val="0"/>
        <w:autoSpaceDE/>
        <w:autoSpaceDN/>
        <w:bidi w:val="0"/>
        <w:adjustRightInd/>
        <w:snapToGrid/>
        <w:spacing w:line="400" w:lineRule="exact"/>
        <w:contextualSpacing/>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2.投标人应根据自身的承诺，对照招标文件要求，在“偏离说明”中注明“正偏离</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rPr>
        <w:t>负偏离”或者“无偏离”。既不属于“正偏离”也不属于“负偏离”即为“无偏离”。</w:t>
      </w:r>
    </w:p>
    <w:p w14:paraId="77FBAA84">
      <w:pPr>
        <w:pStyle w:val="14"/>
        <w:keepNext w:val="0"/>
        <w:keepLines w:val="0"/>
        <w:pageBreakBefore w:val="0"/>
        <w:widowControl w:val="0"/>
        <w:kinsoku/>
        <w:wordWrap/>
        <w:overflowPunct/>
        <w:topLinePunct w:val="0"/>
        <w:autoSpaceDE/>
        <w:autoSpaceDN/>
        <w:bidi w:val="0"/>
        <w:adjustRightInd/>
        <w:snapToGrid/>
        <w:spacing w:line="400" w:lineRule="exact"/>
        <w:contextualSpacing/>
        <w:textAlignment w:val="auto"/>
        <w:rPr>
          <w:rFonts w:hint="eastAsia" w:ascii="宋体" w:hAnsi="宋体" w:cs="宋体"/>
          <w:color w:val="auto"/>
          <w:spacing w:val="20"/>
          <w:sz w:val="21"/>
          <w:szCs w:val="21"/>
          <w:highlight w:val="none"/>
        </w:rPr>
      </w:pPr>
    </w:p>
    <w:p w14:paraId="2F79D84E">
      <w:pPr>
        <w:keepNext w:val="0"/>
        <w:keepLines w:val="0"/>
        <w:pageBreakBefore w:val="0"/>
        <w:widowControl w:val="0"/>
        <w:kinsoku/>
        <w:wordWrap/>
        <w:overflowPunct/>
        <w:topLinePunct w:val="0"/>
        <w:autoSpaceDE/>
        <w:autoSpaceDN/>
        <w:bidi w:val="0"/>
        <w:adjustRightInd/>
        <w:snapToGrid/>
        <w:spacing w:line="400" w:lineRule="exact"/>
        <w:contextualSpacing/>
        <w:textAlignment w:val="auto"/>
        <w:rPr>
          <w:rFonts w:hint="eastAsia" w:ascii="宋体" w:hAnsi="宋体" w:cs="宋体"/>
          <w:color w:val="auto"/>
          <w:spacing w:val="20"/>
          <w:szCs w:val="21"/>
          <w:highlight w:val="none"/>
          <w:u w:val="single"/>
        </w:rPr>
      </w:pPr>
      <w:r>
        <w:rPr>
          <w:rFonts w:hint="eastAsia" w:ascii="宋体" w:hAnsi="宋体" w:cs="宋体"/>
          <w:color w:val="auto"/>
          <w:szCs w:val="21"/>
          <w:highlight w:val="none"/>
        </w:rPr>
        <w:t>法定代表人或者委托代理人</w:t>
      </w:r>
      <w:r>
        <w:rPr>
          <w:rFonts w:hint="eastAsia" w:ascii="宋体" w:hAnsi="宋体" w:cs="宋体"/>
          <w:color w:val="auto"/>
          <w:spacing w:val="20"/>
          <w:szCs w:val="21"/>
          <w:highlight w:val="none"/>
        </w:rPr>
        <w:t>（签字或者电子签名）：</w:t>
      </w:r>
      <w:r>
        <w:rPr>
          <w:rFonts w:hint="eastAsia" w:ascii="宋体" w:hAnsi="宋体" w:cs="宋体"/>
          <w:color w:val="auto"/>
          <w:spacing w:val="20"/>
          <w:szCs w:val="21"/>
          <w:highlight w:val="none"/>
          <w:u w:val="single"/>
        </w:rPr>
        <w:t xml:space="preserve">        </w:t>
      </w:r>
    </w:p>
    <w:p w14:paraId="4C3DB92B">
      <w:pPr>
        <w:keepNext w:val="0"/>
        <w:keepLines w:val="0"/>
        <w:pageBreakBefore w:val="0"/>
        <w:widowControl w:val="0"/>
        <w:kinsoku/>
        <w:wordWrap/>
        <w:overflowPunct/>
        <w:topLinePunct w:val="0"/>
        <w:autoSpaceDE/>
        <w:autoSpaceDN/>
        <w:bidi w:val="0"/>
        <w:adjustRightInd/>
        <w:snapToGrid/>
        <w:spacing w:line="400" w:lineRule="exact"/>
        <w:contextualSpacing/>
        <w:textAlignment w:val="auto"/>
        <w:rPr>
          <w:rFonts w:hint="eastAsia" w:ascii="宋体" w:hAnsi="宋体" w:cs="宋体"/>
          <w:color w:val="auto"/>
          <w:spacing w:val="20"/>
          <w:szCs w:val="21"/>
          <w:highlight w:val="none"/>
        </w:rPr>
      </w:pPr>
      <w:r>
        <w:rPr>
          <w:rFonts w:hint="eastAsia" w:ascii="宋体" w:hAnsi="宋体" w:cs="宋体"/>
          <w:color w:val="auto"/>
          <w:spacing w:val="20"/>
          <w:szCs w:val="21"/>
          <w:highlight w:val="none"/>
        </w:rPr>
        <w:t>投标人名称（电子签章）：</w:t>
      </w:r>
      <w:r>
        <w:rPr>
          <w:rFonts w:hint="eastAsia" w:ascii="宋体" w:hAnsi="宋体" w:cs="宋体"/>
          <w:color w:val="auto"/>
          <w:spacing w:val="20"/>
          <w:szCs w:val="21"/>
          <w:highlight w:val="none"/>
          <w:u w:val="single"/>
        </w:rPr>
        <w:t xml:space="preserve">            </w:t>
      </w:r>
      <w:r>
        <w:rPr>
          <w:rFonts w:hint="eastAsia" w:ascii="宋体" w:hAnsi="宋体" w:cs="宋体"/>
          <w:color w:val="auto"/>
          <w:spacing w:val="20"/>
          <w:szCs w:val="21"/>
          <w:highlight w:val="none"/>
        </w:rPr>
        <w:t xml:space="preserve">              </w:t>
      </w:r>
    </w:p>
    <w:p w14:paraId="5A492B4E">
      <w:pPr>
        <w:keepNext w:val="0"/>
        <w:keepLines w:val="0"/>
        <w:pageBreakBefore w:val="0"/>
        <w:widowControl w:val="0"/>
        <w:kinsoku/>
        <w:wordWrap/>
        <w:overflowPunct/>
        <w:topLinePunct w:val="0"/>
        <w:autoSpaceDE/>
        <w:autoSpaceDN/>
        <w:bidi w:val="0"/>
        <w:adjustRightInd/>
        <w:snapToGrid/>
        <w:spacing w:line="400" w:lineRule="exact"/>
        <w:contextualSpacing/>
        <w:textAlignment w:val="auto"/>
        <w:rPr>
          <w:rFonts w:hint="eastAsia" w:ascii="宋体" w:hAnsi="宋体" w:cs="宋体"/>
          <w:color w:val="auto"/>
          <w:spacing w:val="20"/>
          <w:szCs w:val="21"/>
          <w:highlight w:val="none"/>
          <w:u w:val="single"/>
        </w:rPr>
      </w:pPr>
      <w:r>
        <w:rPr>
          <w:rFonts w:hint="eastAsia" w:ascii="宋体" w:hAnsi="宋体" w:cs="宋体"/>
          <w:color w:val="auto"/>
          <w:spacing w:val="20"/>
          <w:szCs w:val="21"/>
          <w:highlight w:val="none"/>
        </w:rPr>
        <w:t>日  期：</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月</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日</w:t>
      </w:r>
    </w:p>
    <w:p w14:paraId="252C763A">
      <w:pPr>
        <w:spacing w:line="360" w:lineRule="auto"/>
        <w:contextualSpacing/>
        <w:rPr>
          <w:rFonts w:hint="eastAsia" w:ascii="宋体" w:hAnsi="宋体" w:cs="宋体"/>
          <w:color w:val="auto"/>
          <w:sz w:val="24"/>
          <w:szCs w:val="20"/>
          <w:highlight w:val="none"/>
        </w:rPr>
      </w:pPr>
    </w:p>
    <w:p w14:paraId="6EDD8D10">
      <w:pPr>
        <w:snapToGrid w:val="0"/>
        <w:spacing w:before="165" w:beforeLines="50" w:after="50"/>
        <w:ind w:left="142"/>
        <w:jc w:val="left"/>
        <w:rPr>
          <w:rFonts w:hint="eastAsia" w:ascii="宋体" w:hAnsi="宋体" w:cs="宋体"/>
          <w:b/>
          <w:color w:val="auto"/>
          <w:sz w:val="24"/>
          <w:highlight w:val="none"/>
        </w:rPr>
      </w:pPr>
      <w:r>
        <w:rPr>
          <w:rFonts w:hint="eastAsia" w:ascii="宋体" w:hAnsi="宋体" w:cs="宋体"/>
          <w:b/>
          <w:color w:val="auto"/>
          <w:sz w:val="24"/>
          <w:highlight w:val="none"/>
        </w:rPr>
        <w:br w:type="page"/>
      </w:r>
      <w:r>
        <w:rPr>
          <w:rFonts w:hint="eastAsia" w:ascii="宋体" w:hAnsi="宋体" w:cs="宋体"/>
          <w:b/>
          <w:color w:val="auto"/>
          <w:sz w:val="24"/>
          <w:highlight w:val="none"/>
        </w:rPr>
        <w:t>2.项目实施人员一览表格式</w:t>
      </w:r>
    </w:p>
    <w:p w14:paraId="662E8E49">
      <w:pPr>
        <w:snapToGrid w:val="0"/>
        <w:spacing w:before="165" w:beforeLines="50" w:after="50"/>
        <w:ind w:left="142"/>
        <w:jc w:val="left"/>
        <w:rPr>
          <w:rFonts w:hint="eastAsia" w:ascii="宋体" w:hAnsi="宋体" w:cs="宋体"/>
          <w:b/>
          <w:color w:val="auto"/>
          <w:sz w:val="24"/>
          <w:highlight w:val="none"/>
        </w:rPr>
      </w:pPr>
    </w:p>
    <w:p w14:paraId="4AED0100">
      <w:pPr>
        <w:snapToGrid w:val="0"/>
        <w:spacing w:before="165" w:beforeLines="50" w:after="50"/>
        <w:ind w:left="142"/>
        <w:jc w:val="center"/>
        <w:rPr>
          <w:rFonts w:hint="eastAsia" w:ascii="宋体" w:hAnsi="宋体" w:cs="宋体"/>
          <w:b/>
          <w:color w:val="auto"/>
          <w:sz w:val="30"/>
          <w:szCs w:val="30"/>
          <w:highlight w:val="none"/>
        </w:rPr>
      </w:pPr>
      <w:r>
        <w:rPr>
          <w:rFonts w:hint="eastAsia" w:ascii="宋体" w:hAnsi="宋体" w:cs="宋体"/>
          <w:b/>
          <w:color w:val="auto"/>
          <w:sz w:val="30"/>
          <w:szCs w:val="30"/>
          <w:highlight w:val="none"/>
        </w:rPr>
        <w:t>项目实施人员一览表</w:t>
      </w:r>
    </w:p>
    <w:p w14:paraId="1757B4B0">
      <w:pPr>
        <w:pStyle w:val="20"/>
        <w:keepNext w:val="0"/>
        <w:keepLines w:val="0"/>
        <w:pageBreakBefore w:val="0"/>
        <w:widowControl w:val="0"/>
        <w:kinsoku/>
        <w:overflowPunct/>
        <w:topLinePunct w:val="0"/>
        <w:autoSpaceDE/>
        <w:autoSpaceDN/>
        <w:bidi w:val="0"/>
        <w:adjustRightInd/>
        <w:spacing w:line="400" w:lineRule="exact"/>
        <w:textAlignment w:val="auto"/>
        <w:rPr>
          <w:rFonts w:hint="eastAsia" w:hAnsi="宋体" w:cs="宋体"/>
          <w:color w:val="auto"/>
          <w:highlight w:val="none"/>
        </w:rPr>
      </w:pPr>
      <w:r>
        <w:rPr>
          <w:rFonts w:hint="eastAsia" w:hAnsi="宋体" w:cs="宋体"/>
          <w:color w:val="auto"/>
          <w:highlight w:val="none"/>
        </w:rPr>
        <w:t>所投分标：</w:t>
      </w:r>
      <w:r>
        <w:rPr>
          <w:rFonts w:hint="eastAsia" w:hAnsi="宋体" w:cs="宋体"/>
          <w:color w:val="auto"/>
          <w:highlight w:val="none"/>
          <w:u w:val="single"/>
        </w:rPr>
        <w:t xml:space="preserve">     </w:t>
      </w:r>
      <w:r>
        <w:rPr>
          <w:rFonts w:hint="eastAsia" w:hAnsi="宋体" w:cs="宋体"/>
          <w:color w:val="auto"/>
          <w:highlight w:val="none"/>
        </w:rPr>
        <w:t>分标</w:t>
      </w:r>
    </w:p>
    <w:tbl>
      <w:tblPr>
        <w:tblStyle w:val="3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6"/>
        <w:gridCol w:w="777"/>
        <w:gridCol w:w="1865"/>
        <w:gridCol w:w="1557"/>
        <w:gridCol w:w="1862"/>
        <w:gridCol w:w="2406"/>
      </w:tblGrid>
      <w:tr w14:paraId="363D1C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0" w:hRule="atLeast"/>
        </w:trPr>
        <w:tc>
          <w:tcPr>
            <w:tcW w:w="896" w:type="dxa"/>
            <w:noWrap w:val="0"/>
            <w:vAlign w:val="center"/>
          </w:tcPr>
          <w:p w14:paraId="66EB4263">
            <w:pPr>
              <w:keepNext w:val="0"/>
              <w:keepLines w:val="0"/>
              <w:pageBreakBefore w:val="0"/>
              <w:widowControl w:val="0"/>
              <w:suppressLineNumbers w:val="0"/>
              <w:kinsoku/>
              <w:overflowPunct/>
              <w:topLinePunct w:val="0"/>
              <w:autoSpaceDE/>
              <w:autoSpaceDN/>
              <w:bidi w:val="0"/>
              <w:adjustRightInd/>
              <w:snapToGrid w:val="0"/>
              <w:spacing w:before="50" w:beforeAutospacing="0" w:after="165" w:afterLines="50" w:afterAutospacing="0" w:line="400" w:lineRule="exact"/>
              <w:ind w:left="0" w:right="0"/>
              <w:jc w:val="center"/>
              <w:textAlignment w:val="auto"/>
              <w:rPr>
                <w:rFonts w:hint="eastAsia" w:ascii="宋体" w:hAnsi="宋体" w:cs="宋体"/>
                <w:color w:val="auto"/>
                <w:szCs w:val="21"/>
                <w:highlight w:val="none"/>
              </w:rPr>
            </w:pPr>
            <w:r>
              <w:rPr>
                <w:rFonts w:hint="eastAsia" w:ascii="宋体" w:hAnsi="宋体" w:cs="宋体"/>
                <w:color w:val="auto"/>
                <w:szCs w:val="21"/>
                <w:highlight w:val="none"/>
              </w:rPr>
              <w:t>姓名</w:t>
            </w:r>
          </w:p>
        </w:tc>
        <w:tc>
          <w:tcPr>
            <w:tcW w:w="777" w:type="dxa"/>
            <w:noWrap w:val="0"/>
            <w:vAlign w:val="center"/>
          </w:tcPr>
          <w:p w14:paraId="5123C7A3">
            <w:pPr>
              <w:keepNext w:val="0"/>
              <w:keepLines w:val="0"/>
              <w:pageBreakBefore w:val="0"/>
              <w:widowControl w:val="0"/>
              <w:suppressLineNumbers w:val="0"/>
              <w:kinsoku/>
              <w:overflowPunct/>
              <w:topLinePunct w:val="0"/>
              <w:autoSpaceDE/>
              <w:autoSpaceDN/>
              <w:bidi w:val="0"/>
              <w:adjustRightInd/>
              <w:snapToGrid w:val="0"/>
              <w:spacing w:before="50" w:beforeAutospacing="0" w:after="165" w:afterLines="50" w:afterAutospacing="0" w:line="400" w:lineRule="exact"/>
              <w:ind w:left="0" w:right="0"/>
              <w:jc w:val="center"/>
              <w:textAlignment w:val="auto"/>
              <w:rPr>
                <w:rFonts w:hint="eastAsia" w:ascii="宋体" w:hAnsi="宋体" w:cs="宋体"/>
                <w:color w:val="auto"/>
                <w:szCs w:val="21"/>
                <w:highlight w:val="none"/>
              </w:rPr>
            </w:pPr>
            <w:r>
              <w:rPr>
                <w:rFonts w:hint="eastAsia" w:ascii="宋体" w:hAnsi="宋体" w:cs="宋体"/>
                <w:color w:val="auto"/>
                <w:szCs w:val="21"/>
                <w:highlight w:val="none"/>
              </w:rPr>
              <w:t>职务</w:t>
            </w:r>
          </w:p>
        </w:tc>
        <w:tc>
          <w:tcPr>
            <w:tcW w:w="1865" w:type="dxa"/>
            <w:noWrap w:val="0"/>
            <w:vAlign w:val="center"/>
          </w:tcPr>
          <w:p w14:paraId="2D00BA30">
            <w:pPr>
              <w:keepNext w:val="0"/>
              <w:keepLines w:val="0"/>
              <w:pageBreakBefore w:val="0"/>
              <w:widowControl w:val="0"/>
              <w:suppressLineNumbers w:val="0"/>
              <w:kinsoku/>
              <w:overflowPunct/>
              <w:topLinePunct w:val="0"/>
              <w:autoSpaceDE/>
              <w:autoSpaceDN/>
              <w:bidi w:val="0"/>
              <w:adjustRightInd/>
              <w:snapToGrid w:val="0"/>
              <w:spacing w:before="50" w:beforeAutospacing="0" w:after="165" w:afterLines="50" w:afterAutospacing="0" w:line="400" w:lineRule="exact"/>
              <w:ind w:left="0" w:right="0"/>
              <w:jc w:val="center"/>
              <w:textAlignment w:val="auto"/>
              <w:rPr>
                <w:rFonts w:hint="eastAsia" w:ascii="宋体" w:hAnsi="宋体" w:cs="宋体"/>
                <w:color w:val="auto"/>
                <w:szCs w:val="21"/>
                <w:highlight w:val="none"/>
              </w:rPr>
            </w:pPr>
            <w:r>
              <w:rPr>
                <w:rFonts w:hint="eastAsia" w:ascii="宋体" w:hAnsi="宋体" w:cs="宋体"/>
                <w:color w:val="auto"/>
                <w:szCs w:val="21"/>
                <w:highlight w:val="none"/>
              </w:rPr>
              <w:t>专业技术资格（职称）或者职业资格或者执业资格证或者其他证书</w:t>
            </w:r>
          </w:p>
        </w:tc>
        <w:tc>
          <w:tcPr>
            <w:tcW w:w="1557" w:type="dxa"/>
            <w:noWrap w:val="0"/>
            <w:vAlign w:val="center"/>
          </w:tcPr>
          <w:p w14:paraId="7B8EAE93">
            <w:pPr>
              <w:keepNext w:val="0"/>
              <w:keepLines w:val="0"/>
              <w:pageBreakBefore w:val="0"/>
              <w:widowControl w:val="0"/>
              <w:suppressLineNumbers w:val="0"/>
              <w:kinsoku/>
              <w:overflowPunct/>
              <w:topLinePunct w:val="0"/>
              <w:autoSpaceDE/>
              <w:autoSpaceDN/>
              <w:bidi w:val="0"/>
              <w:adjustRightInd/>
              <w:snapToGrid w:val="0"/>
              <w:spacing w:before="50" w:beforeAutospacing="0" w:after="165" w:afterLines="50" w:afterAutospacing="0" w:line="400" w:lineRule="exact"/>
              <w:ind w:left="0" w:right="0"/>
              <w:jc w:val="center"/>
              <w:textAlignment w:val="auto"/>
              <w:rPr>
                <w:rFonts w:hint="eastAsia" w:ascii="宋体" w:hAnsi="宋体" w:cs="宋体"/>
                <w:color w:val="auto"/>
                <w:szCs w:val="21"/>
                <w:highlight w:val="none"/>
              </w:rPr>
            </w:pPr>
            <w:r>
              <w:rPr>
                <w:rFonts w:hint="eastAsia" w:ascii="宋体" w:hAnsi="宋体" w:cs="宋体"/>
                <w:color w:val="auto"/>
                <w:szCs w:val="21"/>
                <w:highlight w:val="none"/>
              </w:rPr>
              <w:t>证书编号</w:t>
            </w:r>
          </w:p>
        </w:tc>
        <w:tc>
          <w:tcPr>
            <w:tcW w:w="1862" w:type="dxa"/>
            <w:noWrap w:val="0"/>
            <w:vAlign w:val="center"/>
          </w:tcPr>
          <w:p w14:paraId="6C646B7F">
            <w:pPr>
              <w:keepNext w:val="0"/>
              <w:keepLines w:val="0"/>
              <w:pageBreakBefore w:val="0"/>
              <w:widowControl w:val="0"/>
              <w:suppressLineNumbers w:val="0"/>
              <w:kinsoku/>
              <w:overflowPunct/>
              <w:topLinePunct w:val="0"/>
              <w:autoSpaceDE/>
              <w:autoSpaceDN/>
              <w:bidi w:val="0"/>
              <w:adjustRightInd/>
              <w:snapToGrid w:val="0"/>
              <w:spacing w:before="50" w:beforeAutospacing="0" w:after="165" w:afterLines="50" w:afterAutospacing="0" w:line="400" w:lineRule="exact"/>
              <w:ind w:left="0" w:right="0"/>
              <w:jc w:val="center"/>
              <w:textAlignment w:val="auto"/>
              <w:rPr>
                <w:rFonts w:hint="eastAsia" w:ascii="宋体" w:hAnsi="宋体" w:cs="宋体"/>
                <w:color w:val="auto"/>
                <w:szCs w:val="21"/>
                <w:highlight w:val="none"/>
              </w:rPr>
            </w:pPr>
            <w:r>
              <w:rPr>
                <w:rFonts w:hint="eastAsia" w:ascii="宋体" w:hAnsi="宋体" w:cs="宋体"/>
                <w:color w:val="auto"/>
                <w:szCs w:val="21"/>
                <w:highlight w:val="none"/>
              </w:rPr>
              <w:t>参加本单位</w:t>
            </w:r>
          </w:p>
          <w:p w14:paraId="1880511F">
            <w:pPr>
              <w:keepNext w:val="0"/>
              <w:keepLines w:val="0"/>
              <w:pageBreakBefore w:val="0"/>
              <w:widowControl w:val="0"/>
              <w:suppressLineNumbers w:val="0"/>
              <w:kinsoku/>
              <w:overflowPunct/>
              <w:topLinePunct w:val="0"/>
              <w:autoSpaceDE/>
              <w:autoSpaceDN/>
              <w:bidi w:val="0"/>
              <w:adjustRightInd/>
              <w:snapToGrid w:val="0"/>
              <w:spacing w:before="50" w:beforeAutospacing="0" w:after="165" w:afterLines="50" w:afterAutospacing="0" w:line="400" w:lineRule="exact"/>
              <w:ind w:left="0" w:right="0"/>
              <w:jc w:val="center"/>
              <w:textAlignment w:val="auto"/>
              <w:rPr>
                <w:rFonts w:hint="eastAsia" w:ascii="宋体" w:hAnsi="宋体" w:cs="宋体"/>
                <w:color w:val="auto"/>
                <w:szCs w:val="21"/>
                <w:highlight w:val="none"/>
              </w:rPr>
            </w:pPr>
            <w:r>
              <w:rPr>
                <w:rFonts w:hint="eastAsia" w:ascii="宋体" w:hAnsi="宋体" w:cs="宋体"/>
                <w:color w:val="auto"/>
                <w:szCs w:val="21"/>
                <w:highlight w:val="none"/>
              </w:rPr>
              <w:t>工作时间</w:t>
            </w:r>
          </w:p>
        </w:tc>
        <w:tc>
          <w:tcPr>
            <w:tcW w:w="2406" w:type="dxa"/>
            <w:noWrap w:val="0"/>
            <w:vAlign w:val="center"/>
          </w:tcPr>
          <w:p w14:paraId="53A6C2B8">
            <w:pPr>
              <w:keepNext w:val="0"/>
              <w:keepLines w:val="0"/>
              <w:pageBreakBefore w:val="0"/>
              <w:widowControl w:val="0"/>
              <w:suppressLineNumbers w:val="0"/>
              <w:kinsoku/>
              <w:overflowPunct/>
              <w:topLinePunct w:val="0"/>
              <w:autoSpaceDE/>
              <w:autoSpaceDN/>
              <w:bidi w:val="0"/>
              <w:adjustRightInd/>
              <w:snapToGrid w:val="0"/>
              <w:spacing w:before="50" w:beforeAutospacing="0" w:after="165" w:afterLines="50" w:afterAutospacing="0" w:line="400" w:lineRule="exact"/>
              <w:ind w:left="0" w:right="0"/>
              <w:jc w:val="center"/>
              <w:textAlignment w:val="auto"/>
              <w:rPr>
                <w:rFonts w:hint="eastAsia" w:ascii="宋体" w:hAnsi="宋体" w:cs="宋体"/>
                <w:color w:val="auto"/>
                <w:szCs w:val="21"/>
                <w:highlight w:val="none"/>
              </w:rPr>
            </w:pPr>
            <w:r>
              <w:rPr>
                <w:rFonts w:hint="eastAsia" w:ascii="宋体" w:hAnsi="宋体" w:cs="宋体"/>
                <w:color w:val="auto"/>
                <w:szCs w:val="21"/>
                <w:highlight w:val="none"/>
              </w:rPr>
              <w:t>劳动合同编号</w:t>
            </w:r>
          </w:p>
        </w:tc>
      </w:tr>
      <w:tr w14:paraId="1EFBC3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trPr>
        <w:tc>
          <w:tcPr>
            <w:tcW w:w="896" w:type="dxa"/>
            <w:noWrap w:val="0"/>
            <w:vAlign w:val="center"/>
          </w:tcPr>
          <w:p w14:paraId="42F07578">
            <w:pPr>
              <w:keepNext w:val="0"/>
              <w:keepLines w:val="0"/>
              <w:pageBreakBefore w:val="0"/>
              <w:widowControl w:val="0"/>
              <w:suppressLineNumbers w:val="0"/>
              <w:kinsoku/>
              <w:overflowPunct/>
              <w:topLinePunct w:val="0"/>
              <w:autoSpaceDE/>
              <w:autoSpaceDN/>
              <w:bidi w:val="0"/>
              <w:adjustRightInd/>
              <w:snapToGrid w:val="0"/>
              <w:spacing w:before="50" w:beforeAutospacing="0" w:after="165" w:afterLines="50" w:afterAutospacing="0" w:line="400" w:lineRule="exact"/>
              <w:ind w:left="0" w:right="0"/>
              <w:jc w:val="center"/>
              <w:textAlignment w:val="auto"/>
              <w:rPr>
                <w:rFonts w:hint="eastAsia" w:ascii="宋体" w:hAnsi="宋体" w:cs="宋体"/>
                <w:color w:val="auto"/>
                <w:szCs w:val="21"/>
                <w:highlight w:val="none"/>
              </w:rPr>
            </w:pPr>
          </w:p>
        </w:tc>
        <w:tc>
          <w:tcPr>
            <w:tcW w:w="777" w:type="dxa"/>
            <w:noWrap w:val="0"/>
            <w:vAlign w:val="center"/>
          </w:tcPr>
          <w:p w14:paraId="3412E8B5">
            <w:pPr>
              <w:keepNext w:val="0"/>
              <w:keepLines w:val="0"/>
              <w:pageBreakBefore w:val="0"/>
              <w:widowControl w:val="0"/>
              <w:suppressLineNumbers w:val="0"/>
              <w:kinsoku/>
              <w:overflowPunct/>
              <w:topLinePunct w:val="0"/>
              <w:autoSpaceDE/>
              <w:autoSpaceDN/>
              <w:bidi w:val="0"/>
              <w:adjustRightInd/>
              <w:snapToGrid w:val="0"/>
              <w:spacing w:before="50" w:beforeAutospacing="0" w:after="165" w:afterLines="50" w:afterAutospacing="0" w:line="400" w:lineRule="exact"/>
              <w:ind w:left="0" w:right="0"/>
              <w:jc w:val="center"/>
              <w:textAlignment w:val="auto"/>
              <w:rPr>
                <w:rFonts w:hint="eastAsia" w:ascii="宋体" w:hAnsi="宋体" w:cs="宋体"/>
                <w:color w:val="auto"/>
                <w:szCs w:val="21"/>
                <w:highlight w:val="none"/>
              </w:rPr>
            </w:pPr>
          </w:p>
        </w:tc>
        <w:tc>
          <w:tcPr>
            <w:tcW w:w="1865" w:type="dxa"/>
            <w:noWrap w:val="0"/>
            <w:vAlign w:val="center"/>
          </w:tcPr>
          <w:p w14:paraId="11DB162F">
            <w:pPr>
              <w:keepNext w:val="0"/>
              <w:keepLines w:val="0"/>
              <w:pageBreakBefore w:val="0"/>
              <w:widowControl w:val="0"/>
              <w:suppressLineNumbers w:val="0"/>
              <w:kinsoku/>
              <w:overflowPunct/>
              <w:topLinePunct w:val="0"/>
              <w:autoSpaceDE/>
              <w:autoSpaceDN/>
              <w:bidi w:val="0"/>
              <w:adjustRightInd/>
              <w:snapToGrid w:val="0"/>
              <w:spacing w:before="50" w:beforeAutospacing="0" w:after="165" w:afterLines="50" w:afterAutospacing="0" w:line="400" w:lineRule="exact"/>
              <w:ind w:left="0" w:right="0"/>
              <w:jc w:val="center"/>
              <w:textAlignment w:val="auto"/>
              <w:rPr>
                <w:rFonts w:hint="eastAsia" w:ascii="宋体" w:hAnsi="宋体" w:cs="宋体"/>
                <w:color w:val="auto"/>
                <w:szCs w:val="21"/>
                <w:highlight w:val="none"/>
              </w:rPr>
            </w:pPr>
          </w:p>
        </w:tc>
        <w:tc>
          <w:tcPr>
            <w:tcW w:w="1557" w:type="dxa"/>
            <w:noWrap w:val="0"/>
            <w:vAlign w:val="center"/>
          </w:tcPr>
          <w:p w14:paraId="13982AA5">
            <w:pPr>
              <w:keepNext w:val="0"/>
              <w:keepLines w:val="0"/>
              <w:pageBreakBefore w:val="0"/>
              <w:widowControl w:val="0"/>
              <w:suppressLineNumbers w:val="0"/>
              <w:kinsoku/>
              <w:overflowPunct/>
              <w:topLinePunct w:val="0"/>
              <w:autoSpaceDE/>
              <w:autoSpaceDN/>
              <w:bidi w:val="0"/>
              <w:adjustRightInd/>
              <w:snapToGrid w:val="0"/>
              <w:spacing w:before="50" w:beforeAutospacing="0" w:after="165" w:afterLines="50" w:afterAutospacing="0" w:line="400" w:lineRule="exact"/>
              <w:ind w:left="0" w:right="0"/>
              <w:jc w:val="center"/>
              <w:textAlignment w:val="auto"/>
              <w:rPr>
                <w:rFonts w:hint="eastAsia" w:ascii="宋体" w:hAnsi="宋体" w:cs="宋体"/>
                <w:color w:val="auto"/>
                <w:szCs w:val="21"/>
                <w:highlight w:val="none"/>
              </w:rPr>
            </w:pPr>
          </w:p>
        </w:tc>
        <w:tc>
          <w:tcPr>
            <w:tcW w:w="1862" w:type="dxa"/>
            <w:noWrap w:val="0"/>
            <w:vAlign w:val="center"/>
          </w:tcPr>
          <w:p w14:paraId="756EBD87">
            <w:pPr>
              <w:keepNext w:val="0"/>
              <w:keepLines w:val="0"/>
              <w:pageBreakBefore w:val="0"/>
              <w:widowControl w:val="0"/>
              <w:suppressLineNumbers w:val="0"/>
              <w:kinsoku/>
              <w:overflowPunct/>
              <w:topLinePunct w:val="0"/>
              <w:autoSpaceDE/>
              <w:autoSpaceDN/>
              <w:bidi w:val="0"/>
              <w:adjustRightInd/>
              <w:snapToGrid w:val="0"/>
              <w:spacing w:before="50" w:beforeAutospacing="0" w:after="165" w:afterLines="50" w:afterAutospacing="0" w:line="400" w:lineRule="exact"/>
              <w:ind w:left="0" w:right="0"/>
              <w:jc w:val="center"/>
              <w:textAlignment w:val="auto"/>
              <w:rPr>
                <w:rFonts w:hint="eastAsia" w:ascii="宋体" w:hAnsi="宋体" w:cs="宋体"/>
                <w:color w:val="auto"/>
                <w:szCs w:val="21"/>
                <w:highlight w:val="none"/>
              </w:rPr>
            </w:pPr>
          </w:p>
        </w:tc>
        <w:tc>
          <w:tcPr>
            <w:tcW w:w="2406" w:type="dxa"/>
            <w:noWrap w:val="0"/>
            <w:vAlign w:val="center"/>
          </w:tcPr>
          <w:p w14:paraId="3BBD8BDE">
            <w:pPr>
              <w:keepNext w:val="0"/>
              <w:keepLines w:val="0"/>
              <w:pageBreakBefore w:val="0"/>
              <w:widowControl w:val="0"/>
              <w:suppressLineNumbers w:val="0"/>
              <w:kinsoku/>
              <w:overflowPunct/>
              <w:topLinePunct w:val="0"/>
              <w:autoSpaceDE/>
              <w:autoSpaceDN/>
              <w:bidi w:val="0"/>
              <w:adjustRightInd/>
              <w:snapToGrid w:val="0"/>
              <w:spacing w:before="50" w:beforeAutospacing="0" w:after="165" w:afterLines="50" w:afterAutospacing="0" w:line="400" w:lineRule="exact"/>
              <w:ind w:left="0" w:right="0"/>
              <w:jc w:val="center"/>
              <w:textAlignment w:val="auto"/>
              <w:rPr>
                <w:rFonts w:hint="eastAsia" w:ascii="宋体" w:hAnsi="宋体" w:cs="宋体"/>
                <w:color w:val="auto"/>
                <w:szCs w:val="21"/>
                <w:highlight w:val="none"/>
              </w:rPr>
            </w:pPr>
          </w:p>
        </w:tc>
      </w:tr>
      <w:tr w14:paraId="200074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trPr>
        <w:tc>
          <w:tcPr>
            <w:tcW w:w="896" w:type="dxa"/>
            <w:noWrap w:val="0"/>
            <w:vAlign w:val="center"/>
          </w:tcPr>
          <w:p w14:paraId="18E20D41">
            <w:pPr>
              <w:keepNext w:val="0"/>
              <w:keepLines w:val="0"/>
              <w:pageBreakBefore w:val="0"/>
              <w:widowControl w:val="0"/>
              <w:suppressLineNumbers w:val="0"/>
              <w:kinsoku/>
              <w:overflowPunct/>
              <w:topLinePunct w:val="0"/>
              <w:autoSpaceDE/>
              <w:autoSpaceDN/>
              <w:bidi w:val="0"/>
              <w:adjustRightInd/>
              <w:snapToGrid w:val="0"/>
              <w:spacing w:before="50" w:beforeAutospacing="0" w:after="165" w:afterLines="50" w:afterAutospacing="0" w:line="400" w:lineRule="exact"/>
              <w:ind w:left="0" w:right="0"/>
              <w:jc w:val="center"/>
              <w:textAlignment w:val="auto"/>
              <w:rPr>
                <w:rFonts w:hint="eastAsia" w:ascii="宋体" w:hAnsi="宋体" w:cs="宋体"/>
                <w:color w:val="auto"/>
                <w:szCs w:val="21"/>
                <w:highlight w:val="none"/>
              </w:rPr>
            </w:pPr>
          </w:p>
        </w:tc>
        <w:tc>
          <w:tcPr>
            <w:tcW w:w="777" w:type="dxa"/>
            <w:noWrap w:val="0"/>
            <w:vAlign w:val="center"/>
          </w:tcPr>
          <w:p w14:paraId="602818D0">
            <w:pPr>
              <w:keepNext w:val="0"/>
              <w:keepLines w:val="0"/>
              <w:pageBreakBefore w:val="0"/>
              <w:widowControl w:val="0"/>
              <w:suppressLineNumbers w:val="0"/>
              <w:kinsoku/>
              <w:overflowPunct/>
              <w:topLinePunct w:val="0"/>
              <w:autoSpaceDE/>
              <w:autoSpaceDN/>
              <w:bidi w:val="0"/>
              <w:adjustRightInd/>
              <w:snapToGrid w:val="0"/>
              <w:spacing w:before="50" w:beforeAutospacing="0" w:after="165" w:afterLines="50" w:afterAutospacing="0" w:line="400" w:lineRule="exact"/>
              <w:ind w:left="0" w:right="0"/>
              <w:jc w:val="center"/>
              <w:textAlignment w:val="auto"/>
              <w:rPr>
                <w:rFonts w:hint="eastAsia" w:ascii="宋体" w:hAnsi="宋体" w:cs="宋体"/>
                <w:color w:val="auto"/>
                <w:szCs w:val="21"/>
                <w:highlight w:val="none"/>
              </w:rPr>
            </w:pPr>
          </w:p>
        </w:tc>
        <w:tc>
          <w:tcPr>
            <w:tcW w:w="1865" w:type="dxa"/>
            <w:noWrap w:val="0"/>
            <w:vAlign w:val="center"/>
          </w:tcPr>
          <w:p w14:paraId="47F9BFDB">
            <w:pPr>
              <w:keepNext w:val="0"/>
              <w:keepLines w:val="0"/>
              <w:pageBreakBefore w:val="0"/>
              <w:widowControl w:val="0"/>
              <w:suppressLineNumbers w:val="0"/>
              <w:kinsoku/>
              <w:overflowPunct/>
              <w:topLinePunct w:val="0"/>
              <w:autoSpaceDE/>
              <w:autoSpaceDN/>
              <w:bidi w:val="0"/>
              <w:adjustRightInd/>
              <w:snapToGrid w:val="0"/>
              <w:spacing w:before="50" w:beforeAutospacing="0" w:after="165" w:afterLines="50" w:afterAutospacing="0" w:line="400" w:lineRule="exact"/>
              <w:ind w:left="0" w:right="0"/>
              <w:jc w:val="center"/>
              <w:textAlignment w:val="auto"/>
              <w:rPr>
                <w:rFonts w:hint="eastAsia" w:ascii="宋体" w:hAnsi="宋体" w:cs="宋体"/>
                <w:color w:val="auto"/>
                <w:szCs w:val="21"/>
                <w:highlight w:val="none"/>
              </w:rPr>
            </w:pPr>
          </w:p>
        </w:tc>
        <w:tc>
          <w:tcPr>
            <w:tcW w:w="1557" w:type="dxa"/>
            <w:noWrap w:val="0"/>
            <w:vAlign w:val="center"/>
          </w:tcPr>
          <w:p w14:paraId="1D16B4F0">
            <w:pPr>
              <w:keepNext w:val="0"/>
              <w:keepLines w:val="0"/>
              <w:pageBreakBefore w:val="0"/>
              <w:widowControl w:val="0"/>
              <w:suppressLineNumbers w:val="0"/>
              <w:kinsoku/>
              <w:overflowPunct/>
              <w:topLinePunct w:val="0"/>
              <w:autoSpaceDE/>
              <w:autoSpaceDN/>
              <w:bidi w:val="0"/>
              <w:adjustRightInd/>
              <w:snapToGrid w:val="0"/>
              <w:spacing w:before="50" w:beforeAutospacing="0" w:after="165" w:afterLines="50" w:afterAutospacing="0" w:line="400" w:lineRule="exact"/>
              <w:ind w:left="0" w:right="0"/>
              <w:jc w:val="center"/>
              <w:textAlignment w:val="auto"/>
              <w:rPr>
                <w:rFonts w:hint="eastAsia" w:ascii="宋体" w:hAnsi="宋体" w:cs="宋体"/>
                <w:color w:val="auto"/>
                <w:szCs w:val="21"/>
                <w:highlight w:val="none"/>
              </w:rPr>
            </w:pPr>
          </w:p>
        </w:tc>
        <w:tc>
          <w:tcPr>
            <w:tcW w:w="1862" w:type="dxa"/>
            <w:noWrap w:val="0"/>
            <w:vAlign w:val="center"/>
          </w:tcPr>
          <w:p w14:paraId="16007FAC">
            <w:pPr>
              <w:keepNext w:val="0"/>
              <w:keepLines w:val="0"/>
              <w:pageBreakBefore w:val="0"/>
              <w:widowControl w:val="0"/>
              <w:suppressLineNumbers w:val="0"/>
              <w:kinsoku/>
              <w:overflowPunct/>
              <w:topLinePunct w:val="0"/>
              <w:autoSpaceDE/>
              <w:autoSpaceDN/>
              <w:bidi w:val="0"/>
              <w:adjustRightInd/>
              <w:snapToGrid w:val="0"/>
              <w:spacing w:before="50" w:beforeAutospacing="0" w:after="165" w:afterLines="50" w:afterAutospacing="0" w:line="400" w:lineRule="exact"/>
              <w:ind w:left="0" w:right="0"/>
              <w:jc w:val="center"/>
              <w:textAlignment w:val="auto"/>
              <w:rPr>
                <w:rFonts w:hint="eastAsia" w:ascii="宋体" w:hAnsi="宋体" w:cs="宋体"/>
                <w:color w:val="auto"/>
                <w:szCs w:val="21"/>
                <w:highlight w:val="none"/>
              </w:rPr>
            </w:pPr>
          </w:p>
        </w:tc>
        <w:tc>
          <w:tcPr>
            <w:tcW w:w="2406" w:type="dxa"/>
            <w:noWrap w:val="0"/>
            <w:vAlign w:val="center"/>
          </w:tcPr>
          <w:p w14:paraId="204ED34B">
            <w:pPr>
              <w:keepNext w:val="0"/>
              <w:keepLines w:val="0"/>
              <w:pageBreakBefore w:val="0"/>
              <w:widowControl w:val="0"/>
              <w:suppressLineNumbers w:val="0"/>
              <w:kinsoku/>
              <w:overflowPunct/>
              <w:topLinePunct w:val="0"/>
              <w:autoSpaceDE/>
              <w:autoSpaceDN/>
              <w:bidi w:val="0"/>
              <w:adjustRightInd/>
              <w:snapToGrid w:val="0"/>
              <w:spacing w:before="50" w:beforeAutospacing="0" w:after="165" w:afterLines="50" w:afterAutospacing="0" w:line="400" w:lineRule="exact"/>
              <w:ind w:left="0" w:right="0"/>
              <w:jc w:val="center"/>
              <w:textAlignment w:val="auto"/>
              <w:rPr>
                <w:rFonts w:hint="eastAsia" w:ascii="宋体" w:hAnsi="宋体" w:cs="宋体"/>
                <w:color w:val="auto"/>
                <w:szCs w:val="21"/>
                <w:highlight w:val="none"/>
              </w:rPr>
            </w:pPr>
          </w:p>
        </w:tc>
      </w:tr>
      <w:tr w14:paraId="4E7C49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trPr>
        <w:tc>
          <w:tcPr>
            <w:tcW w:w="896" w:type="dxa"/>
            <w:noWrap w:val="0"/>
            <w:vAlign w:val="center"/>
          </w:tcPr>
          <w:p w14:paraId="0DD7A795">
            <w:pPr>
              <w:keepNext w:val="0"/>
              <w:keepLines w:val="0"/>
              <w:pageBreakBefore w:val="0"/>
              <w:widowControl w:val="0"/>
              <w:suppressLineNumbers w:val="0"/>
              <w:kinsoku/>
              <w:overflowPunct/>
              <w:topLinePunct w:val="0"/>
              <w:autoSpaceDE/>
              <w:autoSpaceDN/>
              <w:bidi w:val="0"/>
              <w:adjustRightInd/>
              <w:snapToGrid w:val="0"/>
              <w:spacing w:before="50" w:beforeAutospacing="0" w:after="165" w:afterLines="50" w:afterAutospacing="0" w:line="400" w:lineRule="exact"/>
              <w:ind w:left="0" w:right="0"/>
              <w:jc w:val="center"/>
              <w:textAlignment w:val="auto"/>
              <w:rPr>
                <w:rFonts w:hint="eastAsia" w:ascii="宋体" w:hAnsi="宋体" w:cs="宋体"/>
                <w:color w:val="auto"/>
                <w:szCs w:val="21"/>
                <w:highlight w:val="none"/>
              </w:rPr>
            </w:pPr>
          </w:p>
        </w:tc>
        <w:tc>
          <w:tcPr>
            <w:tcW w:w="777" w:type="dxa"/>
            <w:noWrap w:val="0"/>
            <w:vAlign w:val="center"/>
          </w:tcPr>
          <w:p w14:paraId="6CEA69F1">
            <w:pPr>
              <w:keepNext w:val="0"/>
              <w:keepLines w:val="0"/>
              <w:pageBreakBefore w:val="0"/>
              <w:widowControl w:val="0"/>
              <w:suppressLineNumbers w:val="0"/>
              <w:kinsoku/>
              <w:overflowPunct/>
              <w:topLinePunct w:val="0"/>
              <w:autoSpaceDE/>
              <w:autoSpaceDN/>
              <w:bidi w:val="0"/>
              <w:adjustRightInd/>
              <w:snapToGrid w:val="0"/>
              <w:spacing w:before="50" w:beforeAutospacing="0" w:after="165" w:afterLines="50" w:afterAutospacing="0" w:line="400" w:lineRule="exact"/>
              <w:ind w:left="0" w:right="0"/>
              <w:jc w:val="center"/>
              <w:textAlignment w:val="auto"/>
              <w:rPr>
                <w:rFonts w:hint="eastAsia" w:ascii="宋体" w:hAnsi="宋体" w:cs="宋体"/>
                <w:color w:val="auto"/>
                <w:szCs w:val="21"/>
                <w:highlight w:val="none"/>
              </w:rPr>
            </w:pPr>
          </w:p>
        </w:tc>
        <w:tc>
          <w:tcPr>
            <w:tcW w:w="1865" w:type="dxa"/>
            <w:noWrap w:val="0"/>
            <w:vAlign w:val="center"/>
          </w:tcPr>
          <w:p w14:paraId="74088F4F">
            <w:pPr>
              <w:keepNext w:val="0"/>
              <w:keepLines w:val="0"/>
              <w:pageBreakBefore w:val="0"/>
              <w:widowControl w:val="0"/>
              <w:suppressLineNumbers w:val="0"/>
              <w:kinsoku/>
              <w:overflowPunct/>
              <w:topLinePunct w:val="0"/>
              <w:autoSpaceDE/>
              <w:autoSpaceDN/>
              <w:bidi w:val="0"/>
              <w:adjustRightInd/>
              <w:snapToGrid w:val="0"/>
              <w:spacing w:before="50" w:beforeAutospacing="0" w:after="165" w:afterLines="50" w:afterAutospacing="0" w:line="400" w:lineRule="exact"/>
              <w:ind w:left="0" w:right="0"/>
              <w:jc w:val="center"/>
              <w:textAlignment w:val="auto"/>
              <w:rPr>
                <w:rFonts w:hint="eastAsia" w:ascii="宋体" w:hAnsi="宋体" w:cs="宋体"/>
                <w:color w:val="auto"/>
                <w:szCs w:val="21"/>
                <w:highlight w:val="none"/>
              </w:rPr>
            </w:pPr>
          </w:p>
        </w:tc>
        <w:tc>
          <w:tcPr>
            <w:tcW w:w="1557" w:type="dxa"/>
            <w:noWrap w:val="0"/>
            <w:vAlign w:val="center"/>
          </w:tcPr>
          <w:p w14:paraId="065F643A">
            <w:pPr>
              <w:keepNext w:val="0"/>
              <w:keepLines w:val="0"/>
              <w:pageBreakBefore w:val="0"/>
              <w:widowControl w:val="0"/>
              <w:suppressLineNumbers w:val="0"/>
              <w:kinsoku/>
              <w:overflowPunct/>
              <w:topLinePunct w:val="0"/>
              <w:autoSpaceDE/>
              <w:autoSpaceDN/>
              <w:bidi w:val="0"/>
              <w:adjustRightInd/>
              <w:snapToGrid w:val="0"/>
              <w:spacing w:before="50" w:beforeAutospacing="0" w:after="165" w:afterLines="50" w:afterAutospacing="0" w:line="400" w:lineRule="exact"/>
              <w:ind w:left="0" w:right="0"/>
              <w:jc w:val="center"/>
              <w:textAlignment w:val="auto"/>
              <w:rPr>
                <w:rFonts w:hint="eastAsia" w:ascii="宋体" w:hAnsi="宋体" w:cs="宋体"/>
                <w:color w:val="auto"/>
                <w:szCs w:val="21"/>
                <w:highlight w:val="none"/>
              </w:rPr>
            </w:pPr>
          </w:p>
        </w:tc>
        <w:tc>
          <w:tcPr>
            <w:tcW w:w="1862" w:type="dxa"/>
            <w:noWrap w:val="0"/>
            <w:vAlign w:val="center"/>
          </w:tcPr>
          <w:p w14:paraId="2351968A">
            <w:pPr>
              <w:keepNext w:val="0"/>
              <w:keepLines w:val="0"/>
              <w:pageBreakBefore w:val="0"/>
              <w:widowControl w:val="0"/>
              <w:suppressLineNumbers w:val="0"/>
              <w:kinsoku/>
              <w:overflowPunct/>
              <w:topLinePunct w:val="0"/>
              <w:autoSpaceDE/>
              <w:autoSpaceDN/>
              <w:bidi w:val="0"/>
              <w:adjustRightInd/>
              <w:snapToGrid w:val="0"/>
              <w:spacing w:before="50" w:beforeAutospacing="0" w:after="165" w:afterLines="50" w:afterAutospacing="0" w:line="400" w:lineRule="exact"/>
              <w:ind w:left="0" w:right="0"/>
              <w:jc w:val="center"/>
              <w:textAlignment w:val="auto"/>
              <w:rPr>
                <w:rFonts w:hint="eastAsia" w:ascii="宋体" w:hAnsi="宋体" w:cs="宋体"/>
                <w:color w:val="auto"/>
                <w:szCs w:val="21"/>
                <w:highlight w:val="none"/>
              </w:rPr>
            </w:pPr>
          </w:p>
        </w:tc>
        <w:tc>
          <w:tcPr>
            <w:tcW w:w="2406" w:type="dxa"/>
            <w:noWrap w:val="0"/>
            <w:vAlign w:val="center"/>
          </w:tcPr>
          <w:p w14:paraId="02156EDA">
            <w:pPr>
              <w:keepNext w:val="0"/>
              <w:keepLines w:val="0"/>
              <w:pageBreakBefore w:val="0"/>
              <w:widowControl w:val="0"/>
              <w:suppressLineNumbers w:val="0"/>
              <w:kinsoku/>
              <w:overflowPunct/>
              <w:topLinePunct w:val="0"/>
              <w:autoSpaceDE/>
              <w:autoSpaceDN/>
              <w:bidi w:val="0"/>
              <w:adjustRightInd/>
              <w:snapToGrid w:val="0"/>
              <w:spacing w:before="50" w:beforeAutospacing="0" w:after="165" w:afterLines="50" w:afterAutospacing="0" w:line="400" w:lineRule="exact"/>
              <w:ind w:left="0" w:right="0"/>
              <w:jc w:val="center"/>
              <w:textAlignment w:val="auto"/>
              <w:rPr>
                <w:rFonts w:hint="eastAsia" w:ascii="宋体" w:hAnsi="宋体" w:cs="宋体"/>
                <w:color w:val="auto"/>
                <w:szCs w:val="21"/>
                <w:highlight w:val="none"/>
              </w:rPr>
            </w:pPr>
          </w:p>
        </w:tc>
      </w:tr>
    </w:tbl>
    <w:p w14:paraId="67A83B00">
      <w:pPr>
        <w:keepNext w:val="0"/>
        <w:keepLines w:val="0"/>
        <w:pageBreakBefore w:val="0"/>
        <w:widowControl w:val="0"/>
        <w:kinsoku/>
        <w:overflowPunct/>
        <w:topLinePunct w:val="0"/>
        <w:autoSpaceDE/>
        <w:autoSpaceDN/>
        <w:bidi w:val="0"/>
        <w:adjustRightInd/>
        <w:snapToGrid w:val="0"/>
        <w:spacing w:before="50" w:after="165" w:afterLines="50" w:line="400" w:lineRule="exact"/>
        <w:jc w:val="left"/>
        <w:textAlignment w:val="auto"/>
        <w:rPr>
          <w:rFonts w:hint="eastAsia" w:ascii="宋体" w:hAnsi="宋体" w:cs="宋体"/>
          <w:color w:val="auto"/>
          <w:szCs w:val="21"/>
          <w:highlight w:val="none"/>
        </w:rPr>
      </w:pPr>
    </w:p>
    <w:p w14:paraId="7BEA73CC">
      <w:pPr>
        <w:keepNext w:val="0"/>
        <w:keepLines w:val="0"/>
        <w:pageBreakBefore w:val="0"/>
        <w:widowControl w:val="0"/>
        <w:kinsoku/>
        <w:overflowPunct/>
        <w:topLinePunct w:val="0"/>
        <w:autoSpaceDE/>
        <w:autoSpaceDN/>
        <w:bidi w:val="0"/>
        <w:adjustRightInd/>
        <w:spacing w:line="400" w:lineRule="exact"/>
        <w:contextualSpacing/>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注：</w:t>
      </w:r>
    </w:p>
    <w:p w14:paraId="50A3CA2C">
      <w:pPr>
        <w:keepNext w:val="0"/>
        <w:keepLines w:val="0"/>
        <w:pageBreakBefore w:val="0"/>
        <w:widowControl w:val="0"/>
        <w:kinsoku/>
        <w:overflowPunct/>
        <w:topLinePunct w:val="0"/>
        <w:autoSpaceDE/>
        <w:autoSpaceDN/>
        <w:bidi w:val="0"/>
        <w:adjustRightInd/>
        <w:spacing w:line="400" w:lineRule="exact"/>
        <w:contextualSpacing/>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1.在填写时，如本表格不适合投标单位的实际情况，可根据本表格式自行制表填写。</w:t>
      </w:r>
    </w:p>
    <w:p w14:paraId="5FF95469">
      <w:pPr>
        <w:keepNext w:val="0"/>
        <w:keepLines w:val="0"/>
        <w:pageBreakBefore w:val="0"/>
        <w:widowControl w:val="0"/>
        <w:kinsoku/>
        <w:overflowPunct/>
        <w:topLinePunct w:val="0"/>
        <w:autoSpaceDE/>
        <w:autoSpaceDN/>
        <w:bidi w:val="0"/>
        <w:adjustRightInd/>
        <w:spacing w:line="400" w:lineRule="exact"/>
        <w:contextualSpacing/>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2.投标人应当附本表所列证书的复印件并加盖投标人电子签章。</w:t>
      </w:r>
    </w:p>
    <w:p w14:paraId="66A93E6F">
      <w:pPr>
        <w:keepNext w:val="0"/>
        <w:keepLines w:val="0"/>
        <w:pageBreakBefore w:val="0"/>
        <w:widowControl w:val="0"/>
        <w:kinsoku/>
        <w:wordWrap w:val="0"/>
        <w:overflowPunct/>
        <w:topLinePunct w:val="0"/>
        <w:autoSpaceDE/>
        <w:autoSpaceDN/>
        <w:bidi w:val="0"/>
        <w:adjustRightInd/>
        <w:spacing w:line="400" w:lineRule="exact"/>
        <w:contextualSpacing/>
        <w:jc w:val="left"/>
        <w:textAlignment w:val="auto"/>
        <w:rPr>
          <w:rFonts w:hint="eastAsia" w:ascii="宋体" w:hAnsi="宋体" w:cs="宋体"/>
          <w:color w:val="auto"/>
          <w:szCs w:val="21"/>
          <w:highlight w:val="none"/>
        </w:rPr>
      </w:pPr>
    </w:p>
    <w:p w14:paraId="47483E81">
      <w:pPr>
        <w:keepNext w:val="0"/>
        <w:keepLines w:val="0"/>
        <w:pageBreakBefore w:val="0"/>
        <w:widowControl w:val="0"/>
        <w:kinsoku/>
        <w:wordWrap w:val="0"/>
        <w:overflowPunct/>
        <w:topLinePunct w:val="0"/>
        <w:autoSpaceDE/>
        <w:autoSpaceDN/>
        <w:bidi w:val="0"/>
        <w:adjustRightInd/>
        <w:spacing w:line="400" w:lineRule="exact"/>
        <w:contextualSpacing/>
        <w:textAlignment w:val="auto"/>
        <w:rPr>
          <w:rFonts w:hint="eastAsia" w:ascii="宋体" w:hAnsi="宋体" w:cs="宋体"/>
          <w:color w:val="auto"/>
          <w:spacing w:val="20"/>
          <w:szCs w:val="21"/>
          <w:highlight w:val="none"/>
          <w:u w:val="single"/>
        </w:rPr>
      </w:pPr>
      <w:r>
        <w:rPr>
          <w:rFonts w:hint="eastAsia" w:ascii="宋体" w:hAnsi="宋体" w:cs="宋体"/>
          <w:color w:val="auto"/>
          <w:szCs w:val="21"/>
          <w:highlight w:val="none"/>
        </w:rPr>
        <w:t>法定代表人或者委托代理人</w:t>
      </w:r>
      <w:r>
        <w:rPr>
          <w:rFonts w:hint="eastAsia" w:ascii="宋体" w:hAnsi="宋体" w:cs="宋体"/>
          <w:color w:val="auto"/>
          <w:spacing w:val="20"/>
          <w:szCs w:val="21"/>
          <w:highlight w:val="none"/>
        </w:rPr>
        <w:t>（签字或者电子签名）：</w:t>
      </w:r>
      <w:r>
        <w:rPr>
          <w:rFonts w:hint="eastAsia" w:ascii="宋体" w:hAnsi="宋体" w:cs="宋体"/>
          <w:color w:val="auto"/>
          <w:spacing w:val="20"/>
          <w:szCs w:val="21"/>
          <w:highlight w:val="none"/>
          <w:u w:val="single"/>
        </w:rPr>
        <w:t xml:space="preserve">        </w:t>
      </w:r>
    </w:p>
    <w:p w14:paraId="1C1BB69C">
      <w:pPr>
        <w:keepNext w:val="0"/>
        <w:keepLines w:val="0"/>
        <w:pageBreakBefore w:val="0"/>
        <w:widowControl w:val="0"/>
        <w:kinsoku/>
        <w:wordWrap w:val="0"/>
        <w:overflowPunct/>
        <w:topLinePunct w:val="0"/>
        <w:autoSpaceDE/>
        <w:autoSpaceDN/>
        <w:bidi w:val="0"/>
        <w:adjustRightInd/>
        <w:spacing w:line="400" w:lineRule="exact"/>
        <w:contextualSpacing/>
        <w:jc w:val="left"/>
        <w:textAlignment w:val="auto"/>
        <w:rPr>
          <w:rFonts w:hint="eastAsia" w:ascii="宋体" w:hAnsi="宋体" w:cs="宋体"/>
          <w:color w:val="auto"/>
          <w:spacing w:val="20"/>
          <w:szCs w:val="21"/>
          <w:highlight w:val="none"/>
        </w:rPr>
      </w:pPr>
      <w:r>
        <w:rPr>
          <w:rFonts w:hint="eastAsia" w:ascii="宋体" w:hAnsi="宋体" w:cs="宋体"/>
          <w:color w:val="auto"/>
          <w:spacing w:val="20"/>
          <w:szCs w:val="21"/>
          <w:highlight w:val="none"/>
        </w:rPr>
        <w:t>投标人名称（电子签章）：</w:t>
      </w:r>
      <w:r>
        <w:rPr>
          <w:rFonts w:hint="eastAsia" w:ascii="宋体" w:hAnsi="宋体" w:cs="宋体"/>
          <w:color w:val="auto"/>
          <w:spacing w:val="20"/>
          <w:szCs w:val="21"/>
          <w:highlight w:val="none"/>
          <w:u w:val="single"/>
        </w:rPr>
        <w:t xml:space="preserve">            </w:t>
      </w:r>
      <w:r>
        <w:rPr>
          <w:rFonts w:hint="eastAsia" w:ascii="宋体" w:hAnsi="宋体" w:cs="宋体"/>
          <w:color w:val="auto"/>
          <w:spacing w:val="20"/>
          <w:szCs w:val="21"/>
          <w:highlight w:val="none"/>
        </w:rPr>
        <w:t xml:space="preserve">              </w:t>
      </w:r>
    </w:p>
    <w:p w14:paraId="77BF2A96">
      <w:pPr>
        <w:keepNext w:val="0"/>
        <w:keepLines w:val="0"/>
        <w:pageBreakBefore w:val="0"/>
        <w:widowControl w:val="0"/>
        <w:kinsoku/>
        <w:wordWrap w:val="0"/>
        <w:overflowPunct/>
        <w:topLinePunct w:val="0"/>
        <w:autoSpaceDE/>
        <w:autoSpaceDN/>
        <w:bidi w:val="0"/>
        <w:adjustRightInd/>
        <w:spacing w:line="400" w:lineRule="exact"/>
        <w:contextualSpacing/>
        <w:jc w:val="left"/>
        <w:textAlignment w:val="auto"/>
        <w:rPr>
          <w:rFonts w:hint="eastAsia" w:ascii="宋体" w:hAnsi="宋体" w:cs="宋体"/>
          <w:color w:val="auto"/>
          <w:szCs w:val="21"/>
          <w:highlight w:val="none"/>
        </w:rPr>
      </w:pPr>
      <w:r>
        <w:rPr>
          <w:rFonts w:hint="eastAsia" w:ascii="宋体" w:hAnsi="宋体" w:cs="宋体"/>
          <w:color w:val="auto"/>
          <w:spacing w:val="20"/>
          <w:szCs w:val="21"/>
          <w:highlight w:val="none"/>
        </w:rPr>
        <w:t>日 期：</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月</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日</w:t>
      </w:r>
    </w:p>
    <w:p w14:paraId="532544F6">
      <w:pPr>
        <w:spacing w:line="360" w:lineRule="auto"/>
        <w:contextualSpacing/>
        <w:jc w:val="left"/>
        <w:rPr>
          <w:rFonts w:hint="eastAsia" w:ascii="宋体" w:hAnsi="宋体" w:cs="宋体"/>
          <w:color w:val="auto"/>
          <w:sz w:val="24"/>
          <w:szCs w:val="20"/>
          <w:highlight w:val="none"/>
        </w:rPr>
      </w:pPr>
    </w:p>
    <w:p w14:paraId="6B9D96DC">
      <w:pPr>
        <w:snapToGrid w:val="0"/>
        <w:spacing w:before="50" w:after="165" w:afterLines="50"/>
        <w:jc w:val="left"/>
        <w:rPr>
          <w:rFonts w:hint="eastAsia" w:ascii="宋体" w:hAnsi="宋体" w:cs="宋体"/>
          <w:color w:val="auto"/>
          <w:sz w:val="24"/>
          <w:szCs w:val="20"/>
          <w:highlight w:val="none"/>
        </w:rPr>
      </w:pPr>
    </w:p>
    <w:p w14:paraId="2C49BA73">
      <w:pPr>
        <w:snapToGrid w:val="0"/>
        <w:spacing w:before="165" w:beforeLines="50" w:after="50"/>
        <w:jc w:val="left"/>
        <w:rPr>
          <w:rFonts w:hint="eastAsia" w:ascii="宋体" w:hAnsi="宋体" w:cs="宋体"/>
          <w:color w:val="auto"/>
          <w:sz w:val="24"/>
          <w:szCs w:val="20"/>
          <w:highlight w:val="none"/>
        </w:rPr>
      </w:pPr>
    </w:p>
    <w:p w14:paraId="125124CB">
      <w:pPr>
        <w:snapToGrid w:val="0"/>
        <w:spacing w:before="50" w:after="165" w:afterLines="50"/>
        <w:jc w:val="left"/>
        <w:rPr>
          <w:rFonts w:hint="eastAsia" w:ascii="宋体" w:hAnsi="宋体" w:cs="宋体"/>
          <w:color w:val="auto"/>
          <w:sz w:val="24"/>
          <w:szCs w:val="20"/>
          <w:highlight w:val="none"/>
        </w:rPr>
      </w:pPr>
    </w:p>
    <w:p w14:paraId="747A339A">
      <w:pPr>
        <w:rPr>
          <w:rFonts w:hint="eastAsia" w:ascii="宋体" w:hAnsi="宋体" w:cs="宋体"/>
          <w:b/>
          <w:color w:val="auto"/>
          <w:sz w:val="28"/>
          <w:szCs w:val="28"/>
          <w:highlight w:val="none"/>
        </w:rPr>
      </w:pPr>
      <w:r>
        <w:rPr>
          <w:rFonts w:hint="eastAsia" w:ascii="宋体" w:hAnsi="宋体" w:cs="宋体"/>
          <w:b/>
          <w:bCs/>
          <w:color w:val="auto"/>
          <w:sz w:val="24"/>
          <w:highlight w:val="none"/>
        </w:rPr>
        <w:br w:type="page"/>
      </w:r>
      <w:bookmarkStart w:id="204" w:name="_Toc19686840"/>
      <w:r>
        <w:rPr>
          <w:rFonts w:hint="eastAsia" w:ascii="宋体" w:hAnsi="宋体" w:cs="宋体"/>
          <w:b/>
          <w:color w:val="auto"/>
          <w:sz w:val="28"/>
          <w:szCs w:val="28"/>
          <w:highlight w:val="none"/>
        </w:rPr>
        <w:t>四、其他文书、文件格式</w:t>
      </w:r>
      <w:bookmarkEnd w:id="204"/>
    </w:p>
    <w:p w14:paraId="4207C766">
      <w:pPr>
        <w:spacing w:line="360" w:lineRule="auto"/>
        <w:jc w:val="left"/>
        <w:rPr>
          <w:rFonts w:hint="eastAsia" w:ascii="宋体" w:hAnsi="宋体" w:cs="宋体"/>
          <w:b/>
          <w:bCs/>
          <w:color w:val="auto"/>
          <w:sz w:val="32"/>
          <w:szCs w:val="32"/>
          <w:highlight w:val="none"/>
        </w:rPr>
      </w:pPr>
      <w:r>
        <w:rPr>
          <w:rFonts w:hint="eastAsia" w:ascii="宋体" w:hAnsi="宋体" w:cs="宋体"/>
          <w:b/>
          <w:color w:val="auto"/>
          <w:sz w:val="24"/>
          <w:highlight w:val="none"/>
        </w:rPr>
        <w:t>1.质疑函（格式）</w:t>
      </w:r>
    </w:p>
    <w:p w14:paraId="0B4DF9E3">
      <w:pPr>
        <w:spacing w:line="360" w:lineRule="auto"/>
        <w:jc w:val="center"/>
        <w:rPr>
          <w:rFonts w:hint="eastAsia" w:ascii="宋体" w:hAnsi="宋体" w:cs="宋体"/>
          <w:b/>
          <w:color w:val="auto"/>
          <w:sz w:val="30"/>
          <w:szCs w:val="30"/>
          <w:highlight w:val="none"/>
        </w:rPr>
      </w:pPr>
      <w:r>
        <w:rPr>
          <w:rFonts w:hint="eastAsia" w:ascii="宋体" w:hAnsi="宋体" w:cs="宋体"/>
          <w:b/>
          <w:color w:val="auto"/>
          <w:sz w:val="30"/>
          <w:szCs w:val="30"/>
          <w:highlight w:val="none"/>
        </w:rPr>
        <w:t>质疑函（格式）</w:t>
      </w:r>
    </w:p>
    <w:p w14:paraId="4BA09869">
      <w:pPr>
        <w:pStyle w:val="20"/>
        <w:keepNext w:val="0"/>
        <w:keepLines w:val="0"/>
        <w:pageBreakBefore w:val="0"/>
        <w:widowControl w:val="0"/>
        <w:kinsoku/>
        <w:wordWrap/>
        <w:overflowPunct/>
        <w:topLinePunct w:val="0"/>
        <w:autoSpaceDE/>
        <w:autoSpaceDN/>
        <w:bidi w:val="0"/>
        <w:adjustRightInd/>
        <w:snapToGrid w:val="0"/>
        <w:spacing w:line="400" w:lineRule="exact"/>
        <w:ind w:firstLine="422" w:firstLineChars="200"/>
        <w:textAlignment w:val="auto"/>
        <w:rPr>
          <w:rFonts w:hint="eastAsia" w:hAnsi="宋体" w:cs="宋体"/>
          <w:b/>
          <w:bCs/>
          <w:color w:val="auto"/>
          <w:highlight w:val="none"/>
        </w:rPr>
      </w:pPr>
      <w:r>
        <w:rPr>
          <w:rFonts w:hint="eastAsia" w:hAnsi="宋体" w:cs="宋体"/>
          <w:b/>
          <w:bCs/>
          <w:color w:val="auto"/>
          <w:highlight w:val="none"/>
        </w:rPr>
        <w:t>一、质疑供应商基本信息：</w:t>
      </w:r>
    </w:p>
    <w:p w14:paraId="1DC6AA5F">
      <w:pPr>
        <w:pStyle w:val="20"/>
        <w:keepNext w:val="0"/>
        <w:keepLines w:val="0"/>
        <w:pageBreakBefore w:val="0"/>
        <w:widowControl w:val="0"/>
        <w:kinsoku/>
        <w:wordWrap/>
        <w:overflowPunct/>
        <w:topLinePunct w:val="0"/>
        <w:autoSpaceDE/>
        <w:autoSpaceDN/>
        <w:bidi w:val="0"/>
        <w:adjustRightInd/>
        <w:snapToGrid w:val="0"/>
        <w:spacing w:line="400" w:lineRule="exact"/>
        <w:ind w:firstLine="420" w:firstLineChars="200"/>
        <w:textAlignment w:val="auto"/>
        <w:rPr>
          <w:rFonts w:hint="eastAsia" w:hAnsi="宋体" w:cs="宋体"/>
          <w:bCs/>
          <w:color w:val="auto"/>
          <w:highlight w:val="none"/>
          <w:u w:val="single"/>
        </w:rPr>
      </w:pPr>
      <w:r>
        <w:rPr>
          <w:rFonts w:hint="eastAsia" w:hAnsi="宋体" w:cs="宋体"/>
          <w:bCs/>
          <w:color w:val="auto"/>
          <w:highlight w:val="none"/>
        </w:rPr>
        <w:t>质疑供应商：</w:t>
      </w:r>
      <w:r>
        <w:rPr>
          <w:rFonts w:hint="eastAsia" w:hAnsi="宋体" w:cs="宋体"/>
          <w:bCs/>
          <w:color w:val="auto"/>
          <w:highlight w:val="none"/>
          <w:u w:val="single"/>
        </w:rPr>
        <w:t xml:space="preserve">                                       </w:t>
      </w:r>
      <w:r>
        <w:rPr>
          <w:rFonts w:hint="eastAsia" w:hAnsi="宋体" w:cs="宋体"/>
          <w:bCs/>
          <w:color w:val="auto"/>
          <w:highlight w:val="none"/>
        </w:rPr>
        <w:t xml:space="preserve">                 </w:t>
      </w:r>
    </w:p>
    <w:p w14:paraId="25DFD27D">
      <w:pPr>
        <w:pStyle w:val="20"/>
        <w:keepNext w:val="0"/>
        <w:keepLines w:val="0"/>
        <w:pageBreakBefore w:val="0"/>
        <w:widowControl w:val="0"/>
        <w:kinsoku/>
        <w:wordWrap/>
        <w:overflowPunct/>
        <w:topLinePunct w:val="0"/>
        <w:autoSpaceDE/>
        <w:autoSpaceDN/>
        <w:bidi w:val="0"/>
        <w:adjustRightInd/>
        <w:snapToGrid w:val="0"/>
        <w:spacing w:line="400" w:lineRule="exact"/>
        <w:ind w:firstLine="420" w:firstLineChars="200"/>
        <w:textAlignment w:val="auto"/>
        <w:rPr>
          <w:rFonts w:hint="eastAsia" w:hAnsi="宋体" w:cs="宋体"/>
          <w:bCs/>
          <w:color w:val="auto"/>
          <w:highlight w:val="none"/>
        </w:rPr>
      </w:pPr>
      <w:r>
        <w:rPr>
          <w:rFonts w:hint="eastAsia" w:hAnsi="宋体" w:cs="宋体"/>
          <w:bCs/>
          <w:color w:val="auto"/>
          <w:highlight w:val="none"/>
        </w:rPr>
        <w:t>地址：</w:t>
      </w:r>
      <w:r>
        <w:rPr>
          <w:rFonts w:hint="eastAsia" w:hAnsi="宋体" w:cs="宋体"/>
          <w:bCs/>
          <w:color w:val="auto"/>
          <w:highlight w:val="none"/>
          <w:u w:val="single"/>
        </w:rPr>
        <w:t xml:space="preserve">                                          </w:t>
      </w:r>
      <w:r>
        <w:rPr>
          <w:rFonts w:hint="eastAsia" w:hAnsi="宋体" w:cs="宋体"/>
          <w:bCs/>
          <w:color w:val="auto"/>
          <w:highlight w:val="none"/>
        </w:rPr>
        <w:t>邮编：</w:t>
      </w:r>
      <w:r>
        <w:rPr>
          <w:rFonts w:hint="eastAsia" w:hAnsi="宋体" w:cs="宋体"/>
          <w:bCs/>
          <w:color w:val="auto"/>
          <w:highlight w:val="none"/>
          <w:u w:val="single"/>
        </w:rPr>
        <w:t xml:space="preserve">                  </w:t>
      </w:r>
      <w:r>
        <w:rPr>
          <w:rFonts w:hint="eastAsia" w:hAnsi="宋体" w:cs="宋体"/>
          <w:bCs/>
          <w:color w:val="auto"/>
          <w:highlight w:val="none"/>
        </w:rPr>
        <w:t xml:space="preserve"> </w:t>
      </w:r>
    </w:p>
    <w:p w14:paraId="4F98CE6D">
      <w:pPr>
        <w:pStyle w:val="20"/>
        <w:keepNext w:val="0"/>
        <w:keepLines w:val="0"/>
        <w:pageBreakBefore w:val="0"/>
        <w:widowControl w:val="0"/>
        <w:kinsoku/>
        <w:wordWrap/>
        <w:overflowPunct/>
        <w:topLinePunct w:val="0"/>
        <w:autoSpaceDE/>
        <w:autoSpaceDN/>
        <w:bidi w:val="0"/>
        <w:adjustRightInd/>
        <w:snapToGrid w:val="0"/>
        <w:spacing w:line="400" w:lineRule="exact"/>
        <w:ind w:firstLine="420" w:firstLineChars="200"/>
        <w:textAlignment w:val="auto"/>
        <w:rPr>
          <w:rFonts w:hint="eastAsia" w:hAnsi="宋体" w:cs="宋体"/>
          <w:bCs/>
          <w:color w:val="auto"/>
          <w:highlight w:val="none"/>
        </w:rPr>
      </w:pPr>
      <w:r>
        <w:rPr>
          <w:rFonts w:hint="eastAsia" w:hAnsi="宋体" w:cs="宋体"/>
          <w:bCs/>
          <w:color w:val="auto"/>
          <w:highlight w:val="none"/>
        </w:rPr>
        <w:t>联系人：</w:t>
      </w:r>
      <w:r>
        <w:rPr>
          <w:rFonts w:hint="eastAsia" w:hAnsi="宋体" w:cs="宋体"/>
          <w:bCs/>
          <w:color w:val="auto"/>
          <w:highlight w:val="none"/>
          <w:u w:val="single"/>
        </w:rPr>
        <w:t xml:space="preserve">                     </w:t>
      </w:r>
      <w:r>
        <w:rPr>
          <w:rFonts w:hint="eastAsia" w:hAnsi="宋体" w:cs="宋体"/>
          <w:bCs/>
          <w:color w:val="auto"/>
          <w:highlight w:val="none"/>
        </w:rPr>
        <w:t>联系电话：</w:t>
      </w:r>
      <w:r>
        <w:rPr>
          <w:rFonts w:hint="eastAsia" w:hAnsi="宋体" w:cs="宋体"/>
          <w:bCs/>
          <w:color w:val="auto"/>
          <w:highlight w:val="none"/>
          <w:u w:val="single"/>
        </w:rPr>
        <w:t xml:space="preserve">                 </w:t>
      </w:r>
    </w:p>
    <w:p w14:paraId="5BB7552A">
      <w:pPr>
        <w:pStyle w:val="20"/>
        <w:keepNext w:val="0"/>
        <w:keepLines w:val="0"/>
        <w:pageBreakBefore w:val="0"/>
        <w:widowControl w:val="0"/>
        <w:kinsoku/>
        <w:wordWrap/>
        <w:overflowPunct/>
        <w:topLinePunct w:val="0"/>
        <w:autoSpaceDE/>
        <w:autoSpaceDN/>
        <w:bidi w:val="0"/>
        <w:adjustRightInd/>
        <w:snapToGrid w:val="0"/>
        <w:spacing w:line="400" w:lineRule="exact"/>
        <w:ind w:firstLine="420" w:firstLineChars="200"/>
        <w:textAlignment w:val="auto"/>
        <w:rPr>
          <w:rFonts w:hint="eastAsia" w:hAnsi="宋体" w:cs="宋体"/>
          <w:bCs/>
          <w:color w:val="auto"/>
          <w:highlight w:val="none"/>
        </w:rPr>
      </w:pPr>
      <w:r>
        <w:rPr>
          <w:rFonts w:hint="eastAsia" w:hAnsi="宋体" w:cs="宋体"/>
          <w:bCs/>
          <w:color w:val="auto"/>
          <w:highlight w:val="none"/>
        </w:rPr>
        <w:t>授权代表：</w:t>
      </w:r>
      <w:r>
        <w:rPr>
          <w:rFonts w:hint="eastAsia" w:hAnsi="宋体" w:cs="宋体"/>
          <w:bCs/>
          <w:color w:val="auto"/>
          <w:highlight w:val="none"/>
          <w:u w:val="single"/>
        </w:rPr>
        <w:t xml:space="preserve">                      </w:t>
      </w:r>
    </w:p>
    <w:p w14:paraId="6D97DB55">
      <w:pPr>
        <w:pStyle w:val="20"/>
        <w:keepNext w:val="0"/>
        <w:keepLines w:val="0"/>
        <w:pageBreakBefore w:val="0"/>
        <w:widowControl w:val="0"/>
        <w:kinsoku/>
        <w:wordWrap/>
        <w:overflowPunct/>
        <w:topLinePunct w:val="0"/>
        <w:autoSpaceDE/>
        <w:autoSpaceDN/>
        <w:bidi w:val="0"/>
        <w:adjustRightInd/>
        <w:snapToGrid w:val="0"/>
        <w:spacing w:line="400" w:lineRule="exact"/>
        <w:ind w:firstLine="420" w:firstLineChars="200"/>
        <w:textAlignment w:val="auto"/>
        <w:rPr>
          <w:rFonts w:hint="eastAsia" w:hAnsi="宋体" w:cs="宋体"/>
          <w:bCs/>
          <w:color w:val="auto"/>
          <w:highlight w:val="none"/>
          <w:u w:val="single"/>
        </w:rPr>
      </w:pPr>
      <w:r>
        <w:rPr>
          <w:rFonts w:hint="eastAsia" w:hAnsi="宋体" w:cs="宋体"/>
          <w:bCs/>
          <w:color w:val="auto"/>
          <w:highlight w:val="none"/>
        </w:rPr>
        <w:t>联系电话：</w:t>
      </w:r>
      <w:r>
        <w:rPr>
          <w:rFonts w:hint="eastAsia" w:hAnsi="宋体" w:cs="宋体"/>
          <w:bCs/>
          <w:color w:val="auto"/>
          <w:highlight w:val="none"/>
          <w:u w:val="single"/>
        </w:rPr>
        <w:t xml:space="preserve">                      </w:t>
      </w:r>
    </w:p>
    <w:p w14:paraId="6428C268">
      <w:pPr>
        <w:pStyle w:val="20"/>
        <w:keepNext w:val="0"/>
        <w:keepLines w:val="0"/>
        <w:pageBreakBefore w:val="0"/>
        <w:widowControl w:val="0"/>
        <w:kinsoku/>
        <w:wordWrap/>
        <w:overflowPunct/>
        <w:topLinePunct w:val="0"/>
        <w:autoSpaceDE/>
        <w:autoSpaceDN/>
        <w:bidi w:val="0"/>
        <w:adjustRightInd/>
        <w:snapToGrid w:val="0"/>
        <w:spacing w:line="400" w:lineRule="exact"/>
        <w:ind w:firstLine="420" w:firstLineChars="200"/>
        <w:textAlignment w:val="auto"/>
        <w:rPr>
          <w:rFonts w:hint="eastAsia" w:hAnsi="宋体" w:cs="宋体"/>
          <w:bCs/>
          <w:color w:val="auto"/>
          <w:highlight w:val="none"/>
        </w:rPr>
      </w:pPr>
      <w:r>
        <w:rPr>
          <w:rFonts w:hint="eastAsia" w:hAnsi="宋体" w:cs="宋体"/>
          <w:bCs/>
          <w:color w:val="auto"/>
          <w:highlight w:val="none"/>
        </w:rPr>
        <w:t>地址：</w:t>
      </w:r>
      <w:r>
        <w:rPr>
          <w:rFonts w:hint="eastAsia" w:hAnsi="宋体" w:cs="宋体"/>
          <w:bCs/>
          <w:color w:val="auto"/>
          <w:highlight w:val="none"/>
          <w:u w:val="single"/>
        </w:rPr>
        <w:t xml:space="preserve">                 </w:t>
      </w:r>
      <w:r>
        <w:rPr>
          <w:rFonts w:hint="eastAsia" w:hAnsi="宋体" w:cs="宋体"/>
          <w:bCs/>
          <w:color w:val="auto"/>
          <w:highlight w:val="none"/>
        </w:rPr>
        <w:t>邮编：</w:t>
      </w:r>
      <w:r>
        <w:rPr>
          <w:rFonts w:hint="eastAsia" w:hAnsi="宋体" w:cs="宋体"/>
          <w:bCs/>
          <w:color w:val="auto"/>
          <w:highlight w:val="none"/>
          <w:u w:val="single"/>
        </w:rPr>
        <w:t xml:space="preserve">                  </w:t>
      </w:r>
      <w:r>
        <w:rPr>
          <w:rFonts w:hint="eastAsia" w:hAnsi="宋体" w:cs="宋体"/>
          <w:bCs/>
          <w:color w:val="auto"/>
          <w:highlight w:val="none"/>
        </w:rPr>
        <w:t xml:space="preserve">     </w:t>
      </w:r>
    </w:p>
    <w:p w14:paraId="3FC27B27">
      <w:pPr>
        <w:pStyle w:val="20"/>
        <w:keepNext w:val="0"/>
        <w:keepLines w:val="0"/>
        <w:pageBreakBefore w:val="0"/>
        <w:widowControl w:val="0"/>
        <w:kinsoku/>
        <w:wordWrap/>
        <w:overflowPunct/>
        <w:topLinePunct w:val="0"/>
        <w:autoSpaceDE/>
        <w:autoSpaceDN/>
        <w:bidi w:val="0"/>
        <w:adjustRightInd/>
        <w:snapToGrid w:val="0"/>
        <w:spacing w:line="400" w:lineRule="exact"/>
        <w:ind w:firstLine="422" w:firstLineChars="200"/>
        <w:textAlignment w:val="auto"/>
        <w:rPr>
          <w:rFonts w:hint="eastAsia" w:hAnsi="宋体" w:cs="宋体"/>
          <w:b/>
          <w:bCs/>
          <w:color w:val="auto"/>
          <w:highlight w:val="none"/>
        </w:rPr>
      </w:pPr>
      <w:r>
        <w:rPr>
          <w:rFonts w:hint="eastAsia" w:hAnsi="宋体" w:cs="宋体"/>
          <w:b/>
          <w:bCs/>
          <w:color w:val="auto"/>
          <w:highlight w:val="none"/>
        </w:rPr>
        <w:t>二、质疑项目基本情况：</w:t>
      </w:r>
    </w:p>
    <w:p w14:paraId="72587282">
      <w:pPr>
        <w:pStyle w:val="20"/>
        <w:keepNext w:val="0"/>
        <w:keepLines w:val="0"/>
        <w:pageBreakBefore w:val="0"/>
        <w:widowControl w:val="0"/>
        <w:kinsoku/>
        <w:wordWrap/>
        <w:overflowPunct/>
        <w:topLinePunct w:val="0"/>
        <w:autoSpaceDE/>
        <w:autoSpaceDN/>
        <w:bidi w:val="0"/>
        <w:adjustRightInd/>
        <w:spacing w:line="400" w:lineRule="exact"/>
        <w:ind w:left="25" w:leftChars="12" w:firstLine="413" w:firstLineChars="197"/>
        <w:textAlignment w:val="auto"/>
        <w:rPr>
          <w:rFonts w:hint="eastAsia" w:hAnsi="宋体" w:cs="宋体"/>
          <w:color w:val="auto"/>
          <w:highlight w:val="none"/>
        </w:rPr>
      </w:pPr>
      <w:r>
        <w:rPr>
          <w:rFonts w:hint="eastAsia" w:hAnsi="宋体" w:cs="宋体"/>
          <w:bCs/>
          <w:color w:val="auto"/>
          <w:highlight w:val="none"/>
        </w:rPr>
        <w:t>质疑</w:t>
      </w:r>
      <w:r>
        <w:rPr>
          <w:rFonts w:hint="eastAsia" w:hAnsi="宋体" w:cs="宋体"/>
          <w:color w:val="auto"/>
          <w:highlight w:val="none"/>
        </w:rPr>
        <w:t>项目的名称：</w:t>
      </w:r>
      <w:r>
        <w:rPr>
          <w:rFonts w:hint="eastAsia" w:hAnsi="宋体" w:cs="宋体"/>
          <w:bCs/>
          <w:color w:val="auto"/>
          <w:highlight w:val="none"/>
          <w:u w:val="single"/>
        </w:rPr>
        <w:t xml:space="preserve">                                     </w:t>
      </w:r>
    </w:p>
    <w:p w14:paraId="6D5135A0">
      <w:pPr>
        <w:pStyle w:val="20"/>
        <w:keepNext w:val="0"/>
        <w:keepLines w:val="0"/>
        <w:pageBreakBefore w:val="0"/>
        <w:widowControl w:val="0"/>
        <w:kinsoku/>
        <w:wordWrap/>
        <w:overflowPunct/>
        <w:topLinePunct w:val="0"/>
        <w:autoSpaceDE/>
        <w:autoSpaceDN/>
        <w:bidi w:val="0"/>
        <w:adjustRightInd/>
        <w:spacing w:line="400" w:lineRule="exact"/>
        <w:ind w:left="25" w:leftChars="12" w:firstLine="413" w:firstLineChars="197"/>
        <w:textAlignment w:val="auto"/>
        <w:rPr>
          <w:rFonts w:hint="eastAsia" w:hAnsi="宋体" w:cs="宋体"/>
          <w:color w:val="auto"/>
          <w:highlight w:val="none"/>
        </w:rPr>
      </w:pPr>
      <w:r>
        <w:rPr>
          <w:rFonts w:hint="eastAsia" w:hAnsi="宋体" w:cs="宋体"/>
          <w:bCs/>
          <w:color w:val="auto"/>
          <w:highlight w:val="none"/>
        </w:rPr>
        <w:t>质疑</w:t>
      </w:r>
      <w:r>
        <w:rPr>
          <w:rFonts w:hint="eastAsia" w:hAnsi="宋体" w:cs="宋体"/>
          <w:color w:val="auto"/>
          <w:highlight w:val="none"/>
        </w:rPr>
        <w:t>项目的编号：</w:t>
      </w:r>
      <w:r>
        <w:rPr>
          <w:rFonts w:hint="eastAsia" w:hAnsi="宋体" w:cs="宋体"/>
          <w:bCs/>
          <w:color w:val="auto"/>
          <w:highlight w:val="none"/>
          <w:u w:val="single"/>
        </w:rPr>
        <w:t xml:space="preserve">                                     </w:t>
      </w:r>
    </w:p>
    <w:p w14:paraId="0F1EE06D">
      <w:pPr>
        <w:pStyle w:val="20"/>
        <w:keepNext w:val="0"/>
        <w:keepLines w:val="0"/>
        <w:pageBreakBefore w:val="0"/>
        <w:widowControl w:val="0"/>
        <w:kinsoku/>
        <w:wordWrap/>
        <w:overflowPunct/>
        <w:topLinePunct w:val="0"/>
        <w:autoSpaceDE/>
        <w:autoSpaceDN/>
        <w:bidi w:val="0"/>
        <w:adjustRightInd/>
        <w:spacing w:line="400" w:lineRule="exact"/>
        <w:ind w:left="25" w:leftChars="12" w:firstLine="413" w:firstLineChars="197"/>
        <w:textAlignment w:val="auto"/>
        <w:rPr>
          <w:rFonts w:hint="eastAsia" w:hAnsi="宋体" w:cs="宋体"/>
          <w:color w:val="auto"/>
          <w:highlight w:val="none"/>
        </w:rPr>
      </w:pPr>
      <w:r>
        <w:rPr>
          <w:rFonts w:hint="eastAsia" w:hAnsi="宋体" w:cs="宋体"/>
          <w:color w:val="auto"/>
          <w:highlight w:val="none"/>
        </w:rPr>
        <w:t>采购人名称：</w:t>
      </w:r>
      <w:r>
        <w:rPr>
          <w:rFonts w:hint="eastAsia" w:hAnsi="宋体" w:cs="宋体"/>
          <w:bCs/>
          <w:color w:val="auto"/>
          <w:highlight w:val="none"/>
          <w:u w:val="single"/>
        </w:rPr>
        <w:t xml:space="preserve">                                         </w:t>
      </w:r>
    </w:p>
    <w:p w14:paraId="103F9CE9">
      <w:pPr>
        <w:pStyle w:val="20"/>
        <w:keepNext w:val="0"/>
        <w:keepLines w:val="0"/>
        <w:pageBreakBefore w:val="0"/>
        <w:widowControl w:val="0"/>
        <w:kinsoku/>
        <w:wordWrap/>
        <w:overflowPunct/>
        <w:topLinePunct w:val="0"/>
        <w:autoSpaceDE/>
        <w:autoSpaceDN/>
        <w:bidi w:val="0"/>
        <w:adjustRightInd/>
        <w:spacing w:line="400" w:lineRule="exact"/>
        <w:ind w:left="25" w:leftChars="12" w:firstLine="413" w:firstLineChars="197"/>
        <w:textAlignment w:val="auto"/>
        <w:rPr>
          <w:rFonts w:hint="eastAsia" w:hAnsi="宋体" w:cs="宋体"/>
          <w:color w:val="auto"/>
          <w:highlight w:val="none"/>
        </w:rPr>
      </w:pPr>
      <w:r>
        <w:rPr>
          <w:rFonts w:hint="eastAsia" w:hAnsi="宋体" w:cs="宋体"/>
          <w:color w:val="auto"/>
          <w:highlight w:val="none"/>
        </w:rPr>
        <w:t>质疑事项：</w:t>
      </w:r>
    </w:p>
    <w:p w14:paraId="72BF04C7">
      <w:pPr>
        <w:pStyle w:val="20"/>
        <w:keepNext w:val="0"/>
        <w:keepLines w:val="0"/>
        <w:pageBreakBefore w:val="0"/>
        <w:widowControl w:val="0"/>
        <w:kinsoku/>
        <w:wordWrap/>
        <w:overflowPunct/>
        <w:topLinePunct w:val="0"/>
        <w:autoSpaceDE/>
        <w:autoSpaceDN/>
        <w:bidi w:val="0"/>
        <w:adjustRightInd/>
        <w:spacing w:line="400" w:lineRule="exact"/>
        <w:ind w:left="25" w:leftChars="12" w:firstLine="308" w:firstLineChars="147"/>
        <w:textAlignment w:val="auto"/>
        <w:rPr>
          <w:rFonts w:hint="eastAsia" w:hAnsi="宋体" w:cs="宋体"/>
          <w:color w:val="auto"/>
          <w:highlight w:val="none"/>
        </w:rPr>
      </w:pPr>
      <w:r>
        <w:rPr>
          <w:rFonts w:hint="eastAsia" w:hAnsi="宋体" w:cs="宋体"/>
          <w:color w:val="auto"/>
          <w:highlight w:val="none"/>
        </w:rPr>
        <w:t>□招标文件   招标文件获取日期：</w:t>
      </w:r>
      <w:r>
        <w:rPr>
          <w:rFonts w:hint="eastAsia" w:hAnsi="宋体" w:cs="宋体"/>
          <w:bCs/>
          <w:color w:val="auto"/>
          <w:highlight w:val="none"/>
          <w:u w:val="single"/>
        </w:rPr>
        <w:t xml:space="preserve">                                   </w:t>
      </w:r>
    </w:p>
    <w:p w14:paraId="29C6EAFF">
      <w:pPr>
        <w:pStyle w:val="20"/>
        <w:keepNext w:val="0"/>
        <w:keepLines w:val="0"/>
        <w:pageBreakBefore w:val="0"/>
        <w:widowControl w:val="0"/>
        <w:kinsoku/>
        <w:wordWrap/>
        <w:overflowPunct/>
        <w:topLinePunct w:val="0"/>
        <w:autoSpaceDE/>
        <w:autoSpaceDN/>
        <w:bidi w:val="0"/>
        <w:adjustRightInd/>
        <w:spacing w:line="400" w:lineRule="exact"/>
        <w:ind w:left="25" w:leftChars="12" w:firstLine="308" w:firstLineChars="147"/>
        <w:textAlignment w:val="auto"/>
        <w:rPr>
          <w:rFonts w:hint="eastAsia" w:hAnsi="宋体" w:cs="宋体"/>
          <w:color w:val="auto"/>
          <w:highlight w:val="none"/>
        </w:rPr>
      </w:pPr>
      <w:r>
        <w:rPr>
          <w:rFonts w:hint="eastAsia" w:hAnsi="宋体" w:cs="宋体"/>
          <w:color w:val="auto"/>
          <w:highlight w:val="none"/>
        </w:rPr>
        <w:t xml:space="preserve">□招标过程   </w:t>
      </w:r>
    </w:p>
    <w:p w14:paraId="4E3C8128">
      <w:pPr>
        <w:pStyle w:val="20"/>
        <w:keepNext w:val="0"/>
        <w:keepLines w:val="0"/>
        <w:pageBreakBefore w:val="0"/>
        <w:widowControl w:val="0"/>
        <w:kinsoku/>
        <w:wordWrap/>
        <w:overflowPunct/>
        <w:topLinePunct w:val="0"/>
        <w:autoSpaceDE/>
        <w:autoSpaceDN/>
        <w:bidi w:val="0"/>
        <w:adjustRightInd/>
        <w:spacing w:line="400" w:lineRule="exact"/>
        <w:ind w:left="25" w:leftChars="12" w:firstLine="308" w:firstLineChars="147"/>
        <w:textAlignment w:val="auto"/>
        <w:rPr>
          <w:rFonts w:hint="eastAsia" w:hAnsi="宋体" w:cs="宋体"/>
          <w:bCs/>
          <w:color w:val="auto"/>
          <w:highlight w:val="none"/>
          <w:u w:val="single"/>
        </w:rPr>
      </w:pPr>
      <w:r>
        <w:rPr>
          <w:rFonts w:hint="eastAsia" w:hAnsi="宋体" w:cs="宋体"/>
          <w:color w:val="auto"/>
          <w:highlight w:val="none"/>
        </w:rPr>
        <w:t xml:space="preserve">□招标结果   </w:t>
      </w:r>
    </w:p>
    <w:p w14:paraId="1E08B4E1">
      <w:pPr>
        <w:pStyle w:val="20"/>
        <w:keepNext w:val="0"/>
        <w:keepLines w:val="0"/>
        <w:pageBreakBefore w:val="0"/>
        <w:widowControl w:val="0"/>
        <w:kinsoku/>
        <w:wordWrap/>
        <w:overflowPunct/>
        <w:topLinePunct w:val="0"/>
        <w:autoSpaceDE/>
        <w:autoSpaceDN/>
        <w:bidi w:val="0"/>
        <w:adjustRightInd/>
        <w:spacing w:line="400" w:lineRule="exact"/>
        <w:ind w:left="25" w:leftChars="12" w:firstLine="413" w:firstLineChars="196"/>
        <w:textAlignment w:val="auto"/>
        <w:rPr>
          <w:rFonts w:hint="eastAsia" w:hAnsi="宋体" w:cs="宋体"/>
          <w:b/>
          <w:color w:val="auto"/>
          <w:highlight w:val="none"/>
        </w:rPr>
      </w:pPr>
      <w:r>
        <w:rPr>
          <w:rFonts w:hint="eastAsia" w:hAnsi="宋体" w:cs="宋体"/>
          <w:b/>
          <w:color w:val="auto"/>
          <w:highlight w:val="none"/>
        </w:rPr>
        <w:t>三、质疑事项具体内容</w:t>
      </w:r>
    </w:p>
    <w:p w14:paraId="6D6D0D52">
      <w:pPr>
        <w:pStyle w:val="20"/>
        <w:keepNext w:val="0"/>
        <w:keepLines w:val="0"/>
        <w:pageBreakBefore w:val="0"/>
        <w:widowControl w:val="0"/>
        <w:kinsoku/>
        <w:wordWrap/>
        <w:overflowPunct/>
        <w:topLinePunct w:val="0"/>
        <w:autoSpaceDE/>
        <w:autoSpaceDN/>
        <w:bidi w:val="0"/>
        <w:adjustRightInd/>
        <w:spacing w:line="400" w:lineRule="exact"/>
        <w:ind w:left="25" w:leftChars="12" w:firstLine="413" w:firstLineChars="197"/>
        <w:textAlignment w:val="auto"/>
        <w:rPr>
          <w:rFonts w:hint="eastAsia" w:hAnsi="宋体" w:cs="宋体"/>
          <w:color w:val="auto"/>
          <w:highlight w:val="none"/>
        </w:rPr>
      </w:pPr>
      <w:r>
        <w:rPr>
          <w:rFonts w:hint="eastAsia" w:hAnsi="宋体" w:cs="宋体"/>
          <w:color w:val="auto"/>
          <w:highlight w:val="none"/>
        </w:rPr>
        <w:t>质疑事项1：</w:t>
      </w:r>
      <w:r>
        <w:rPr>
          <w:rFonts w:hint="eastAsia" w:hAnsi="宋体" w:cs="宋体"/>
          <w:bCs/>
          <w:color w:val="auto"/>
          <w:highlight w:val="none"/>
          <w:u w:val="single"/>
        </w:rPr>
        <w:t xml:space="preserve">                                                                    </w:t>
      </w:r>
    </w:p>
    <w:p w14:paraId="7F07CC9B">
      <w:pPr>
        <w:pStyle w:val="20"/>
        <w:keepNext w:val="0"/>
        <w:keepLines w:val="0"/>
        <w:pageBreakBefore w:val="0"/>
        <w:widowControl w:val="0"/>
        <w:kinsoku/>
        <w:wordWrap/>
        <w:overflowPunct/>
        <w:topLinePunct w:val="0"/>
        <w:autoSpaceDE/>
        <w:autoSpaceDN/>
        <w:bidi w:val="0"/>
        <w:adjustRightInd/>
        <w:spacing w:line="400" w:lineRule="exact"/>
        <w:ind w:left="25" w:leftChars="12" w:firstLine="413" w:firstLineChars="197"/>
        <w:textAlignment w:val="auto"/>
        <w:rPr>
          <w:rFonts w:hint="eastAsia" w:hAnsi="宋体" w:cs="宋体"/>
          <w:color w:val="auto"/>
          <w:highlight w:val="none"/>
        </w:rPr>
      </w:pPr>
      <w:r>
        <w:rPr>
          <w:rFonts w:hint="eastAsia" w:hAnsi="宋体" w:cs="宋体"/>
          <w:color w:val="auto"/>
          <w:highlight w:val="none"/>
        </w:rPr>
        <w:t>事实依据：</w:t>
      </w:r>
      <w:r>
        <w:rPr>
          <w:rFonts w:hint="eastAsia" w:hAnsi="宋体" w:cs="宋体"/>
          <w:bCs/>
          <w:color w:val="auto"/>
          <w:highlight w:val="none"/>
          <w:u w:val="single"/>
        </w:rPr>
        <w:t xml:space="preserve">                                                                      </w:t>
      </w:r>
    </w:p>
    <w:p w14:paraId="79FBDEDA">
      <w:pPr>
        <w:pStyle w:val="20"/>
        <w:keepNext w:val="0"/>
        <w:keepLines w:val="0"/>
        <w:pageBreakBefore w:val="0"/>
        <w:widowControl w:val="0"/>
        <w:kinsoku/>
        <w:wordWrap/>
        <w:overflowPunct/>
        <w:topLinePunct w:val="0"/>
        <w:autoSpaceDE/>
        <w:autoSpaceDN/>
        <w:bidi w:val="0"/>
        <w:adjustRightInd/>
        <w:spacing w:line="400" w:lineRule="exact"/>
        <w:ind w:left="25" w:leftChars="12" w:firstLine="413" w:firstLineChars="197"/>
        <w:textAlignment w:val="auto"/>
        <w:rPr>
          <w:rFonts w:hint="eastAsia" w:hAnsi="宋体" w:cs="宋体"/>
          <w:color w:val="auto"/>
          <w:highlight w:val="none"/>
        </w:rPr>
      </w:pPr>
      <w:r>
        <w:rPr>
          <w:rFonts w:hint="eastAsia" w:hAnsi="宋体" w:cs="宋体"/>
          <w:color w:val="auto"/>
          <w:highlight w:val="none"/>
        </w:rPr>
        <w:t>法律依据：</w:t>
      </w:r>
      <w:r>
        <w:rPr>
          <w:rFonts w:hint="eastAsia" w:hAnsi="宋体" w:cs="宋体"/>
          <w:color w:val="auto"/>
          <w:highlight w:val="none"/>
          <w:u w:val="single"/>
        </w:rPr>
        <w:t xml:space="preserve">                                                        </w:t>
      </w:r>
      <w:r>
        <w:rPr>
          <w:rFonts w:hint="eastAsia" w:hAnsi="宋体" w:cs="宋体"/>
          <w:bCs/>
          <w:color w:val="auto"/>
          <w:highlight w:val="none"/>
          <w:u w:val="single"/>
        </w:rPr>
        <w:t xml:space="preserve">               </w:t>
      </w:r>
    </w:p>
    <w:p w14:paraId="419FCBA8">
      <w:pPr>
        <w:pStyle w:val="20"/>
        <w:keepNext w:val="0"/>
        <w:keepLines w:val="0"/>
        <w:pageBreakBefore w:val="0"/>
        <w:widowControl w:val="0"/>
        <w:kinsoku/>
        <w:wordWrap/>
        <w:overflowPunct/>
        <w:topLinePunct w:val="0"/>
        <w:autoSpaceDE/>
        <w:autoSpaceDN/>
        <w:bidi w:val="0"/>
        <w:adjustRightInd/>
        <w:spacing w:line="400" w:lineRule="exact"/>
        <w:ind w:left="25" w:leftChars="12" w:firstLine="413" w:firstLineChars="197"/>
        <w:textAlignment w:val="auto"/>
        <w:rPr>
          <w:rFonts w:hint="eastAsia" w:hAnsi="宋体" w:cs="宋体"/>
          <w:color w:val="auto"/>
          <w:highlight w:val="none"/>
        </w:rPr>
      </w:pPr>
      <w:r>
        <w:rPr>
          <w:rFonts w:hint="eastAsia" w:hAnsi="宋体" w:cs="宋体"/>
          <w:color w:val="auto"/>
          <w:highlight w:val="none"/>
        </w:rPr>
        <w:t>质疑事项2</w:t>
      </w:r>
    </w:p>
    <w:p w14:paraId="6C02E5C0">
      <w:pPr>
        <w:pStyle w:val="20"/>
        <w:keepNext w:val="0"/>
        <w:keepLines w:val="0"/>
        <w:pageBreakBefore w:val="0"/>
        <w:widowControl w:val="0"/>
        <w:kinsoku/>
        <w:wordWrap/>
        <w:overflowPunct/>
        <w:topLinePunct w:val="0"/>
        <w:autoSpaceDE/>
        <w:autoSpaceDN/>
        <w:bidi w:val="0"/>
        <w:adjustRightInd/>
        <w:spacing w:line="400" w:lineRule="exact"/>
        <w:ind w:left="25" w:leftChars="12" w:firstLine="413" w:firstLineChars="197"/>
        <w:textAlignment w:val="auto"/>
        <w:rPr>
          <w:rFonts w:hint="eastAsia" w:hAnsi="宋体" w:cs="宋体"/>
          <w:color w:val="auto"/>
          <w:highlight w:val="none"/>
        </w:rPr>
      </w:pPr>
      <w:r>
        <w:rPr>
          <w:rFonts w:hint="eastAsia" w:hAnsi="宋体" w:cs="宋体"/>
          <w:color w:val="auto"/>
          <w:highlight w:val="none"/>
        </w:rPr>
        <w:t>……</w:t>
      </w:r>
    </w:p>
    <w:p w14:paraId="30C02C5D">
      <w:pPr>
        <w:pStyle w:val="20"/>
        <w:keepNext w:val="0"/>
        <w:keepLines w:val="0"/>
        <w:pageBreakBefore w:val="0"/>
        <w:widowControl w:val="0"/>
        <w:kinsoku/>
        <w:wordWrap/>
        <w:overflowPunct/>
        <w:topLinePunct w:val="0"/>
        <w:autoSpaceDE/>
        <w:autoSpaceDN/>
        <w:bidi w:val="0"/>
        <w:adjustRightInd/>
        <w:spacing w:line="400" w:lineRule="exact"/>
        <w:ind w:left="25" w:leftChars="12" w:firstLine="413" w:firstLineChars="197"/>
        <w:textAlignment w:val="auto"/>
        <w:rPr>
          <w:rFonts w:hint="eastAsia" w:hAnsi="宋体" w:cs="宋体"/>
          <w:color w:val="auto"/>
          <w:highlight w:val="none"/>
        </w:rPr>
      </w:pPr>
      <w:r>
        <w:rPr>
          <w:rFonts w:hint="eastAsia" w:hAnsi="宋体" w:cs="宋体"/>
          <w:color w:val="auto"/>
          <w:highlight w:val="none"/>
        </w:rPr>
        <w:t>四、与质疑事项相关的质疑请求：</w:t>
      </w:r>
    </w:p>
    <w:p w14:paraId="427AC90E">
      <w:pPr>
        <w:pStyle w:val="20"/>
        <w:keepNext w:val="0"/>
        <w:keepLines w:val="0"/>
        <w:pageBreakBefore w:val="0"/>
        <w:widowControl w:val="0"/>
        <w:kinsoku/>
        <w:wordWrap/>
        <w:overflowPunct/>
        <w:topLinePunct w:val="0"/>
        <w:autoSpaceDE/>
        <w:autoSpaceDN/>
        <w:bidi w:val="0"/>
        <w:adjustRightInd/>
        <w:spacing w:line="400" w:lineRule="exact"/>
        <w:ind w:left="25" w:leftChars="12" w:firstLine="413" w:firstLineChars="197"/>
        <w:textAlignment w:val="auto"/>
        <w:rPr>
          <w:rFonts w:hint="eastAsia" w:hAnsi="宋体" w:cs="宋体"/>
          <w:color w:val="auto"/>
          <w:highlight w:val="none"/>
        </w:rPr>
      </w:pPr>
      <w:r>
        <w:rPr>
          <w:rFonts w:hint="eastAsia" w:hAnsi="宋体" w:cs="宋体"/>
          <w:color w:val="auto"/>
          <w:highlight w:val="none"/>
        </w:rPr>
        <w:t>请求：</w:t>
      </w:r>
      <w:r>
        <w:rPr>
          <w:rFonts w:hint="eastAsia" w:hAnsi="宋体" w:cs="宋体"/>
          <w:bCs/>
          <w:color w:val="auto"/>
          <w:highlight w:val="none"/>
          <w:u w:val="single"/>
        </w:rPr>
        <w:t xml:space="preserve">                                                                </w:t>
      </w:r>
    </w:p>
    <w:p w14:paraId="2C3017FB">
      <w:pPr>
        <w:pStyle w:val="20"/>
        <w:keepNext w:val="0"/>
        <w:keepLines w:val="0"/>
        <w:pageBreakBefore w:val="0"/>
        <w:widowControl w:val="0"/>
        <w:kinsoku/>
        <w:wordWrap/>
        <w:overflowPunct/>
        <w:topLinePunct w:val="0"/>
        <w:autoSpaceDE/>
        <w:autoSpaceDN/>
        <w:bidi w:val="0"/>
        <w:adjustRightInd/>
        <w:spacing w:line="400" w:lineRule="exact"/>
        <w:ind w:left="25" w:leftChars="12" w:firstLine="308" w:firstLineChars="147"/>
        <w:textAlignment w:val="auto"/>
        <w:rPr>
          <w:rFonts w:hint="eastAsia" w:hAnsi="宋体" w:cs="宋体"/>
          <w:color w:val="auto"/>
          <w:highlight w:val="none"/>
        </w:rPr>
      </w:pPr>
    </w:p>
    <w:p w14:paraId="67C47256">
      <w:pPr>
        <w:pStyle w:val="20"/>
        <w:keepNext w:val="0"/>
        <w:keepLines w:val="0"/>
        <w:pageBreakBefore w:val="0"/>
        <w:widowControl w:val="0"/>
        <w:kinsoku/>
        <w:wordWrap/>
        <w:overflowPunct/>
        <w:topLinePunct w:val="0"/>
        <w:autoSpaceDE/>
        <w:autoSpaceDN/>
        <w:bidi w:val="0"/>
        <w:adjustRightInd/>
        <w:spacing w:line="400" w:lineRule="exact"/>
        <w:ind w:left="25" w:leftChars="12" w:firstLine="413" w:firstLineChars="197"/>
        <w:textAlignment w:val="auto"/>
        <w:rPr>
          <w:rFonts w:hint="eastAsia" w:hAnsi="宋体" w:cs="宋体"/>
          <w:color w:val="auto"/>
          <w:highlight w:val="none"/>
        </w:rPr>
      </w:pPr>
      <w:r>
        <w:rPr>
          <w:rFonts w:hint="eastAsia" w:hAnsi="宋体" w:cs="宋体"/>
          <w:color w:val="auto"/>
          <w:highlight w:val="none"/>
        </w:rPr>
        <w:t>签字（签章）：                                       公章：</w:t>
      </w:r>
    </w:p>
    <w:p w14:paraId="158EBB2D">
      <w:pPr>
        <w:pStyle w:val="20"/>
        <w:keepNext w:val="0"/>
        <w:keepLines w:val="0"/>
        <w:pageBreakBefore w:val="0"/>
        <w:widowControl w:val="0"/>
        <w:kinsoku/>
        <w:wordWrap/>
        <w:overflowPunct/>
        <w:topLinePunct w:val="0"/>
        <w:autoSpaceDE/>
        <w:autoSpaceDN/>
        <w:bidi w:val="0"/>
        <w:adjustRightInd/>
        <w:spacing w:line="400" w:lineRule="exact"/>
        <w:ind w:left="25" w:leftChars="12" w:firstLine="413" w:firstLineChars="197"/>
        <w:textAlignment w:val="auto"/>
        <w:rPr>
          <w:rFonts w:hint="eastAsia" w:hAnsi="宋体" w:cs="宋体"/>
          <w:color w:val="auto"/>
          <w:highlight w:val="none"/>
        </w:rPr>
      </w:pPr>
      <w:r>
        <w:rPr>
          <w:rFonts w:hint="eastAsia" w:hAnsi="宋体" w:cs="宋体"/>
          <w:color w:val="auto"/>
          <w:highlight w:val="none"/>
        </w:rPr>
        <w:t>日期：</w:t>
      </w:r>
    </w:p>
    <w:p w14:paraId="33D0B082">
      <w:pPr>
        <w:pStyle w:val="20"/>
        <w:keepNext w:val="0"/>
        <w:keepLines w:val="0"/>
        <w:pageBreakBefore w:val="0"/>
        <w:widowControl w:val="0"/>
        <w:kinsoku/>
        <w:wordWrap/>
        <w:overflowPunct/>
        <w:topLinePunct w:val="0"/>
        <w:autoSpaceDE/>
        <w:autoSpaceDN/>
        <w:bidi w:val="0"/>
        <w:adjustRightInd/>
        <w:snapToGrid w:val="0"/>
        <w:spacing w:line="400" w:lineRule="exact"/>
        <w:textAlignment w:val="auto"/>
        <w:rPr>
          <w:rFonts w:hint="eastAsia" w:hAnsi="宋体" w:cs="宋体"/>
          <w:b/>
          <w:color w:val="auto"/>
          <w:highlight w:val="none"/>
        </w:rPr>
      </w:pPr>
      <w:r>
        <w:rPr>
          <w:rFonts w:hint="eastAsia" w:hAnsi="宋体" w:cs="宋体"/>
          <w:b/>
          <w:color w:val="auto"/>
          <w:highlight w:val="none"/>
        </w:rPr>
        <w:t>说明：</w:t>
      </w:r>
    </w:p>
    <w:p w14:paraId="27F9DAB7">
      <w:pPr>
        <w:pStyle w:val="20"/>
        <w:keepNext w:val="0"/>
        <w:keepLines w:val="0"/>
        <w:pageBreakBefore w:val="0"/>
        <w:widowControl w:val="0"/>
        <w:kinsoku/>
        <w:wordWrap/>
        <w:overflowPunct/>
        <w:topLinePunct w:val="0"/>
        <w:autoSpaceDE/>
        <w:autoSpaceDN/>
        <w:bidi w:val="0"/>
        <w:adjustRightInd/>
        <w:spacing w:line="400" w:lineRule="exact"/>
        <w:ind w:left="25" w:leftChars="12" w:firstLine="310" w:firstLineChars="147"/>
        <w:textAlignment w:val="auto"/>
        <w:rPr>
          <w:rFonts w:hint="eastAsia" w:hAnsi="宋体" w:cs="宋体"/>
          <w:b/>
          <w:bCs/>
          <w:color w:val="auto"/>
          <w:highlight w:val="none"/>
        </w:rPr>
      </w:pPr>
      <w:r>
        <w:rPr>
          <w:rFonts w:hint="eastAsia" w:hAnsi="宋体" w:cs="宋体"/>
          <w:b/>
          <w:color w:val="auto"/>
          <w:highlight w:val="none"/>
        </w:rPr>
        <w:t>1.供应商提出质疑时，应提交质疑函和必要的证明材料</w:t>
      </w:r>
      <w:r>
        <w:rPr>
          <w:rFonts w:hint="eastAsia" w:hAnsi="宋体" w:cs="宋体"/>
          <w:b/>
          <w:bCs/>
          <w:color w:val="auto"/>
          <w:highlight w:val="none"/>
        </w:rPr>
        <w:t>。</w:t>
      </w:r>
    </w:p>
    <w:p w14:paraId="2426D233">
      <w:pPr>
        <w:pStyle w:val="20"/>
        <w:keepNext w:val="0"/>
        <w:keepLines w:val="0"/>
        <w:pageBreakBefore w:val="0"/>
        <w:widowControl w:val="0"/>
        <w:kinsoku/>
        <w:wordWrap/>
        <w:overflowPunct/>
        <w:topLinePunct w:val="0"/>
        <w:autoSpaceDE/>
        <w:autoSpaceDN/>
        <w:bidi w:val="0"/>
        <w:adjustRightInd/>
        <w:spacing w:line="400" w:lineRule="exact"/>
        <w:ind w:left="25" w:leftChars="12" w:firstLine="310" w:firstLineChars="147"/>
        <w:textAlignment w:val="auto"/>
        <w:rPr>
          <w:rFonts w:hint="eastAsia" w:hAnsi="宋体" w:cs="宋体"/>
          <w:b/>
          <w:color w:val="auto"/>
          <w:highlight w:val="none"/>
        </w:rPr>
      </w:pPr>
      <w:r>
        <w:rPr>
          <w:rFonts w:hint="eastAsia" w:hAnsi="宋体" w:cs="宋体"/>
          <w:b/>
          <w:color w:val="auto"/>
          <w:highlight w:val="none"/>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21A37B20">
      <w:pPr>
        <w:pStyle w:val="20"/>
        <w:keepNext w:val="0"/>
        <w:keepLines w:val="0"/>
        <w:pageBreakBefore w:val="0"/>
        <w:widowControl w:val="0"/>
        <w:kinsoku/>
        <w:wordWrap/>
        <w:overflowPunct/>
        <w:topLinePunct w:val="0"/>
        <w:autoSpaceDE/>
        <w:autoSpaceDN/>
        <w:bidi w:val="0"/>
        <w:adjustRightInd/>
        <w:spacing w:line="400" w:lineRule="exact"/>
        <w:ind w:left="25" w:leftChars="12" w:firstLine="310" w:firstLineChars="147"/>
        <w:textAlignment w:val="auto"/>
        <w:rPr>
          <w:rFonts w:hint="eastAsia" w:hAnsi="宋体" w:cs="宋体"/>
          <w:b/>
          <w:color w:val="auto"/>
          <w:highlight w:val="none"/>
        </w:rPr>
      </w:pPr>
      <w:r>
        <w:rPr>
          <w:rFonts w:hint="eastAsia" w:hAnsi="宋体" w:cs="宋体"/>
          <w:b/>
          <w:color w:val="auto"/>
          <w:highlight w:val="none"/>
        </w:rPr>
        <w:t>3.质疑函的质疑事项应具体、明确，并有必要的事实依据和法律依据。</w:t>
      </w:r>
    </w:p>
    <w:p w14:paraId="68C1E97A">
      <w:pPr>
        <w:pStyle w:val="20"/>
        <w:keepNext w:val="0"/>
        <w:keepLines w:val="0"/>
        <w:pageBreakBefore w:val="0"/>
        <w:widowControl w:val="0"/>
        <w:kinsoku/>
        <w:wordWrap/>
        <w:overflowPunct/>
        <w:topLinePunct w:val="0"/>
        <w:autoSpaceDE/>
        <w:autoSpaceDN/>
        <w:bidi w:val="0"/>
        <w:adjustRightInd/>
        <w:spacing w:line="400" w:lineRule="exact"/>
        <w:ind w:left="25" w:leftChars="12" w:firstLine="310" w:firstLineChars="147"/>
        <w:textAlignment w:val="auto"/>
        <w:rPr>
          <w:rFonts w:hint="eastAsia" w:hAnsi="宋体" w:cs="宋体"/>
          <w:b/>
          <w:color w:val="auto"/>
          <w:highlight w:val="none"/>
        </w:rPr>
      </w:pPr>
      <w:r>
        <w:rPr>
          <w:rFonts w:hint="eastAsia" w:hAnsi="宋体" w:cs="宋体"/>
          <w:b/>
          <w:color w:val="auto"/>
          <w:highlight w:val="none"/>
        </w:rPr>
        <w:t>4.质疑函的质疑请求应与质疑事项相关。</w:t>
      </w:r>
    </w:p>
    <w:p w14:paraId="1EAB15DD">
      <w:pPr>
        <w:pStyle w:val="20"/>
        <w:keepNext w:val="0"/>
        <w:keepLines w:val="0"/>
        <w:pageBreakBefore w:val="0"/>
        <w:widowControl w:val="0"/>
        <w:kinsoku/>
        <w:wordWrap/>
        <w:overflowPunct/>
        <w:topLinePunct w:val="0"/>
        <w:autoSpaceDE/>
        <w:autoSpaceDN/>
        <w:bidi w:val="0"/>
        <w:adjustRightInd/>
        <w:spacing w:line="400" w:lineRule="exact"/>
        <w:ind w:left="25" w:leftChars="12" w:firstLine="310" w:firstLineChars="147"/>
        <w:textAlignment w:val="auto"/>
        <w:rPr>
          <w:rFonts w:hint="eastAsia" w:hAnsi="宋体" w:cs="宋体"/>
          <w:b/>
          <w:color w:val="auto"/>
          <w:highlight w:val="none"/>
        </w:rPr>
      </w:pPr>
      <w:r>
        <w:rPr>
          <w:rFonts w:hint="eastAsia" w:hAnsi="宋体" w:cs="宋体"/>
          <w:b/>
          <w:color w:val="auto"/>
          <w:highlight w:val="none"/>
        </w:rPr>
        <w:t>5.质疑供应商为法人或者其他组织的，质疑函应由法定代表人、主要负责人，或者其授权代表签字或者盖章，并加盖公章。</w:t>
      </w:r>
    </w:p>
    <w:p w14:paraId="311E3529">
      <w:pPr>
        <w:spacing w:line="460" w:lineRule="exact"/>
        <w:rPr>
          <w:rFonts w:hint="eastAsia" w:ascii="宋体" w:hAnsi="宋体" w:cs="宋体"/>
          <w:color w:val="auto"/>
          <w:sz w:val="44"/>
          <w:highlight w:val="none"/>
        </w:rPr>
      </w:pPr>
    </w:p>
    <w:p w14:paraId="449D9F4E">
      <w:pPr>
        <w:spacing w:line="360" w:lineRule="auto"/>
        <w:jc w:val="left"/>
        <w:rPr>
          <w:rFonts w:hint="eastAsia" w:ascii="宋体" w:hAnsi="宋体" w:cs="宋体"/>
          <w:b/>
          <w:color w:val="auto"/>
          <w:sz w:val="24"/>
          <w:highlight w:val="none"/>
        </w:rPr>
      </w:pPr>
      <w:r>
        <w:rPr>
          <w:rFonts w:hint="eastAsia" w:ascii="宋体" w:hAnsi="宋体" w:cs="宋体"/>
          <w:b/>
          <w:color w:val="auto"/>
          <w:sz w:val="24"/>
          <w:highlight w:val="none"/>
        </w:rPr>
        <w:br w:type="page"/>
      </w:r>
      <w:r>
        <w:rPr>
          <w:rFonts w:hint="eastAsia" w:ascii="宋体" w:hAnsi="宋体" w:cs="宋体"/>
          <w:b/>
          <w:color w:val="auto"/>
          <w:sz w:val="24"/>
          <w:highlight w:val="none"/>
        </w:rPr>
        <w:t>2.投诉书（格式）</w:t>
      </w:r>
    </w:p>
    <w:p w14:paraId="3AE1F825">
      <w:pPr>
        <w:spacing w:line="360" w:lineRule="auto"/>
        <w:jc w:val="center"/>
        <w:rPr>
          <w:rFonts w:hint="eastAsia" w:ascii="宋体" w:hAnsi="宋体" w:cs="宋体"/>
          <w:b/>
          <w:color w:val="auto"/>
          <w:sz w:val="30"/>
          <w:szCs w:val="30"/>
          <w:highlight w:val="none"/>
        </w:rPr>
      </w:pPr>
      <w:r>
        <w:rPr>
          <w:rFonts w:hint="eastAsia" w:ascii="宋体" w:hAnsi="宋体" w:cs="宋体"/>
          <w:b/>
          <w:color w:val="auto"/>
          <w:sz w:val="30"/>
          <w:szCs w:val="30"/>
          <w:highlight w:val="none"/>
        </w:rPr>
        <w:t>投诉书（格式）</w:t>
      </w:r>
    </w:p>
    <w:p w14:paraId="0A849579">
      <w:pPr>
        <w:pStyle w:val="20"/>
        <w:keepNext w:val="0"/>
        <w:keepLines w:val="0"/>
        <w:pageBreakBefore w:val="0"/>
        <w:widowControl w:val="0"/>
        <w:kinsoku/>
        <w:wordWrap/>
        <w:overflowPunct/>
        <w:topLinePunct w:val="0"/>
        <w:autoSpaceDE/>
        <w:autoSpaceDN/>
        <w:bidi w:val="0"/>
        <w:adjustRightInd/>
        <w:snapToGrid w:val="0"/>
        <w:spacing w:line="400" w:lineRule="exact"/>
        <w:ind w:firstLine="422" w:firstLineChars="200"/>
        <w:textAlignment w:val="auto"/>
        <w:rPr>
          <w:rFonts w:hint="eastAsia" w:hAnsi="宋体" w:cs="宋体"/>
          <w:b/>
          <w:bCs/>
          <w:color w:val="auto"/>
          <w:highlight w:val="none"/>
        </w:rPr>
      </w:pPr>
      <w:r>
        <w:rPr>
          <w:rFonts w:hint="eastAsia" w:hAnsi="宋体" w:cs="宋体"/>
          <w:b/>
          <w:bCs/>
          <w:color w:val="auto"/>
          <w:highlight w:val="none"/>
        </w:rPr>
        <w:t>一、投诉相关主体基本情况：</w:t>
      </w:r>
    </w:p>
    <w:p w14:paraId="1B16A8D8">
      <w:pPr>
        <w:pStyle w:val="20"/>
        <w:keepNext w:val="0"/>
        <w:keepLines w:val="0"/>
        <w:pageBreakBefore w:val="0"/>
        <w:widowControl w:val="0"/>
        <w:kinsoku/>
        <w:wordWrap/>
        <w:overflowPunct/>
        <w:topLinePunct w:val="0"/>
        <w:autoSpaceDE/>
        <w:autoSpaceDN/>
        <w:bidi w:val="0"/>
        <w:adjustRightInd/>
        <w:snapToGrid w:val="0"/>
        <w:spacing w:line="400" w:lineRule="exact"/>
        <w:ind w:firstLine="420" w:firstLineChars="200"/>
        <w:jc w:val="left"/>
        <w:textAlignment w:val="auto"/>
        <w:rPr>
          <w:rFonts w:hint="eastAsia" w:hAnsi="宋体" w:cs="宋体"/>
          <w:bCs/>
          <w:color w:val="auto"/>
          <w:highlight w:val="none"/>
          <w:u w:val="single"/>
        </w:rPr>
      </w:pPr>
      <w:r>
        <w:rPr>
          <w:rFonts w:hint="eastAsia" w:hAnsi="宋体" w:cs="宋体"/>
          <w:bCs/>
          <w:color w:val="auto"/>
          <w:highlight w:val="none"/>
        </w:rPr>
        <w:t>投标人：</w:t>
      </w:r>
      <w:r>
        <w:rPr>
          <w:rFonts w:hint="eastAsia" w:hAnsi="宋体" w:cs="宋体"/>
          <w:bCs/>
          <w:color w:val="auto"/>
          <w:highlight w:val="none"/>
          <w:u w:val="single"/>
        </w:rPr>
        <w:t xml:space="preserve">                                                                        </w:t>
      </w:r>
    </w:p>
    <w:p w14:paraId="22DF0941">
      <w:pPr>
        <w:pStyle w:val="20"/>
        <w:keepNext w:val="0"/>
        <w:keepLines w:val="0"/>
        <w:pageBreakBefore w:val="0"/>
        <w:widowControl w:val="0"/>
        <w:kinsoku/>
        <w:wordWrap/>
        <w:overflowPunct/>
        <w:topLinePunct w:val="0"/>
        <w:autoSpaceDE/>
        <w:autoSpaceDN/>
        <w:bidi w:val="0"/>
        <w:adjustRightInd/>
        <w:snapToGrid w:val="0"/>
        <w:spacing w:line="400" w:lineRule="exact"/>
        <w:ind w:firstLine="420" w:firstLineChars="200"/>
        <w:jc w:val="left"/>
        <w:textAlignment w:val="auto"/>
        <w:rPr>
          <w:rFonts w:hint="eastAsia" w:hAnsi="宋体" w:cs="宋体"/>
          <w:bCs/>
          <w:color w:val="auto"/>
          <w:highlight w:val="none"/>
        </w:rPr>
      </w:pPr>
      <w:r>
        <w:rPr>
          <w:rFonts w:hint="eastAsia" w:hAnsi="宋体" w:cs="宋体"/>
          <w:bCs/>
          <w:color w:val="auto"/>
          <w:highlight w:val="none"/>
        </w:rPr>
        <w:t>地址：</w:t>
      </w:r>
      <w:r>
        <w:rPr>
          <w:rFonts w:hint="eastAsia" w:hAnsi="宋体" w:cs="宋体"/>
          <w:bCs/>
          <w:color w:val="auto"/>
          <w:highlight w:val="none"/>
          <w:u w:val="single"/>
        </w:rPr>
        <w:t xml:space="preserve">                                          </w:t>
      </w:r>
      <w:r>
        <w:rPr>
          <w:rFonts w:hint="eastAsia" w:hAnsi="宋体" w:cs="宋体"/>
          <w:bCs/>
          <w:color w:val="auto"/>
          <w:highlight w:val="none"/>
        </w:rPr>
        <w:t>邮编：</w:t>
      </w:r>
      <w:r>
        <w:rPr>
          <w:rFonts w:hint="eastAsia" w:hAnsi="宋体" w:cs="宋体"/>
          <w:bCs/>
          <w:color w:val="auto"/>
          <w:highlight w:val="none"/>
          <w:u w:val="single"/>
        </w:rPr>
        <w:t xml:space="preserve">                          </w:t>
      </w:r>
    </w:p>
    <w:p w14:paraId="2E4930A1">
      <w:pPr>
        <w:pStyle w:val="20"/>
        <w:keepNext w:val="0"/>
        <w:keepLines w:val="0"/>
        <w:pageBreakBefore w:val="0"/>
        <w:widowControl w:val="0"/>
        <w:kinsoku/>
        <w:wordWrap/>
        <w:overflowPunct/>
        <w:topLinePunct w:val="0"/>
        <w:autoSpaceDE/>
        <w:autoSpaceDN/>
        <w:bidi w:val="0"/>
        <w:adjustRightInd/>
        <w:snapToGrid w:val="0"/>
        <w:spacing w:line="400" w:lineRule="exact"/>
        <w:ind w:firstLine="420" w:firstLineChars="200"/>
        <w:jc w:val="left"/>
        <w:textAlignment w:val="auto"/>
        <w:rPr>
          <w:rFonts w:hint="eastAsia" w:hAnsi="宋体" w:cs="宋体"/>
          <w:bCs/>
          <w:color w:val="auto"/>
          <w:highlight w:val="none"/>
          <w:u w:val="single"/>
        </w:rPr>
      </w:pPr>
      <w:r>
        <w:rPr>
          <w:rFonts w:hint="eastAsia" w:hAnsi="宋体" w:cs="宋体"/>
          <w:bCs/>
          <w:color w:val="auto"/>
          <w:highlight w:val="none"/>
        </w:rPr>
        <w:t>法定代表人/主要负责人：</w:t>
      </w:r>
      <w:r>
        <w:rPr>
          <w:rFonts w:hint="eastAsia" w:hAnsi="宋体" w:cs="宋体"/>
          <w:bCs/>
          <w:color w:val="auto"/>
          <w:highlight w:val="none"/>
          <w:u w:val="single"/>
        </w:rPr>
        <w:t xml:space="preserve">                                                         </w:t>
      </w:r>
    </w:p>
    <w:p w14:paraId="46D1F16F">
      <w:pPr>
        <w:pStyle w:val="20"/>
        <w:keepNext w:val="0"/>
        <w:keepLines w:val="0"/>
        <w:pageBreakBefore w:val="0"/>
        <w:widowControl w:val="0"/>
        <w:kinsoku/>
        <w:wordWrap/>
        <w:overflowPunct/>
        <w:topLinePunct w:val="0"/>
        <w:autoSpaceDE/>
        <w:autoSpaceDN/>
        <w:bidi w:val="0"/>
        <w:adjustRightInd/>
        <w:snapToGrid w:val="0"/>
        <w:spacing w:line="400" w:lineRule="exact"/>
        <w:ind w:firstLine="420" w:firstLineChars="200"/>
        <w:jc w:val="left"/>
        <w:textAlignment w:val="auto"/>
        <w:rPr>
          <w:rFonts w:hint="eastAsia" w:hAnsi="宋体" w:cs="宋体"/>
          <w:bCs/>
          <w:color w:val="auto"/>
          <w:highlight w:val="none"/>
        </w:rPr>
      </w:pPr>
      <w:r>
        <w:rPr>
          <w:rFonts w:hint="eastAsia" w:hAnsi="宋体" w:cs="宋体"/>
          <w:bCs/>
          <w:color w:val="auto"/>
          <w:highlight w:val="none"/>
        </w:rPr>
        <w:t>联系电话：</w:t>
      </w:r>
      <w:r>
        <w:rPr>
          <w:rFonts w:hint="eastAsia" w:hAnsi="宋体" w:cs="宋体"/>
          <w:bCs/>
          <w:color w:val="auto"/>
          <w:highlight w:val="none"/>
          <w:u w:val="single"/>
        </w:rPr>
        <w:t xml:space="preserve">                                         </w:t>
      </w:r>
    </w:p>
    <w:p w14:paraId="17A27070">
      <w:pPr>
        <w:pStyle w:val="20"/>
        <w:keepNext w:val="0"/>
        <w:keepLines w:val="0"/>
        <w:pageBreakBefore w:val="0"/>
        <w:widowControl w:val="0"/>
        <w:kinsoku/>
        <w:wordWrap/>
        <w:overflowPunct/>
        <w:topLinePunct w:val="0"/>
        <w:autoSpaceDE/>
        <w:autoSpaceDN/>
        <w:bidi w:val="0"/>
        <w:adjustRightInd/>
        <w:snapToGrid w:val="0"/>
        <w:spacing w:line="400" w:lineRule="exact"/>
        <w:ind w:firstLine="420" w:firstLineChars="200"/>
        <w:jc w:val="left"/>
        <w:textAlignment w:val="auto"/>
        <w:rPr>
          <w:rFonts w:hint="eastAsia" w:hAnsi="宋体" w:cs="宋体"/>
          <w:bCs/>
          <w:color w:val="auto"/>
          <w:highlight w:val="none"/>
          <w:u w:val="single"/>
        </w:rPr>
      </w:pPr>
      <w:r>
        <w:rPr>
          <w:rFonts w:hint="eastAsia" w:hAnsi="宋体" w:cs="宋体"/>
          <w:bCs/>
          <w:color w:val="auto"/>
          <w:highlight w:val="none"/>
        </w:rPr>
        <w:t>授权代表：</w:t>
      </w:r>
      <w:r>
        <w:rPr>
          <w:rFonts w:hint="eastAsia" w:hAnsi="宋体" w:cs="宋体"/>
          <w:bCs/>
          <w:color w:val="auto"/>
          <w:highlight w:val="none"/>
          <w:u w:val="single"/>
        </w:rPr>
        <w:t xml:space="preserve">                                         </w:t>
      </w:r>
      <w:r>
        <w:rPr>
          <w:rFonts w:hint="eastAsia" w:hAnsi="宋体" w:cs="宋体"/>
          <w:bCs/>
          <w:color w:val="auto"/>
          <w:highlight w:val="none"/>
        </w:rPr>
        <w:t>联系电话：</w:t>
      </w:r>
      <w:r>
        <w:rPr>
          <w:rFonts w:hint="eastAsia" w:hAnsi="宋体" w:cs="宋体"/>
          <w:bCs/>
          <w:color w:val="auto"/>
          <w:highlight w:val="none"/>
          <w:u w:val="single"/>
        </w:rPr>
        <w:t xml:space="preserve">                   </w:t>
      </w:r>
    </w:p>
    <w:p w14:paraId="0086BB3F">
      <w:pPr>
        <w:pStyle w:val="20"/>
        <w:keepNext w:val="0"/>
        <w:keepLines w:val="0"/>
        <w:pageBreakBefore w:val="0"/>
        <w:widowControl w:val="0"/>
        <w:kinsoku/>
        <w:wordWrap/>
        <w:overflowPunct/>
        <w:topLinePunct w:val="0"/>
        <w:autoSpaceDE/>
        <w:autoSpaceDN/>
        <w:bidi w:val="0"/>
        <w:adjustRightInd/>
        <w:snapToGrid w:val="0"/>
        <w:spacing w:line="400" w:lineRule="exact"/>
        <w:ind w:firstLine="420" w:firstLineChars="200"/>
        <w:jc w:val="left"/>
        <w:textAlignment w:val="auto"/>
        <w:rPr>
          <w:rFonts w:hint="eastAsia" w:hAnsi="宋体" w:cs="宋体"/>
          <w:bCs/>
          <w:color w:val="auto"/>
          <w:highlight w:val="none"/>
          <w:u w:val="single"/>
        </w:rPr>
      </w:pPr>
      <w:r>
        <w:rPr>
          <w:rFonts w:hint="eastAsia" w:hAnsi="宋体" w:cs="宋体"/>
          <w:bCs/>
          <w:color w:val="auto"/>
          <w:highlight w:val="none"/>
        </w:rPr>
        <w:t>地址：</w:t>
      </w:r>
      <w:r>
        <w:rPr>
          <w:rFonts w:hint="eastAsia" w:hAnsi="宋体" w:cs="宋体"/>
          <w:bCs/>
          <w:color w:val="auto"/>
          <w:highlight w:val="none"/>
          <w:u w:val="single"/>
        </w:rPr>
        <w:t xml:space="preserve">                                                            </w:t>
      </w:r>
    </w:p>
    <w:p w14:paraId="12E6C8B6">
      <w:pPr>
        <w:pStyle w:val="20"/>
        <w:keepNext w:val="0"/>
        <w:keepLines w:val="0"/>
        <w:pageBreakBefore w:val="0"/>
        <w:widowControl w:val="0"/>
        <w:kinsoku/>
        <w:wordWrap/>
        <w:overflowPunct/>
        <w:topLinePunct w:val="0"/>
        <w:autoSpaceDE/>
        <w:autoSpaceDN/>
        <w:bidi w:val="0"/>
        <w:adjustRightInd/>
        <w:snapToGrid w:val="0"/>
        <w:spacing w:line="400" w:lineRule="exact"/>
        <w:ind w:firstLine="420" w:firstLineChars="200"/>
        <w:jc w:val="left"/>
        <w:textAlignment w:val="auto"/>
        <w:rPr>
          <w:rFonts w:hint="eastAsia" w:hAnsi="宋体" w:cs="宋体"/>
          <w:bCs/>
          <w:color w:val="auto"/>
          <w:highlight w:val="none"/>
        </w:rPr>
      </w:pPr>
      <w:r>
        <w:rPr>
          <w:rFonts w:hint="eastAsia" w:hAnsi="宋体" w:cs="宋体"/>
          <w:bCs/>
          <w:color w:val="auto"/>
          <w:highlight w:val="none"/>
        </w:rPr>
        <w:t>邮编：</w:t>
      </w:r>
      <w:r>
        <w:rPr>
          <w:rFonts w:hint="eastAsia" w:hAnsi="宋体" w:cs="宋体"/>
          <w:bCs/>
          <w:color w:val="auto"/>
          <w:highlight w:val="none"/>
          <w:u w:val="single"/>
        </w:rPr>
        <w:t xml:space="preserve">         </w:t>
      </w:r>
      <w:r>
        <w:rPr>
          <w:rFonts w:hint="eastAsia" w:hAnsi="宋体" w:cs="宋体"/>
          <w:bCs/>
          <w:color w:val="auto"/>
          <w:highlight w:val="none"/>
        </w:rPr>
        <w:t xml:space="preserve">   </w:t>
      </w:r>
    </w:p>
    <w:p w14:paraId="38A6C3E9">
      <w:pPr>
        <w:pStyle w:val="20"/>
        <w:keepNext w:val="0"/>
        <w:keepLines w:val="0"/>
        <w:pageBreakBefore w:val="0"/>
        <w:widowControl w:val="0"/>
        <w:kinsoku/>
        <w:wordWrap/>
        <w:overflowPunct/>
        <w:topLinePunct w:val="0"/>
        <w:autoSpaceDE/>
        <w:autoSpaceDN/>
        <w:bidi w:val="0"/>
        <w:adjustRightInd/>
        <w:snapToGrid w:val="0"/>
        <w:spacing w:line="400" w:lineRule="exact"/>
        <w:ind w:firstLine="420" w:firstLineChars="200"/>
        <w:jc w:val="left"/>
        <w:textAlignment w:val="auto"/>
        <w:rPr>
          <w:rFonts w:hint="eastAsia" w:hAnsi="宋体" w:cs="宋体"/>
          <w:bCs/>
          <w:color w:val="auto"/>
          <w:highlight w:val="none"/>
        </w:rPr>
      </w:pPr>
      <w:r>
        <w:rPr>
          <w:rFonts w:hint="eastAsia" w:hAnsi="宋体" w:cs="宋体"/>
          <w:bCs/>
          <w:color w:val="auto"/>
          <w:highlight w:val="none"/>
        </w:rPr>
        <w:t>被投诉人1：</w:t>
      </w:r>
    </w:p>
    <w:p w14:paraId="5089C4E5">
      <w:pPr>
        <w:pStyle w:val="20"/>
        <w:keepNext w:val="0"/>
        <w:keepLines w:val="0"/>
        <w:pageBreakBefore w:val="0"/>
        <w:widowControl w:val="0"/>
        <w:kinsoku/>
        <w:wordWrap/>
        <w:overflowPunct/>
        <w:topLinePunct w:val="0"/>
        <w:autoSpaceDE/>
        <w:autoSpaceDN/>
        <w:bidi w:val="0"/>
        <w:adjustRightInd/>
        <w:snapToGrid w:val="0"/>
        <w:spacing w:line="400" w:lineRule="exact"/>
        <w:ind w:firstLine="420" w:firstLineChars="200"/>
        <w:jc w:val="left"/>
        <w:textAlignment w:val="auto"/>
        <w:rPr>
          <w:rFonts w:hint="eastAsia" w:hAnsi="宋体" w:cs="宋体"/>
          <w:bCs/>
          <w:color w:val="auto"/>
          <w:highlight w:val="none"/>
          <w:u w:val="single"/>
        </w:rPr>
      </w:pPr>
      <w:r>
        <w:rPr>
          <w:rFonts w:hint="eastAsia" w:hAnsi="宋体" w:cs="宋体"/>
          <w:bCs/>
          <w:color w:val="auto"/>
          <w:highlight w:val="none"/>
        </w:rPr>
        <w:t>地址：</w:t>
      </w:r>
      <w:r>
        <w:rPr>
          <w:rFonts w:hint="eastAsia" w:hAnsi="宋体" w:cs="宋体"/>
          <w:bCs/>
          <w:color w:val="auto"/>
          <w:highlight w:val="none"/>
          <w:u w:val="single"/>
        </w:rPr>
        <w:t xml:space="preserve">                                                            </w:t>
      </w:r>
    </w:p>
    <w:p w14:paraId="04A636F9">
      <w:pPr>
        <w:pStyle w:val="20"/>
        <w:keepNext w:val="0"/>
        <w:keepLines w:val="0"/>
        <w:pageBreakBefore w:val="0"/>
        <w:widowControl w:val="0"/>
        <w:kinsoku/>
        <w:wordWrap/>
        <w:overflowPunct/>
        <w:topLinePunct w:val="0"/>
        <w:autoSpaceDE/>
        <w:autoSpaceDN/>
        <w:bidi w:val="0"/>
        <w:adjustRightInd/>
        <w:snapToGrid w:val="0"/>
        <w:spacing w:line="400" w:lineRule="exact"/>
        <w:ind w:firstLine="420" w:firstLineChars="200"/>
        <w:jc w:val="left"/>
        <w:textAlignment w:val="auto"/>
        <w:rPr>
          <w:rFonts w:hint="eastAsia" w:hAnsi="宋体" w:cs="宋体"/>
          <w:bCs/>
          <w:color w:val="auto"/>
          <w:highlight w:val="none"/>
        </w:rPr>
      </w:pPr>
      <w:r>
        <w:rPr>
          <w:rFonts w:hint="eastAsia" w:hAnsi="宋体" w:cs="宋体"/>
          <w:bCs/>
          <w:color w:val="auto"/>
          <w:highlight w:val="none"/>
        </w:rPr>
        <w:t>邮编：</w:t>
      </w:r>
      <w:r>
        <w:rPr>
          <w:rFonts w:hint="eastAsia" w:hAnsi="宋体" w:cs="宋体"/>
          <w:bCs/>
          <w:color w:val="auto"/>
          <w:highlight w:val="none"/>
          <w:u w:val="single"/>
        </w:rPr>
        <w:t xml:space="preserve">         </w:t>
      </w:r>
      <w:r>
        <w:rPr>
          <w:rFonts w:hint="eastAsia" w:hAnsi="宋体" w:cs="宋体"/>
          <w:bCs/>
          <w:color w:val="auto"/>
          <w:highlight w:val="none"/>
        </w:rPr>
        <w:t xml:space="preserve">  </w:t>
      </w:r>
    </w:p>
    <w:p w14:paraId="0A1C0290">
      <w:pPr>
        <w:pStyle w:val="20"/>
        <w:keepNext w:val="0"/>
        <w:keepLines w:val="0"/>
        <w:pageBreakBefore w:val="0"/>
        <w:widowControl w:val="0"/>
        <w:kinsoku/>
        <w:wordWrap/>
        <w:overflowPunct/>
        <w:topLinePunct w:val="0"/>
        <w:autoSpaceDE/>
        <w:autoSpaceDN/>
        <w:bidi w:val="0"/>
        <w:adjustRightInd/>
        <w:snapToGrid w:val="0"/>
        <w:spacing w:line="400" w:lineRule="exact"/>
        <w:ind w:firstLine="420" w:firstLineChars="200"/>
        <w:jc w:val="left"/>
        <w:textAlignment w:val="auto"/>
        <w:rPr>
          <w:rFonts w:hint="eastAsia" w:hAnsi="宋体" w:cs="宋体"/>
          <w:bCs/>
          <w:color w:val="auto"/>
          <w:highlight w:val="none"/>
          <w:u w:val="single"/>
        </w:rPr>
      </w:pPr>
      <w:r>
        <w:rPr>
          <w:rFonts w:hint="eastAsia" w:hAnsi="宋体" w:cs="宋体"/>
          <w:bCs/>
          <w:color w:val="auto"/>
          <w:highlight w:val="none"/>
        </w:rPr>
        <w:t>联系人：</w:t>
      </w:r>
      <w:r>
        <w:rPr>
          <w:rFonts w:hint="eastAsia" w:hAnsi="宋体" w:cs="宋体"/>
          <w:bCs/>
          <w:color w:val="auto"/>
          <w:highlight w:val="none"/>
          <w:u w:val="single"/>
        </w:rPr>
        <w:t xml:space="preserve">                                </w:t>
      </w:r>
      <w:r>
        <w:rPr>
          <w:rFonts w:hint="eastAsia" w:hAnsi="宋体" w:cs="宋体"/>
          <w:bCs/>
          <w:color w:val="auto"/>
          <w:highlight w:val="none"/>
        </w:rPr>
        <w:t>联系电话：</w:t>
      </w:r>
      <w:r>
        <w:rPr>
          <w:rFonts w:hint="eastAsia" w:hAnsi="宋体" w:cs="宋体"/>
          <w:bCs/>
          <w:color w:val="auto"/>
          <w:highlight w:val="none"/>
          <w:u w:val="single"/>
        </w:rPr>
        <w:t xml:space="preserve">                </w:t>
      </w:r>
    </w:p>
    <w:p w14:paraId="02A91D29">
      <w:pPr>
        <w:pStyle w:val="20"/>
        <w:keepNext w:val="0"/>
        <w:keepLines w:val="0"/>
        <w:pageBreakBefore w:val="0"/>
        <w:widowControl w:val="0"/>
        <w:kinsoku/>
        <w:wordWrap/>
        <w:overflowPunct/>
        <w:topLinePunct w:val="0"/>
        <w:autoSpaceDE/>
        <w:autoSpaceDN/>
        <w:bidi w:val="0"/>
        <w:adjustRightInd/>
        <w:snapToGrid w:val="0"/>
        <w:spacing w:line="400" w:lineRule="exact"/>
        <w:ind w:firstLine="420" w:firstLineChars="200"/>
        <w:jc w:val="left"/>
        <w:textAlignment w:val="auto"/>
        <w:rPr>
          <w:rFonts w:hint="eastAsia" w:hAnsi="宋体" w:cs="宋体"/>
          <w:bCs/>
          <w:color w:val="auto"/>
          <w:highlight w:val="none"/>
        </w:rPr>
      </w:pPr>
      <w:r>
        <w:rPr>
          <w:rFonts w:hint="eastAsia" w:hAnsi="宋体" w:cs="宋体"/>
          <w:bCs/>
          <w:color w:val="auto"/>
          <w:highlight w:val="none"/>
        </w:rPr>
        <w:t>被投诉人2：</w:t>
      </w:r>
    </w:p>
    <w:p w14:paraId="384C7FF7">
      <w:pPr>
        <w:pStyle w:val="20"/>
        <w:keepNext w:val="0"/>
        <w:keepLines w:val="0"/>
        <w:pageBreakBefore w:val="0"/>
        <w:widowControl w:val="0"/>
        <w:kinsoku/>
        <w:wordWrap/>
        <w:overflowPunct/>
        <w:topLinePunct w:val="0"/>
        <w:autoSpaceDE/>
        <w:autoSpaceDN/>
        <w:bidi w:val="0"/>
        <w:adjustRightInd/>
        <w:snapToGrid w:val="0"/>
        <w:spacing w:line="400" w:lineRule="exact"/>
        <w:ind w:firstLine="420" w:firstLineChars="200"/>
        <w:jc w:val="left"/>
        <w:textAlignment w:val="auto"/>
        <w:rPr>
          <w:rFonts w:hint="eastAsia" w:hAnsi="宋体" w:cs="宋体"/>
          <w:bCs/>
          <w:color w:val="auto"/>
          <w:highlight w:val="none"/>
        </w:rPr>
      </w:pPr>
      <w:r>
        <w:rPr>
          <w:rFonts w:hint="eastAsia" w:hAnsi="宋体" w:cs="宋体"/>
          <w:bCs/>
          <w:color w:val="auto"/>
          <w:highlight w:val="none"/>
        </w:rPr>
        <w:t>……</w:t>
      </w:r>
    </w:p>
    <w:p w14:paraId="529FDBFA">
      <w:pPr>
        <w:pStyle w:val="20"/>
        <w:keepNext w:val="0"/>
        <w:keepLines w:val="0"/>
        <w:pageBreakBefore w:val="0"/>
        <w:widowControl w:val="0"/>
        <w:kinsoku/>
        <w:wordWrap/>
        <w:overflowPunct/>
        <w:topLinePunct w:val="0"/>
        <w:autoSpaceDE/>
        <w:autoSpaceDN/>
        <w:bidi w:val="0"/>
        <w:adjustRightInd/>
        <w:snapToGrid w:val="0"/>
        <w:spacing w:line="400" w:lineRule="exact"/>
        <w:ind w:firstLine="420" w:firstLineChars="200"/>
        <w:jc w:val="left"/>
        <w:textAlignment w:val="auto"/>
        <w:rPr>
          <w:rFonts w:hint="eastAsia" w:hAnsi="宋体" w:cs="宋体"/>
          <w:bCs/>
          <w:color w:val="auto"/>
          <w:highlight w:val="none"/>
          <w:u w:val="single"/>
        </w:rPr>
      </w:pPr>
      <w:r>
        <w:rPr>
          <w:rFonts w:hint="eastAsia" w:hAnsi="宋体" w:cs="宋体"/>
          <w:bCs/>
          <w:color w:val="auto"/>
          <w:highlight w:val="none"/>
        </w:rPr>
        <w:t>相关供应商：</w:t>
      </w:r>
      <w:r>
        <w:rPr>
          <w:rFonts w:hint="eastAsia" w:hAnsi="宋体" w:cs="宋体"/>
          <w:bCs/>
          <w:color w:val="auto"/>
          <w:highlight w:val="none"/>
          <w:u w:val="single"/>
        </w:rPr>
        <w:t xml:space="preserve">                                                                       </w:t>
      </w:r>
    </w:p>
    <w:p w14:paraId="0690F734">
      <w:pPr>
        <w:pStyle w:val="20"/>
        <w:keepNext w:val="0"/>
        <w:keepLines w:val="0"/>
        <w:pageBreakBefore w:val="0"/>
        <w:widowControl w:val="0"/>
        <w:kinsoku/>
        <w:wordWrap/>
        <w:overflowPunct/>
        <w:topLinePunct w:val="0"/>
        <w:autoSpaceDE/>
        <w:autoSpaceDN/>
        <w:bidi w:val="0"/>
        <w:adjustRightInd/>
        <w:snapToGrid w:val="0"/>
        <w:spacing w:line="400" w:lineRule="exact"/>
        <w:ind w:firstLine="420" w:firstLineChars="200"/>
        <w:jc w:val="left"/>
        <w:textAlignment w:val="auto"/>
        <w:rPr>
          <w:rFonts w:hint="eastAsia" w:hAnsi="宋体" w:cs="宋体"/>
          <w:bCs/>
          <w:color w:val="auto"/>
          <w:highlight w:val="none"/>
          <w:u w:val="single"/>
        </w:rPr>
      </w:pPr>
      <w:r>
        <w:rPr>
          <w:rFonts w:hint="eastAsia" w:hAnsi="宋体" w:cs="宋体"/>
          <w:bCs/>
          <w:color w:val="auto"/>
          <w:highlight w:val="none"/>
        </w:rPr>
        <w:t>地址：</w:t>
      </w:r>
      <w:r>
        <w:rPr>
          <w:rFonts w:hint="eastAsia" w:hAnsi="宋体" w:cs="宋体"/>
          <w:bCs/>
          <w:color w:val="auto"/>
          <w:highlight w:val="none"/>
          <w:u w:val="single"/>
        </w:rPr>
        <w:t xml:space="preserve">                                              </w:t>
      </w:r>
      <w:r>
        <w:rPr>
          <w:rFonts w:hint="eastAsia" w:hAnsi="宋体" w:cs="宋体"/>
          <w:bCs/>
          <w:color w:val="auto"/>
          <w:highlight w:val="none"/>
        </w:rPr>
        <w:t>邮编：</w:t>
      </w:r>
      <w:r>
        <w:rPr>
          <w:rFonts w:hint="eastAsia" w:hAnsi="宋体" w:cs="宋体"/>
          <w:bCs/>
          <w:color w:val="auto"/>
          <w:highlight w:val="none"/>
          <w:u w:val="single"/>
        </w:rPr>
        <w:t xml:space="preserve">                         </w:t>
      </w:r>
    </w:p>
    <w:p w14:paraId="7FB891EF">
      <w:pPr>
        <w:pStyle w:val="20"/>
        <w:keepNext w:val="0"/>
        <w:keepLines w:val="0"/>
        <w:pageBreakBefore w:val="0"/>
        <w:widowControl w:val="0"/>
        <w:kinsoku/>
        <w:wordWrap/>
        <w:overflowPunct/>
        <w:topLinePunct w:val="0"/>
        <w:autoSpaceDE/>
        <w:autoSpaceDN/>
        <w:bidi w:val="0"/>
        <w:adjustRightInd/>
        <w:snapToGrid w:val="0"/>
        <w:spacing w:line="400" w:lineRule="exact"/>
        <w:ind w:firstLine="420" w:firstLineChars="200"/>
        <w:jc w:val="left"/>
        <w:textAlignment w:val="auto"/>
        <w:rPr>
          <w:rFonts w:hint="eastAsia" w:hAnsi="宋体" w:cs="宋体"/>
          <w:bCs/>
          <w:color w:val="auto"/>
          <w:highlight w:val="none"/>
        </w:rPr>
      </w:pPr>
      <w:r>
        <w:rPr>
          <w:rFonts w:hint="eastAsia" w:hAnsi="宋体" w:cs="宋体"/>
          <w:bCs/>
          <w:color w:val="auto"/>
          <w:highlight w:val="none"/>
        </w:rPr>
        <w:t>联系人：</w:t>
      </w:r>
      <w:r>
        <w:rPr>
          <w:rFonts w:hint="eastAsia" w:hAnsi="宋体" w:cs="宋体"/>
          <w:bCs/>
          <w:color w:val="auto"/>
          <w:highlight w:val="none"/>
          <w:u w:val="single"/>
        </w:rPr>
        <w:t xml:space="preserve">                                            </w:t>
      </w:r>
      <w:r>
        <w:rPr>
          <w:rFonts w:hint="eastAsia" w:hAnsi="宋体" w:cs="宋体"/>
          <w:bCs/>
          <w:color w:val="auto"/>
          <w:highlight w:val="none"/>
        </w:rPr>
        <w:t>联系电话：</w:t>
      </w:r>
      <w:r>
        <w:rPr>
          <w:rFonts w:hint="eastAsia" w:hAnsi="宋体" w:cs="宋体"/>
          <w:bCs/>
          <w:color w:val="auto"/>
          <w:highlight w:val="none"/>
          <w:u w:val="single"/>
        </w:rPr>
        <w:t xml:space="preserve">                     </w:t>
      </w:r>
      <w:r>
        <w:rPr>
          <w:rFonts w:hint="eastAsia" w:hAnsi="宋体" w:cs="宋体"/>
          <w:bCs/>
          <w:color w:val="auto"/>
          <w:highlight w:val="none"/>
        </w:rPr>
        <w:t xml:space="preserve">                </w:t>
      </w:r>
    </w:p>
    <w:p w14:paraId="3158B56E">
      <w:pPr>
        <w:pStyle w:val="20"/>
        <w:keepNext w:val="0"/>
        <w:keepLines w:val="0"/>
        <w:pageBreakBefore w:val="0"/>
        <w:widowControl w:val="0"/>
        <w:kinsoku/>
        <w:wordWrap/>
        <w:overflowPunct/>
        <w:topLinePunct w:val="0"/>
        <w:autoSpaceDE/>
        <w:autoSpaceDN/>
        <w:bidi w:val="0"/>
        <w:adjustRightInd/>
        <w:snapToGrid w:val="0"/>
        <w:spacing w:line="400" w:lineRule="exact"/>
        <w:ind w:firstLine="422" w:firstLineChars="200"/>
        <w:textAlignment w:val="auto"/>
        <w:rPr>
          <w:rFonts w:hint="eastAsia" w:hAnsi="宋体" w:cs="宋体"/>
          <w:b/>
          <w:bCs/>
          <w:color w:val="auto"/>
          <w:highlight w:val="none"/>
        </w:rPr>
      </w:pPr>
      <w:r>
        <w:rPr>
          <w:rFonts w:hint="eastAsia" w:hAnsi="宋体" w:cs="宋体"/>
          <w:b/>
          <w:bCs/>
          <w:color w:val="auto"/>
          <w:highlight w:val="none"/>
        </w:rPr>
        <w:t>二、投诉项目基本情况：</w:t>
      </w:r>
    </w:p>
    <w:p w14:paraId="4D578A66">
      <w:pPr>
        <w:pStyle w:val="20"/>
        <w:keepNext w:val="0"/>
        <w:keepLines w:val="0"/>
        <w:pageBreakBefore w:val="0"/>
        <w:widowControl w:val="0"/>
        <w:kinsoku/>
        <w:wordWrap/>
        <w:overflowPunct/>
        <w:topLinePunct w:val="0"/>
        <w:autoSpaceDE/>
        <w:autoSpaceDN/>
        <w:bidi w:val="0"/>
        <w:adjustRightInd/>
        <w:spacing w:line="400" w:lineRule="exact"/>
        <w:ind w:left="25" w:leftChars="12" w:firstLine="413" w:firstLineChars="197"/>
        <w:textAlignment w:val="auto"/>
        <w:rPr>
          <w:rFonts w:hint="eastAsia" w:hAnsi="宋体" w:cs="宋体"/>
          <w:color w:val="auto"/>
          <w:highlight w:val="none"/>
        </w:rPr>
      </w:pPr>
      <w:r>
        <w:rPr>
          <w:rFonts w:hint="eastAsia" w:hAnsi="宋体" w:cs="宋体"/>
          <w:color w:val="auto"/>
          <w:highlight w:val="none"/>
        </w:rPr>
        <w:t>招标项目的名称：</w:t>
      </w:r>
      <w:r>
        <w:rPr>
          <w:rFonts w:hint="eastAsia" w:hAnsi="宋体" w:cs="宋体"/>
          <w:bCs/>
          <w:color w:val="auto"/>
          <w:highlight w:val="none"/>
          <w:u w:val="single"/>
        </w:rPr>
        <w:t xml:space="preserve">                                                                   </w:t>
      </w:r>
    </w:p>
    <w:p w14:paraId="79A43194">
      <w:pPr>
        <w:pStyle w:val="20"/>
        <w:keepNext w:val="0"/>
        <w:keepLines w:val="0"/>
        <w:pageBreakBefore w:val="0"/>
        <w:widowControl w:val="0"/>
        <w:kinsoku/>
        <w:wordWrap/>
        <w:overflowPunct/>
        <w:topLinePunct w:val="0"/>
        <w:autoSpaceDE/>
        <w:autoSpaceDN/>
        <w:bidi w:val="0"/>
        <w:adjustRightInd/>
        <w:spacing w:line="400" w:lineRule="exact"/>
        <w:ind w:left="25" w:leftChars="12" w:firstLine="413" w:firstLineChars="197"/>
        <w:textAlignment w:val="auto"/>
        <w:rPr>
          <w:rFonts w:hint="eastAsia" w:hAnsi="宋体" w:cs="宋体"/>
          <w:color w:val="auto"/>
          <w:highlight w:val="none"/>
        </w:rPr>
      </w:pPr>
      <w:r>
        <w:rPr>
          <w:rFonts w:hint="eastAsia" w:hAnsi="宋体" w:cs="宋体"/>
          <w:color w:val="auto"/>
          <w:highlight w:val="none"/>
        </w:rPr>
        <w:t>招标项目的编号：</w:t>
      </w:r>
      <w:r>
        <w:rPr>
          <w:rFonts w:hint="eastAsia" w:hAnsi="宋体" w:cs="宋体"/>
          <w:bCs/>
          <w:color w:val="auto"/>
          <w:highlight w:val="none"/>
          <w:u w:val="single"/>
        </w:rPr>
        <w:t xml:space="preserve">                                          </w:t>
      </w:r>
    </w:p>
    <w:p w14:paraId="26705416">
      <w:pPr>
        <w:pStyle w:val="20"/>
        <w:keepNext w:val="0"/>
        <w:keepLines w:val="0"/>
        <w:pageBreakBefore w:val="0"/>
        <w:widowControl w:val="0"/>
        <w:kinsoku/>
        <w:wordWrap/>
        <w:overflowPunct/>
        <w:topLinePunct w:val="0"/>
        <w:autoSpaceDE/>
        <w:autoSpaceDN/>
        <w:bidi w:val="0"/>
        <w:adjustRightInd/>
        <w:spacing w:line="400" w:lineRule="exact"/>
        <w:ind w:left="25" w:leftChars="12" w:firstLine="413" w:firstLineChars="197"/>
        <w:textAlignment w:val="auto"/>
        <w:rPr>
          <w:rFonts w:hint="eastAsia" w:hAnsi="宋体" w:cs="宋体"/>
          <w:bCs/>
          <w:color w:val="auto"/>
          <w:highlight w:val="none"/>
          <w:u w:val="single"/>
        </w:rPr>
      </w:pPr>
      <w:r>
        <w:rPr>
          <w:rFonts w:hint="eastAsia" w:hAnsi="宋体" w:cs="宋体"/>
          <w:color w:val="auto"/>
          <w:highlight w:val="none"/>
        </w:rPr>
        <w:t>采购人名称：</w:t>
      </w:r>
      <w:r>
        <w:rPr>
          <w:rFonts w:hint="eastAsia" w:hAnsi="宋体" w:cs="宋体"/>
          <w:bCs/>
          <w:color w:val="auto"/>
          <w:highlight w:val="none"/>
          <w:u w:val="single"/>
        </w:rPr>
        <w:t xml:space="preserve">                                                                        </w:t>
      </w:r>
    </w:p>
    <w:p w14:paraId="1BA5D08A">
      <w:pPr>
        <w:pStyle w:val="20"/>
        <w:keepNext w:val="0"/>
        <w:keepLines w:val="0"/>
        <w:pageBreakBefore w:val="0"/>
        <w:widowControl w:val="0"/>
        <w:kinsoku/>
        <w:wordWrap/>
        <w:overflowPunct/>
        <w:topLinePunct w:val="0"/>
        <w:autoSpaceDE/>
        <w:autoSpaceDN/>
        <w:bidi w:val="0"/>
        <w:adjustRightInd/>
        <w:spacing w:line="400" w:lineRule="exact"/>
        <w:ind w:left="25" w:leftChars="12" w:firstLine="413" w:firstLineChars="197"/>
        <w:textAlignment w:val="auto"/>
        <w:rPr>
          <w:rFonts w:hint="eastAsia" w:hAnsi="宋体" w:cs="宋体"/>
          <w:bCs/>
          <w:color w:val="auto"/>
          <w:highlight w:val="none"/>
          <w:u w:val="single"/>
        </w:rPr>
      </w:pPr>
      <w:r>
        <w:rPr>
          <w:rFonts w:hint="eastAsia" w:hAnsi="宋体" w:cs="宋体"/>
          <w:color w:val="auto"/>
          <w:highlight w:val="none"/>
        </w:rPr>
        <w:t>代理机构名称：</w:t>
      </w:r>
      <w:r>
        <w:rPr>
          <w:rFonts w:hint="eastAsia" w:hAnsi="宋体" w:cs="宋体"/>
          <w:bCs/>
          <w:color w:val="auto"/>
          <w:highlight w:val="none"/>
          <w:u w:val="single"/>
        </w:rPr>
        <w:t xml:space="preserve">                                                                      </w:t>
      </w:r>
    </w:p>
    <w:p w14:paraId="1D5404BC">
      <w:pPr>
        <w:pStyle w:val="20"/>
        <w:keepNext w:val="0"/>
        <w:keepLines w:val="0"/>
        <w:pageBreakBefore w:val="0"/>
        <w:widowControl w:val="0"/>
        <w:kinsoku/>
        <w:wordWrap/>
        <w:overflowPunct/>
        <w:topLinePunct w:val="0"/>
        <w:autoSpaceDE/>
        <w:autoSpaceDN/>
        <w:bidi w:val="0"/>
        <w:adjustRightInd/>
        <w:spacing w:line="400" w:lineRule="exact"/>
        <w:ind w:left="25" w:leftChars="12" w:firstLine="413" w:firstLineChars="197"/>
        <w:textAlignment w:val="auto"/>
        <w:rPr>
          <w:rFonts w:hint="eastAsia" w:hAnsi="宋体" w:cs="宋体"/>
          <w:bCs/>
          <w:color w:val="auto"/>
          <w:highlight w:val="none"/>
          <w:u w:val="single"/>
        </w:rPr>
      </w:pPr>
      <w:r>
        <w:rPr>
          <w:rFonts w:hint="eastAsia" w:hAnsi="宋体" w:cs="宋体"/>
          <w:color w:val="auto"/>
          <w:highlight w:val="none"/>
        </w:rPr>
        <w:t>招标</w:t>
      </w:r>
      <w:r>
        <w:rPr>
          <w:rFonts w:hint="eastAsia" w:hAnsi="宋体" w:cs="宋体"/>
          <w:bCs/>
          <w:color w:val="auto"/>
          <w:highlight w:val="none"/>
        </w:rPr>
        <w:t>文件公告：</w:t>
      </w:r>
      <w:r>
        <w:rPr>
          <w:rFonts w:hint="eastAsia" w:hAnsi="宋体" w:cs="宋体"/>
          <w:bCs/>
          <w:color w:val="auto"/>
          <w:highlight w:val="none"/>
          <w:u w:val="single"/>
        </w:rPr>
        <w:t>是/否</w:t>
      </w:r>
      <w:r>
        <w:rPr>
          <w:rFonts w:hint="eastAsia" w:hAnsi="宋体" w:cs="宋体"/>
          <w:bCs/>
          <w:color w:val="auto"/>
          <w:highlight w:val="none"/>
        </w:rPr>
        <w:t>公告期限：</w:t>
      </w:r>
      <w:r>
        <w:rPr>
          <w:rFonts w:hint="eastAsia" w:hAnsi="宋体" w:cs="宋体"/>
          <w:bCs/>
          <w:color w:val="auto"/>
          <w:highlight w:val="none"/>
          <w:u w:val="single"/>
        </w:rPr>
        <w:t xml:space="preserve">                                                       </w:t>
      </w:r>
    </w:p>
    <w:p w14:paraId="300DCFDC">
      <w:pPr>
        <w:pStyle w:val="20"/>
        <w:keepNext w:val="0"/>
        <w:keepLines w:val="0"/>
        <w:pageBreakBefore w:val="0"/>
        <w:widowControl w:val="0"/>
        <w:kinsoku/>
        <w:wordWrap/>
        <w:overflowPunct/>
        <w:topLinePunct w:val="0"/>
        <w:autoSpaceDE/>
        <w:autoSpaceDN/>
        <w:bidi w:val="0"/>
        <w:adjustRightInd/>
        <w:spacing w:line="400" w:lineRule="exact"/>
        <w:ind w:left="25" w:leftChars="12" w:firstLine="413" w:firstLineChars="197"/>
        <w:textAlignment w:val="auto"/>
        <w:rPr>
          <w:rFonts w:hint="eastAsia" w:hAnsi="宋体" w:cs="宋体"/>
          <w:b/>
          <w:color w:val="auto"/>
          <w:highlight w:val="none"/>
        </w:rPr>
      </w:pPr>
      <w:r>
        <w:rPr>
          <w:rFonts w:hint="eastAsia" w:hAnsi="宋体" w:cs="宋体"/>
          <w:color w:val="auto"/>
          <w:highlight w:val="none"/>
        </w:rPr>
        <w:t>招标</w:t>
      </w:r>
      <w:r>
        <w:rPr>
          <w:rFonts w:hint="eastAsia" w:hAnsi="宋体" w:cs="宋体"/>
          <w:bCs/>
          <w:color w:val="auto"/>
          <w:highlight w:val="none"/>
        </w:rPr>
        <w:t>结果公告：</w:t>
      </w:r>
      <w:r>
        <w:rPr>
          <w:rFonts w:hint="eastAsia" w:hAnsi="宋体" w:cs="宋体"/>
          <w:bCs/>
          <w:color w:val="auto"/>
          <w:highlight w:val="none"/>
          <w:u w:val="single"/>
        </w:rPr>
        <w:t>是/否</w:t>
      </w:r>
      <w:r>
        <w:rPr>
          <w:rFonts w:hint="eastAsia" w:hAnsi="宋体" w:cs="宋体"/>
          <w:bCs/>
          <w:color w:val="auto"/>
          <w:highlight w:val="none"/>
        </w:rPr>
        <w:t>公告期限：</w:t>
      </w:r>
      <w:r>
        <w:rPr>
          <w:rFonts w:hint="eastAsia" w:hAnsi="宋体" w:cs="宋体"/>
          <w:bCs/>
          <w:color w:val="auto"/>
          <w:highlight w:val="none"/>
          <w:u w:val="single"/>
        </w:rPr>
        <w:t xml:space="preserve">                                                    </w:t>
      </w:r>
    </w:p>
    <w:p w14:paraId="72720D15">
      <w:pPr>
        <w:pStyle w:val="20"/>
        <w:keepNext w:val="0"/>
        <w:keepLines w:val="0"/>
        <w:pageBreakBefore w:val="0"/>
        <w:widowControl w:val="0"/>
        <w:kinsoku/>
        <w:wordWrap/>
        <w:overflowPunct/>
        <w:topLinePunct w:val="0"/>
        <w:autoSpaceDE/>
        <w:autoSpaceDN/>
        <w:bidi w:val="0"/>
        <w:adjustRightInd/>
        <w:spacing w:line="400" w:lineRule="exact"/>
        <w:ind w:left="25" w:leftChars="12" w:firstLine="413" w:firstLineChars="196"/>
        <w:textAlignment w:val="auto"/>
        <w:rPr>
          <w:rFonts w:hint="eastAsia" w:hAnsi="宋体" w:cs="宋体"/>
          <w:b/>
          <w:color w:val="auto"/>
          <w:highlight w:val="none"/>
        </w:rPr>
      </w:pPr>
      <w:r>
        <w:rPr>
          <w:rFonts w:hint="eastAsia" w:hAnsi="宋体" w:cs="宋体"/>
          <w:b/>
          <w:color w:val="auto"/>
          <w:highlight w:val="none"/>
        </w:rPr>
        <w:t>三、质疑基本情况</w:t>
      </w:r>
    </w:p>
    <w:p w14:paraId="77C3D238">
      <w:pPr>
        <w:pStyle w:val="20"/>
        <w:keepNext w:val="0"/>
        <w:keepLines w:val="0"/>
        <w:pageBreakBefore w:val="0"/>
        <w:widowControl w:val="0"/>
        <w:kinsoku/>
        <w:wordWrap/>
        <w:overflowPunct/>
        <w:topLinePunct w:val="0"/>
        <w:autoSpaceDE/>
        <w:autoSpaceDN/>
        <w:bidi w:val="0"/>
        <w:adjustRightInd/>
        <w:spacing w:line="400" w:lineRule="exact"/>
        <w:ind w:left="25" w:leftChars="12" w:firstLine="420" w:firstLineChars="200"/>
        <w:textAlignment w:val="auto"/>
        <w:rPr>
          <w:rFonts w:hint="eastAsia" w:hAnsi="宋体" w:cs="宋体"/>
          <w:color w:val="auto"/>
          <w:highlight w:val="none"/>
        </w:rPr>
      </w:pPr>
      <w:r>
        <w:rPr>
          <w:rFonts w:hint="eastAsia" w:hAnsi="宋体" w:cs="宋体"/>
          <w:color w:val="auto"/>
          <w:highlight w:val="none"/>
        </w:rPr>
        <w:t>投诉人于</w:t>
      </w:r>
      <w:r>
        <w:rPr>
          <w:rFonts w:hint="eastAsia" w:hAnsi="宋体" w:cs="宋体"/>
          <w:color w:val="auto"/>
          <w:highlight w:val="none"/>
          <w:u w:val="single"/>
        </w:rPr>
        <w:t xml:space="preserve">      </w:t>
      </w:r>
      <w:r>
        <w:rPr>
          <w:rFonts w:hint="eastAsia" w:hAnsi="宋体" w:cs="宋体"/>
          <w:color w:val="auto"/>
          <w:highlight w:val="none"/>
        </w:rPr>
        <w:t>年</w:t>
      </w:r>
      <w:r>
        <w:rPr>
          <w:rFonts w:hint="eastAsia" w:hAnsi="宋体" w:cs="宋体"/>
          <w:color w:val="auto"/>
          <w:highlight w:val="none"/>
          <w:u w:val="single"/>
        </w:rPr>
        <w:t xml:space="preserve">   </w:t>
      </w:r>
      <w:r>
        <w:rPr>
          <w:rFonts w:hint="eastAsia" w:hAnsi="宋体" w:cs="宋体"/>
          <w:color w:val="auto"/>
          <w:highlight w:val="none"/>
        </w:rPr>
        <w:t>月</w:t>
      </w:r>
      <w:r>
        <w:rPr>
          <w:rFonts w:hint="eastAsia" w:hAnsi="宋体" w:cs="宋体"/>
          <w:color w:val="auto"/>
          <w:highlight w:val="none"/>
          <w:u w:val="single"/>
        </w:rPr>
        <w:t xml:space="preserve">   </w:t>
      </w:r>
      <w:r>
        <w:rPr>
          <w:rFonts w:hint="eastAsia" w:hAnsi="宋体" w:cs="宋体"/>
          <w:color w:val="auto"/>
          <w:highlight w:val="none"/>
        </w:rPr>
        <w:t>日，向</w:t>
      </w:r>
      <w:r>
        <w:rPr>
          <w:rFonts w:hint="eastAsia" w:hAnsi="宋体" w:cs="宋体"/>
          <w:color w:val="auto"/>
          <w:highlight w:val="none"/>
          <w:u w:val="single"/>
        </w:rPr>
        <w:t xml:space="preserve">                                </w:t>
      </w:r>
      <w:r>
        <w:rPr>
          <w:rFonts w:hint="eastAsia" w:hAnsi="宋体" w:cs="宋体"/>
          <w:color w:val="auto"/>
          <w:highlight w:val="none"/>
        </w:rPr>
        <w:t>提出质疑，质疑事项为：</w:t>
      </w:r>
    </w:p>
    <w:p w14:paraId="32208AA5">
      <w:pPr>
        <w:pStyle w:val="20"/>
        <w:keepNext w:val="0"/>
        <w:keepLines w:val="0"/>
        <w:pageBreakBefore w:val="0"/>
        <w:widowControl w:val="0"/>
        <w:kinsoku/>
        <w:wordWrap/>
        <w:overflowPunct/>
        <w:topLinePunct w:val="0"/>
        <w:autoSpaceDE/>
        <w:autoSpaceDN/>
        <w:bidi w:val="0"/>
        <w:adjustRightInd/>
        <w:spacing w:line="400" w:lineRule="exact"/>
        <w:ind w:firstLine="241"/>
        <w:textAlignment w:val="auto"/>
        <w:rPr>
          <w:rFonts w:hint="eastAsia" w:hAnsi="宋体" w:cs="宋体"/>
          <w:bCs/>
          <w:color w:val="auto"/>
          <w:highlight w:val="none"/>
          <w:u w:val="single"/>
        </w:rPr>
      </w:pPr>
      <w:r>
        <w:rPr>
          <w:rFonts w:hint="eastAsia" w:hAnsi="宋体" w:cs="宋体"/>
          <w:color w:val="auto"/>
          <w:highlight w:val="none"/>
        </w:rPr>
        <w:t xml:space="preserve">    </w:t>
      </w:r>
      <w:r>
        <w:rPr>
          <w:rFonts w:hint="eastAsia" w:hAnsi="宋体" w:cs="宋体"/>
          <w:bCs/>
          <w:color w:val="auto"/>
          <w:highlight w:val="none"/>
          <w:u w:val="single"/>
        </w:rPr>
        <w:t xml:space="preserve">                                                                                      </w:t>
      </w:r>
    </w:p>
    <w:p w14:paraId="4FA16891">
      <w:pPr>
        <w:pStyle w:val="20"/>
        <w:keepNext w:val="0"/>
        <w:keepLines w:val="0"/>
        <w:pageBreakBefore w:val="0"/>
        <w:widowControl w:val="0"/>
        <w:kinsoku/>
        <w:wordWrap/>
        <w:overflowPunct/>
        <w:topLinePunct w:val="0"/>
        <w:autoSpaceDE/>
        <w:autoSpaceDN/>
        <w:bidi w:val="0"/>
        <w:adjustRightInd/>
        <w:spacing w:line="400" w:lineRule="exact"/>
        <w:ind w:firstLine="241"/>
        <w:textAlignment w:val="auto"/>
        <w:rPr>
          <w:rFonts w:hint="eastAsia" w:hAnsi="宋体" w:cs="宋体"/>
          <w:bCs/>
          <w:color w:val="auto"/>
          <w:highlight w:val="none"/>
          <w:u w:val="single"/>
        </w:rPr>
      </w:pPr>
      <w:r>
        <w:rPr>
          <w:rFonts w:hint="eastAsia" w:hAnsi="宋体" w:cs="宋体"/>
          <w:bCs/>
          <w:color w:val="auto"/>
          <w:highlight w:val="none"/>
        </w:rPr>
        <w:t xml:space="preserve">    </w:t>
      </w:r>
      <w:r>
        <w:rPr>
          <w:rFonts w:hint="eastAsia" w:hAnsi="宋体" w:cs="宋体"/>
          <w:bCs/>
          <w:color w:val="auto"/>
          <w:highlight w:val="none"/>
          <w:u w:val="single"/>
        </w:rPr>
        <w:t xml:space="preserve">                                                                                      </w:t>
      </w:r>
    </w:p>
    <w:p w14:paraId="49DEE282">
      <w:pPr>
        <w:pStyle w:val="20"/>
        <w:keepNext w:val="0"/>
        <w:keepLines w:val="0"/>
        <w:pageBreakBefore w:val="0"/>
        <w:widowControl w:val="0"/>
        <w:kinsoku/>
        <w:wordWrap/>
        <w:overflowPunct/>
        <w:topLinePunct w:val="0"/>
        <w:autoSpaceDE/>
        <w:autoSpaceDN/>
        <w:bidi w:val="0"/>
        <w:adjustRightInd/>
        <w:spacing w:line="400" w:lineRule="exact"/>
        <w:ind w:firstLine="420" w:firstLineChars="200"/>
        <w:textAlignment w:val="auto"/>
        <w:rPr>
          <w:rFonts w:hint="eastAsia" w:hAnsi="宋体" w:cs="宋体"/>
          <w:color w:val="auto"/>
          <w:highlight w:val="none"/>
        </w:rPr>
      </w:pPr>
      <w:r>
        <w:rPr>
          <w:rFonts w:hint="eastAsia" w:hAnsi="宋体" w:cs="宋体"/>
          <w:bCs/>
          <w:color w:val="auto"/>
          <w:highlight w:val="none"/>
          <w:u w:val="single"/>
        </w:rPr>
        <w:t>采购人/代理机构</w:t>
      </w:r>
      <w:r>
        <w:rPr>
          <w:rFonts w:hint="eastAsia" w:hAnsi="宋体" w:cs="宋体"/>
          <w:bCs/>
          <w:color w:val="auto"/>
          <w:highlight w:val="none"/>
        </w:rPr>
        <w:t>于</w:t>
      </w:r>
      <w:r>
        <w:rPr>
          <w:rFonts w:hint="eastAsia" w:hAnsi="宋体" w:cs="宋体"/>
          <w:color w:val="auto"/>
          <w:highlight w:val="none"/>
          <w:u w:val="single"/>
        </w:rPr>
        <w:t xml:space="preserve">      </w:t>
      </w:r>
      <w:r>
        <w:rPr>
          <w:rFonts w:hint="eastAsia" w:hAnsi="宋体" w:cs="宋体"/>
          <w:color w:val="auto"/>
          <w:highlight w:val="none"/>
        </w:rPr>
        <w:t>年</w:t>
      </w:r>
      <w:r>
        <w:rPr>
          <w:rFonts w:hint="eastAsia" w:hAnsi="宋体" w:cs="宋体"/>
          <w:color w:val="auto"/>
          <w:highlight w:val="none"/>
          <w:u w:val="single"/>
        </w:rPr>
        <w:t xml:space="preserve">   </w:t>
      </w:r>
      <w:r>
        <w:rPr>
          <w:rFonts w:hint="eastAsia" w:hAnsi="宋体" w:cs="宋体"/>
          <w:color w:val="auto"/>
          <w:highlight w:val="none"/>
        </w:rPr>
        <w:t>月</w:t>
      </w:r>
      <w:r>
        <w:rPr>
          <w:rFonts w:hint="eastAsia" w:hAnsi="宋体" w:cs="宋体"/>
          <w:color w:val="auto"/>
          <w:highlight w:val="none"/>
          <w:u w:val="single"/>
        </w:rPr>
        <w:t xml:space="preserve">   </w:t>
      </w:r>
      <w:r>
        <w:rPr>
          <w:rFonts w:hint="eastAsia" w:hAnsi="宋体" w:cs="宋体"/>
          <w:color w:val="auto"/>
          <w:highlight w:val="none"/>
        </w:rPr>
        <w:t>日，</w:t>
      </w:r>
      <w:r>
        <w:rPr>
          <w:rFonts w:hint="eastAsia" w:hAnsi="宋体" w:cs="宋体"/>
          <w:bCs/>
          <w:color w:val="auto"/>
          <w:highlight w:val="none"/>
        </w:rPr>
        <w:t xml:space="preserve">就质疑事项作出了答复/没有在法定期限内作出答复。                                                                                             </w:t>
      </w:r>
    </w:p>
    <w:p w14:paraId="148CBB38">
      <w:pPr>
        <w:pStyle w:val="20"/>
        <w:keepNext w:val="0"/>
        <w:keepLines w:val="0"/>
        <w:pageBreakBefore w:val="0"/>
        <w:widowControl w:val="0"/>
        <w:kinsoku/>
        <w:wordWrap/>
        <w:overflowPunct/>
        <w:topLinePunct w:val="0"/>
        <w:autoSpaceDE/>
        <w:autoSpaceDN/>
        <w:bidi w:val="0"/>
        <w:adjustRightInd/>
        <w:spacing w:line="400" w:lineRule="exact"/>
        <w:ind w:left="25" w:leftChars="12" w:firstLine="413" w:firstLineChars="196"/>
        <w:textAlignment w:val="auto"/>
        <w:rPr>
          <w:rFonts w:hint="eastAsia" w:hAnsi="宋体" w:cs="宋体"/>
          <w:b/>
          <w:color w:val="auto"/>
          <w:highlight w:val="none"/>
        </w:rPr>
      </w:pPr>
      <w:r>
        <w:rPr>
          <w:rFonts w:hint="eastAsia" w:hAnsi="宋体" w:cs="宋体"/>
          <w:b/>
          <w:color w:val="auto"/>
          <w:highlight w:val="none"/>
        </w:rPr>
        <w:t>四、投诉事项具体内容</w:t>
      </w:r>
    </w:p>
    <w:p w14:paraId="4088F7B2">
      <w:pPr>
        <w:pStyle w:val="20"/>
        <w:keepNext w:val="0"/>
        <w:keepLines w:val="0"/>
        <w:pageBreakBefore w:val="0"/>
        <w:widowControl w:val="0"/>
        <w:kinsoku/>
        <w:wordWrap/>
        <w:overflowPunct/>
        <w:topLinePunct w:val="0"/>
        <w:autoSpaceDE/>
        <w:autoSpaceDN/>
        <w:bidi w:val="0"/>
        <w:adjustRightInd/>
        <w:spacing w:line="400" w:lineRule="exact"/>
        <w:ind w:left="25" w:leftChars="12" w:firstLine="413" w:firstLineChars="197"/>
        <w:textAlignment w:val="auto"/>
        <w:rPr>
          <w:rFonts w:hint="eastAsia" w:hAnsi="宋体" w:cs="宋体"/>
          <w:bCs/>
          <w:color w:val="auto"/>
          <w:highlight w:val="none"/>
          <w:u w:val="single"/>
        </w:rPr>
      </w:pPr>
      <w:r>
        <w:rPr>
          <w:rFonts w:hint="eastAsia" w:hAnsi="宋体" w:cs="宋体"/>
          <w:color w:val="auto"/>
          <w:highlight w:val="none"/>
        </w:rPr>
        <w:t>投诉事项1：</w:t>
      </w:r>
      <w:r>
        <w:rPr>
          <w:rFonts w:hint="eastAsia" w:hAnsi="宋体" w:cs="宋体"/>
          <w:bCs/>
          <w:color w:val="auto"/>
          <w:highlight w:val="none"/>
          <w:u w:val="single"/>
        </w:rPr>
        <w:t xml:space="preserve">                                                                           </w:t>
      </w:r>
    </w:p>
    <w:p w14:paraId="485D81F6">
      <w:pPr>
        <w:pStyle w:val="20"/>
        <w:keepNext w:val="0"/>
        <w:keepLines w:val="0"/>
        <w:pageBreakBefore w:val="0"/>
        <w:widowControl w:val="0"/>
        <w:kinsoku/>
        <w:wordWrap/>
        <w:overflowPunct/>
        <w:topLinePunct w:val="0"/>
        <w:autoSpaceDE/>
        <w:autoSpaceDN/>
        <w:bidi w:val="0"/>
        <w:adjustRightInd/>
        <w:spacing w:line="400" w:lineRule="exact"/>
        <w:ind w:firstLine="420" w:firstLineChars="200"/>
        <w:textAlignment w:val="auto"/>
        <w:rPr>
          <w:rFonts w:hint="eastAsia" w:hAnsi="宋体" w:cs="宋体"/>
          <w:bCs/>
          <w:color w:val="auto"/>
          <w:highlight w:val="none"/>
          <w:u w:val="single"/>
        </w:rPr>
      </w:pPr>
      <w:r>
        <w:rPr>
          <w:rFonts w:hint="eastAsia" w:hAnsi="宋体" w:cs="宋体"/>
          <w:bCs/>
          <w:color w:val="auto"/>
          <w:highlight w:val="none"/>
        </w:rPr>
        <w:t>事实依据：</w:t>
      </w:r>
      <w:r>
        <w:rPr>
          <w:rFonts w:hint="eastAsia" w:hAnsi="宋体" w:cs="宋体"/>
          <w:color w:val="auto"/>
          <w:highlight w:val="none"/>
        </w:rPr>
        <w:t xml:space="preserve"> </w:t>
      </w:r>
      <w:r>
        <w:rPr>
          <w:rFonts w:hint="eastAsia" w:hAnsi="宋体" w:cs="宋体"/>
          <w:bCs/>
          <w:color w:val="auto"/>
          <w:highlight w:val="none"/>
          <w:u w:val="single"/>
        </w:rPr>
        <w:t xml:space="preserve">                                                                                      </w:t>
      </w:r>
    </w:p>
    <w:p w14:paraId="6392275E">
      <w:pPr>
        <w:pStyle w:val="20"/>
        <w:keepNext w:val="0"/>
        <w:keepLines w:val="0"/>
        <w:pageBreakBefore w:val="0"/>
        <w:widowControl w:val="0"/>
        <w:kinsoku/>
        <w:wordWrap/>
        <w:overflowPunct/>
        <w:topLinePunct w:val="0"/>
        <w:autoSpaceDE/>
        <w:autoSpaceDN/>
        <w:bidi w:val="0"/>
        <w:adjustRightInd/>
        <w:spacing w:line="400" w:lineRule="exact"/>
        <w:ind w:left="25" w:leftChars="12" w:firstLine="413" w:firstLineChars="197"/>
        <w:textAlignment w:val="auto"/>
        <w:rPr>
          <w:rFonts w:hint="eastAsia" w:hAnsi="宋体" w:cs="宋体"/>
          <w:color w:val="auto"/>
          <w:highlight w:val="none"/>
        </w:rPr>
      </w:pPr>
      <w:r>
        <w:rPr>
          <w:rFonts w:hint="eastAsia" w:hAnsi="宋体" w:cs="宋体"/>
          <w:bCs/>
          <w:color w:val="auto"/>
          <w:highlight w:val="none"/>
          <w:u w:val="single"/>
        </w:rPr>
        <w:t xml:space="preserve">                                                                                        </w:t>
      </w:r>
    </w:p>
    <w:p w14:paraId="04491D25">
      <w:pPr>
        <w:pStyle w:val="20"/>
        <w:keepNext w:val="0"/>
        <w:keepLines w:val="0"/>
        <w:pageBreakBefore w:val="0"/>
        <w:widowControl w:val="0"/>
        <w:kinsoku/>
        <w:wordWrap/>
        <w:overflowPunct/>
        <w:topLinePunct w:val="0"/>
        <w:autoSpaceDE/>
        <w:autoSpaceDN/>
        <w:bidi w:val="0"/>
        <w:adjustRightInd/>
        <w:spacing w:line="400" w:lineRule="exact"/>
        <w:ind w:firstLine="420" w:firstLineChars="200"/>
        <w:textAlignment w:val="auto"/>
        <w:rPr>
          <w:rFonts w:hint="eastAsia" w:hAnsi="宋体" w:cs="宋体"/>
          <w:bCs/>
          <w:color w:val="auto"/>
          <w:highlight w:val="none"/>
          <w:u w:val="single"/>
        </w:rPr>
      </w:pPr>
      <w:r>
        <w:rPr>
          <w:rFonts w:hint="eastAsia" w:hAnsi="宋体" w:cs="宋体"/>
          <w:bCs/>
          <w:color w:val="auto"/>
          <w:highlight w:val="none"/>
        </w:rPr>
        <w:t>法律依据：</w:t>
      </w:r>
      <w:r>
        <w:rPr>
          <w:rFonts w:hint="eastAsia" w:hAnsi="宋体" w:cs="宋体"/>
          <w:color w:val="auto"/>
          <w:highlight w:val="none"/>
        </w:rPr>
        <w:t xml:space="preserve"> </w:t>
      </w:r>
      <w:r>
        <w:rPr>
          <w:rFonts w:hint="eastAsia" w:hAnsi="宋体" w:cs="宋体"/>
          <w:bCs/>
          <w:color w:val="auto"/>
          <w:highlight w:val="none"/>
          <w:u w:val="single"/>
        </w:rPr>
        <w:t xml:space="preserve">                                                                                      </w:t>
      </w:r>
    </w:p>
    <w:p w14:paraId="74477AF5">
      <w:pPr>
        <w:pStyle w:val="20"/>
        <w:keepNext w:val="0"/>
        <w:keepLines w:val="0"/>
        <w:pageBreakBefore w:val="0"/>
        <w:widowControl w:val="0"/>
        <w:kinsoku/>
        <w:wordWrap/>
        <w:overflowPunct/>
        <w:topLinePunct w:val="0"/>
        <w:autoSpaceDE/>
        <w:autoSpaceDN/>
        <w:bidi w:val="0"/>
        <w:adjustRightInd/>
        <w:spacing w:line="400" w:lineRule="exact"/>
        <w:ind w:left="25" w:leftChars="12" w:firstLine="308" w:firstLineChars="147"/>
        <w:textAlignment w:val="auto"/>
        <w:rPr>
          <w:rFonts w:hint="eastAsia" w:hAnsi="宋体" w:cs="宋体"/>
          <w:bCs/>
          <w:color w:val="auto"/>
          <w:highlight w:val="none"/>
          <w:u w:val="single"/>
        </w:rPr>
      </w:pPr>
      <w:r>
        <w:rPr>
          <w:rFonts w:hint="eastAsia" w:hAnsi="宋体" w:cs="宋体"/>
          <w:bCs/>
          <w:color w:val="auto"/>
          <w:highlight w:val="none"/>
        </w:rPr>
        <w:t xml:space="preserve"> </w:t>
      </w:r>
      <w:r>
        <w:rPr>
          <w:rFonts w:hint="eastAsia" w:hAnsi="宋体" w:cs="宋体"/>
          <w:bCs/>
          <w:color w:val="auto"/>
          <w:highlight w:val="none"/>
          <w:u w:val="single"/>
        </w:rPr>
        <w:t xml:space="preserve">                                                                                        </w:t>
      </w:r>
    </w:p>
    <w:p w14:paraId="4D0E78F3">
      <w:pPr>
        <w:pStyle w:val="20"/>
        <w:keepNext w:val="0"/>
        <w:keepLines w:val="0"/>
        <w:pageBreakBefore w:val="0"/>
        <w:widowControl w:val="0"/>
        <w:kinsoku/>
        <w:wordWrap/>
        <w:overflowPunct/>
        <w:topLinePunct w:val="0"/>
        <w:autoSpaceDE/>
        <w:autoSpaceDN/>
        <w:bidi w:val="0"/>
        <w:adjustRightInd/>
        <w:spacing w:line="400" w:lineRule="exact"/>
        <w:ind w:left="25" w:leftChars="12" w:firstLine="413" w:firstLineChars="197"/>
        <w:textAlignment w:val="auto"/>
        <w:rPr>
          <w:rFonts w:hint="eastAsia" w:hAnsi="宋体" w:cs="宋体"/>
          <w:bCs/>
          <w:color w:val="auto"/>
          <w:highlight w:val="none"/>
        </w:rPr>
      </w:pPr>
      <w:r>
        <w:rPr>
          <w:rFonts w:hint="eastAsia" w:hAnsi="宋体" w:cs="宋体"/>
          <w:color w:val="auto"/>
          <w:highlight w:val="none"/>
        </w:rPr>
        <w:t xml:space="preserve">投诉事项2  </w:t>
      </w:r>
      <w:r>
        <w:rPr>
          <w:rFonts w:hint="eastAsia" w:hAnsi="宋体" w:cs="宋体"/>
          <w:bCs/>
          <w:color w:val="auto"/>
          <w:highlight w:val="none"/>
        </w:rPr>
        <w:t xml:space="preserve">   </w:t>
      </w:r>
    </w:p>
    <w:p w14:paraId="209D5F8C">
      <w:pPr>
        <w:pStyle w:val="20"/>
        <w:keepNext w:val="0"/>
        <w:keepLines w:val="0"/>
        <w:pageBreakBefore w:val="0"/>
        <w:widowControl w:val="0"/>
        <w:kinsoku/>
        <w:wordWrap/>
        <w:overflowPunct/>
        <w:topLinePunct w:val="0"/>
        <w:autoSpaceDE/>
        <w:autoSpaceDN/>
        <w:bidi w:val="0"/>
        <w:adjustRightInd/>
        <w:spacing w:line="400" w:lineRule="exact"/>
        <w:ind w:left="25" w:leftChars="12" w:firstLine="413" w:firstLineChars="197"/>
        <w:textAlignment w:val="auto"/>
        <w:rPr>
          <w:rFonts w:hint="eastAsia" w:hAnsi="宋体" w:cs="宋体"/>
          <w:bCs/>
          <w:color w:val="auto"/>
          <w:highlight w:val="none"/>
        </w:rPr>
      </w:pPr>
      <w:r>
        <w:rPr>
          <w:rFonts w:hint="eastAsia" w:hAnsi="宋体" w:cs="宋体"/>
          <w:bCs/>
          <w:color w:val="auto"/>
          <w:highlight w:val="none"/>
        </w:rPr>
        <w:t>……</w:t>
      </w:r>
    </w:p>
    <w:p w14:paraId="489E6CA6">
      <w:pPr>
        <w:pStyle w:val="20"/>
        <w:keepNext w:val="0"/>
        <w:keepLines w:val="0"/>
        <w:pageBreakBefore w:val="0"/>
        <w:widowControl w:val="0"/>
        <w:kinsoku/>
        <w:wordWrap/>
        <w:overflowPunct/>
        <w:topLinePunct w:val="0"/>
        <w:autoSpaceDE/>
        <w:autoSpaceDN/>
        <w:bidi w:val="0"/>
        <w:adjustRightInd/>
        <w:spacing w:line="400" w:lineRule="exact"/>
        <w:ind w:left="25" w:leftChars="12" w:firstLine="413" w:firstLineChars="196"/>
        <w:textAlignment w:val="auto"/>
        <w:rPr>
          <w:rFonts w:hint="eastAsia" w:hAnsi="宋体" w:cs="宋体"/>
          <w:b/>
          <w:color w:val="auto"/>
          <w:highlight w:val="none"/>
        </w:rPr>
      </w:pPr>
      <w:r>
        <w:rPr>
          <w:rFonts w:hint="eastAsia" w:hAnsi="宋体" w:cs="宋体"/>
          <w:b/>
          <w:color w:val="auto"/>
          <w:highlight w:val="none"/>
        </w:rPr>
        <w:t>五、与投诉事项相关的投诉请求：</w:t>
      </w:r>
    </w:p>
    <w:p w14:paraId="3CA3929F">
      <w:pPr>
        <w:pStyle w:val="20"/>
        <w:keepNext w:val="0"/>
        <w:keepLines w:val="0"/>
        <w:pageBreakBefore w:val="0"/>
        <w:widowControl w:val="0"/>
        <w:kinsoku/>
        <w:wordWrap/>
        <w:overflowPunct/>
        <w:topLinePunct w:val="0"/>
        <w:autoSpaceDE/>
        <w:autoSpaceDN/>
        <w:bidi w:val="0"/>
        <w:adjustRightInd/>
        <w:spacing w:line="400" w:lineRule="exact"/>
        <w:ind w:left="25" w:leftChars="12" w:firstLine="413" w:firstLineChars="197"/>
        <w:textAlignment w:val="auto"/>
        <w:rPr>
          <w:rFonts w:hint="eastAsia" w:hAnsi="宋体" w:cs="宋体"/>
          <w:color w:val="auto"/>
          <w:highlight w:val="none"/>
        </w:rPr>
      </w:pPr>
      <w:r>
        <w:rPr>
          <w:rFonts w:hint="eastAsia" w:hAnsi="宋体" w:cs="宋体"/>
          <w:color w:val="auto"/>
          <w:highlight w:val="none"/>
        </w:rPr>
        <w:t>请求：</w:t>
      </w:r>
      <w:r>
        <w:rPr>
          <w:rFonts w:hint="eastAsia" w:hAnsi="宋体" w:cs="宋体"/>
          <w:bCs/>
          <w:color w:val="auto"/>
          <w:highlight w:val="none"/>
          <w:u w:val="single"/>
        </w:rPr>
        <w:t xml:space="preserve">                                                                                 </w:t>
      </w:r>
    </w:p>
    <w:p w14:paraId="7F7B209A">
      <w:pPr>
        <w:pStyle w:val="20"/>
        <w:keepNext w:val="0"/>
        <w:keepLines w:val="0"/>
        <w:pageBreakBefore w:val="0"/>
        <w:widowControl w:val="0"/>
        <w:kinsoku/>
        <w:wordWrap/>
        <w:overflowPunct/>
        <w:topLinePunct w:val="0"/>
        <w:autoSpaceDE/>
        <w:autoSpaceDN/>
        <w:bidi w:val="0"/>
        <w:adjustRightInd/>
        <w:spacing w:line="400" w:lineRule="exact"/>
        <w:ind w:left="25" w:leftChars="12" w:firstLine="308" w:firstLineChars="147"/>
        <w:textAlignment w:val="auto"/>
        <w:rPr>
          <w:rFonts w:hint="eastAsia" w:hAnsi="宋体" w:cs="宋体"/>
          <w:color w:val="auto"/>
          <w:highlight w:val="none"/>
        </w:rPr>
      </w:pPr>
    </w:p>
    <w:p w14:paraId="311DAA6E">
      <w:pPr>
        <w:pStyle w:val="20"/>
        <w:keepNext w:val="0"/>
        <w:keepLines w:val="0"/>
        <w:pageBreakBefore w:val="0"/>
        <w:widowControl w:val="0"/>
        <w:kinsoku/>
        <w:wordWrap/>
        <w:overflowPunct/>
        <w:topLinePunct w:val="0"/>
        <w:autoSpaceDE/>
        <w:autoSpaceDN/>
        <w:bidi w:val="0"/>
        <w:adjustRightInd/>
        <w:spacing w:line="400" w:lineRule="exact"/>
        <w:ind w:left="25" w:leftChars="12" w:firstLine="413" w:firstLineChars="197"/>
        <w:textAlignment w:val="auto"/>
        <w:rPr>
          <w:rFonts w:hint="eastAsia" w:hAnsi="宋体" w:cs="宋体"/>
          <w:color w:val="auto"/>
          <w:highlight w:val="none"/>
        </w:rPr>
      </w:pPr>
      <w:r>
        <w:rPr>
          <w:rFonts w:hint="eastAsia" w:hAnsi="宋体" w:cs="宋体"/>
          <w:color w:val="auto"/>
          <w:highlight w:val="none"/>
        </w:rPr>
        <w:t>签字（签章）：                                       公章：</w:t>
      </w:r>
    </w:p>
    <w:p w14:paraId="662340C3">
      <w:pPr>
        <w:pStyle w:val="20"/>
        <w:keepNext w:val="0"/>
        <w:keepLines w:val="0"/>
        <w:pageBreakBefore w:val="0"/>
        <w:widowControl w:val="0"/>
        <w:kinsoku/>
        <w:wordWrap/>
        <w:overflowPunct/>
        <w:topLinePunct w:val="0"/>
        <w:autoSpaceDE/>
        <w:autoSpaceDN/>
        <w:bidi w:val="0"/>
        <w:adjustRightInd/>
        <w:spacing w:line="400" w:lineRule="exact"/>
        <w:ind w:left="25" w:leftChars="12" w:firstLine="308" w:firstLineChars="147"/>
        <w:textAlignment w:val="auto"/>
        <w:rPr>
          <w:rFonts w:hint="eastAsia" w:hAnsi="宋体" w:cs="宋体"/>
          <w:color w:val="auto"/>
          <w:highlight w:val="none"/>
        </w:rPr>
      </w:pPr>
    </w:p>
    <w:p w14:paraId="495CF58A">
      <w:pPr>
        <w:pStyle w:val="20"/>
        <w:keepNext w:val="0"/>
        <w:keepLines w:val="0"/>
        <w:pageBreakBefore w:val="0"/>
        <w:widowControl w:val="0"/>
        <w:kinsoku/>
        <w:wordWrap/>
        <w:overflowPunct/>
        <w:topLinePunct w:val="0"/>
        <w:autoSpaceDE/>
        <w:autoSpaceDN/>
        <w:bidi w:val="0"/>
        <w:adjustRightInd/>
        <w:spacing w:line="400" w:lineRule="exact"/>
        <w:ind w:left="25" w:leftChars="12" w:firstLine="413" w:firstLineChars="197"/>
        <w:textAlignment w:val="auto"/>
        <w:rPr>
          <w:rFonts w:hint="eastAsia" w:hAnsi="宋体" w:cs="宋体"/>
          <w:color w:val="auto"/>
          <w:highlight w:val="none"/>
        </w:rPr>
      </w:pPr>
      <w:r>
        <w:rPr>
          <w:rFonts w:hint="eastAsia" w:hAnsi="宋体" w:cs="宋体"/>
          <w:color w:val="auto"/>
          <w:highlight w:val="none"/>
        </w:rPr>
        <w:t>日期：</w:t>
      </w:r>
    </w:p>
    <w:p w14:paraId="4626BF80">
      <w:pPr>
        <w:pStyle w:val="20"/>
        <w:keepNext w:val="0"/>
        <w:keepLines w:val="0"/>
        <w:pageBreakBefore w:val="0"/>
        <w:widowControl w:val="0"/>
        <w:kinsoku/>
        <w:wordWrap/>
        <w:overflowPunct/>
        <w:topLinePunct w:val="0"/>
        <w:autoSpaceDE/>
        <w:autoSpaceDN/>
        <w:bidi w:val="0"/>
        <w:adjustRightInd/>
        <w:spacing w:line="400" w:lineRule="exact"/>
        <w:ind w:left="25" w:leftChars="12" w:firstLine="415" w:firstLineChars="197"/>
        <w:textAlignment w:val="auto"/>
        <w:rPr>
          <w:rFonts w:hint="eastAsia" w:hAnsi="宋体" w:cs="宋体"/>
          <w:b/>
          <w:color w:val="auto"/>
          <w:highlight w:val="none"/>
        </w:rPr>
      </w:pPr>
      <w:r>
        <w:rPr>
          <w:rFonts w:hint="eastAsia" w:hAnsi="宋体" w:cs="宋体"/>
          <w:b/>
          <w:color w:val="auto"/>
          <w:highlight w:val="none"/>
        </w:rPr>
        <w:t>说明：</w:t>
      </w:r>
    </w:p>
    <w:p w14:paraId="0E016677">
      <w:pPr>
        <w:pStyle w:val="20"/>
        <w:keepNext w:val="0"/>
        <w:keepLines w:val="0"/>
        <w:pageBreakBefore w:val="0"/>
        <w:widowControl w:val="0"/>
        <w:kinsoku/>
        <w:wordWrap/>
        <w:overflowPunct/>
        <w:topLinePunct w:val="0"/>
        <w:autoSpaceDE/>
        <w:autoSpaceDN/>
        <w:bidi w:val="0"/>
        <w:adjustRightInd/>
        <w:spacing w:line="400" w:lineRule="exact"/>
        <w:ind w:left="25" w:leftChars="12" w:firstLine="310" w:firstLineChars="147"/>
        <w:textAlignment w:val="auto"/>
        <w:rPr>
          <w:rFonts w:hint="eastAsia" w:hAnsi="宋体" w:cs="宋体"/>
          <w:b/>
          <w:bCs/>
          <w:color w:val="auto"/>
          <w:highlight w:val="none"/>
        </w:rPr>
      </w:pPr>
      <w:r>
        <w:rPr>
          <w:rFonts w:hint="eastAsia" w:hAnsi="宋体" w:cs="宋体"/>
          <w:b/>
          <w:color w:val="auto"/>
          <w:highlight w:val="none"/>
        </w:rPr>
        <w:t>1.投诉人提起投诉时，应当提交投诉书和必要的证明材料，并按照被投诉人和与投诉事项有关的供应商数量提供投诉书副本</w:t>
      </w:r>
      <w:r>
        <w:rPr>
          <w:rFonts w:hint="eastAsia" w:hAnsi="宋体" w:cs="宋体"/>
          <w:b/>
          <w:bCs/>
          <w:color w:val="auto"/>
          <w:highlight w:val="none"/>
        </w:rPr>
        <w:t>。</w:t>
      </w:r>
    </w:p>
    <w:p w14:paraId="753443FC">
      <w:pPr>
        <w:pStyle w:val="20"/>
        <w:keepNext w:val="0"/>
        <w:keepLines w:val="0"/>
        <w:pageBreakBefore w:val="0"/>
        <w:widowControl w:val="0"/>
        <w:kinsoku/>
        <w:wordWrap/>
        <w:overflowPunct/>
        <w:topLinePunct w:val="0"/>
        <w:autoSpaceDE/>
        <w:autoSpaceDN/>
        <w:bidi w:val="0"/>
        <w:adjustRightInd/>
        <w:spacing w:line="400" w:lineRule="exact"/>
        <w:ind w:left="25" w:leftChars="12" w:firstLine="310" w:firstLineChars="147"/>
        <w:textAlignment w:val="auto"/>
        <w:rPr>
          <w:rFonts w:hint="eastAsia" w:hAnsi="宋体" w:cs="宋体"/>
          <w:b/>
          <w:color w:val="auto"/>
          <w:highlight w:val="none"/>
        </w:rPr>
      </w:pPr>
      <w:r>
        <w:rPr>
          <w:rFonts w:hint="eastAsia" w:hAnsi="宋体" w:cs="宋体"/>
          <w:b/>
          <w:color w:val="auto"/>
          <w:highlight w:val="none"/>
        </w:rPr>
        <w:t>2.投诉人若委托代理人进行投诉的，投诉书应按要求列明“授权代表”的有关内容，并在附件中提交由投诉人签署的授权委托书。授权委托书应当载明代理人的姓名或者名称、代理事项、具体权限、期限和相关事项。</w:t>
      </w:r>
    </w:p>
    <w:p w14:paraId="1A1A2656">
      <w:pPr>
        <w:pStyle w:val="20"/>
        <w:keepNext w:val="0"/>
        <w:keepLines w:val="0"/>
        <w:pageBreakBefore w:val="0"/>
        <w:widowControl w:val="0"/>
        <w:kinsoku/>
        <w:wordWrap/>
        <w:overflowPunct/>
        <w:topLinePunct w:val="0"/>
        <w:autoSpaceDE/>
        <w:autoSpaceDN/>
        <w:bidi w:val="0"/>
        <w:adjustRightInd/>
        <w:spacing w:line="400" w:lineRule="exact"/>
        <w:ind w:left="25" w:leftChars="12" w:firstLine="310" w:firstLineChars="147"/>
        <w:textAlignment w:val="auto"/>
        <w:rPr>
          <w:rFonts w:hint="eastAsia" w:hAnsi="宋体" w:cs="宋体"/>
          <w:b/>
          <w:color w:val="auto"/>
          <w:highlight w:val="none"/>
        </w:rPr>
      </w:pPr>
      <w:r>
        <w:rPr>
          <w:rFonts w:hint="eastAsia" w:hAnsi="宋体" w:cs="宋体"/>
          <w:b/>
          <w:color w:val="auto"/>
          <w:highlight w:val="none"/>
        </w:rPr>
        <w:t>3.投诉书应简要列明质疑事项，质疑函、质疑答复等作为附件材料提供。</w:t>
      </w:r>
    </w:p>
    <w:p w14:paraId="3452A68D">
      <w:pPr>
        <w:pStyle w:val="20"/>
        <w:keepNext w:val="0"/>
        <w:keepLines w:val="0"/>
        <w:pageBreakBefore w:val="0"/>
        <w:widowControl w:val="0"/>
        <w:kinsoku/>
        <w:wordWrap/>
        <w:overflowPunct/>
        <w:topLinePunct w:val="0"/>
        <w:autoSpaceDE/>
        <w:autoSpaceDN/>
        <w:bidi w:val="0"/>
        <w:adjustRightInd/>
        <w:spacing w:line="400" w:lineRule="exact"/>
        <w:ind w:left="25" w:leftChars="12" w:firstLine="310" w:firstLineChars="147"/>
        <w:textAlignment w:val="auto"/>
        <w:rPr>
          <w:rFonts w:hint="eastAsia" w:hAnsi="宋体" w:cs="宋体"/>
          <w:b/>
          <w:color w:val="auto"/>
          <w:highlight w:val="none"/>
        </w:rPr>
      </w:pPr>
      <w:r>
        <w:rPr>
          <w:rFonts w:hint="eastAsia" w:hAnsi="宋体" w:cs="宋体"/>
          <w:b/>
          <w:color w:val="auto"/>
          <w:highlight w:val="none"/>
        </w:rPr>
        <w:t>4.投诉书的投诉事项应具体、明确，并有必要的事实依据和法律依据。</w:t>
      </w:r>
    </w:p>
    <w:p w14:paraId="5F151053">
      <w:pPr>
        <w:pStyle w:val="20"/>
        <w:keepNext w:val="0"/>
        <w:keepLines w:val="0"/>
        <w:pageBreakBefore w:val="0"/>
        <w:widowControl w:val="0"/>
        <w:kinsoku/>
        <w:wordWrap/>
        <w:overflowPunct/>
        <w:topLinePunct w:val="0"/>
        <w:autoSpaceDE/>
        <w:autoSpaceDN/>
        <w:bidi w:val="0"/>
        <w:adjustRightInd/>
        <w:spacing w:line="400" w:lineRule="exact"/>
        <w:ind w:left="25" w:leftChars="12" w:firstLine="310" w:firstLineChars="147"/>
        <w:textAlignment w:val="auto"/>
        <w:rPr>
          <w:rFonts w:hint="eastAsia" w:hAnsi="宋体" w:cs="宋体"/>
          <w:b/>
          <w:color w:val="auto"/>
          <w:highlight w:val="none"/>
        </w:rPr>
      </w:pPr>
      <w:r>
        <w:rPr>
          <w:rFonts w:hint="eastAsia" w:hAnsi="宋体" w:cs="宋体"/>
          <w:b/>
          <w:color w:val="auto"/>
          <w:highlight w:val="none"/>
        </w:rPr>
        <w:t>5.投诉书的投诉请求应与投诉事项相关。</w:t>
      </w:r>
    </w:p>
    <w:p w14:paraId="2A174881">
      <w:pPr>
        <w:pStyle w:val="20"/>
        <w:keepNext w:val="0"/>
        <w:keepLines w:val="0"/>
        <w:pageBreakBefore w:val="0"/>
        <w:widowControl w:val="0"/>
        <w:kinsoku/>
        <w:wordWrap/>
        <w:overflowPunct/>
        <w:topLinePunct w:val="0"/>
        <w:autoSpaceDE/>
        <w:autoSpaceDN/>
        <w:bidi w:val="0"/>
        <w:adjustRightInd/>
        <w:spacing w:line="400" w:lineRule="exact"/>
        <w:ind w:left="25" w:leftChars="12" w:firstLine="310" w:firstLineChars="147"/>
        <w:textAlignment w:val="auto"/>
        <w:rPr>
          <w:rFonts w:hint="eastAsia" w:hAnsi="宋体" w:cs="宋体"/>
          <w:b/>
          <w:color w:val="auto"/>
          <w:highlight w:val="none"/>
        </w:rPr>
      </w:pPr>
      <w:r>
        <w:rPr>
          <w:rFonts w:hint="eastAsia" w:hAnsi="宋体" w:cs="宋体"/>
          <w:b/>
          <w:color w:val="auto"/>
          <w:highlight w:val="none"/>
        </w:rPr>
        <w:t>6.投诉人为法人或者其他组织的，投诉书应由法定代表人、主要负责人，或者其授权代表签字或者盖章，并加盖公章。</w:t>
      </w:r>
      <w:bookmarkEnd w:id="1"/>
      <w:bookmarkEnd w:id="2"/>
      <w:bookmarkEnd w:id="3"/>
      <w:bookmarkEnd w:id="4"/>
    </w:p>
    <w:p w14:paraId="71653FB0">
      <w:pPr>
        <w:rPr>
          <w:rFonts w:hint="eastAsia"/>
          <w:color w:val="auto"/>
          <w:highlight w:val="none"/>
        </w:rPr>
      </w:pPr>
    </w:p>
    <w:sectPr>
      <w:footerReference r:id="rId16" w:type="first"/>
      <w:footerReference r:id="rId14" w:type="default"/>
      <w:footerReference r:id="rId15" w:type="even"/>
      <w:pgSz w:w="11906" w:h="16838"/>
      <w:pgMar w:top="1134" w:right="1247" w:bottom="1134" w:left="1417" w:header="720" w:footer="720" w:gutter="0"/>
      <w:pgNumType w:fmt="decimal"/>
      <w:cols w:space="720" w:num="1"/>
      <w:docGrid w:type="lines" w:linePitch="33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0607549E-9240-4329-A2A2-7A016A661B98}"/>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embedRegular r:id="rId2" w:fontKey="{4AD466E4-6FBC-4558-A58C-BEE1D00CA843}"/>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3" w:fontKey="{270FDE52-5B3F-407B-A01B-1483B045E46F}"/>
  </w:font>
  <w:font w:name="仿宋_GB2312">
    <w:panose1 w:val="02010609030101010101"/>
    <w:charset w:val="86"/>
    <w:family w:val="auto"/>
    <w:pitch w:val="default"/>
    <w:sig w:usb0="00000001" w:usb1="080E0000" w:usb2="00000000" w:usb3="00000000" w:csb0="00040000" w:csb1="00000000"/>
    <w:embedRegular r:id="rId4" w:fontKey="{8A32EF33-7F7D-4BE6-BEBF-717B2FF88E71}"/>
  </w:font>
  <w:font w:name="MingLiU">
    <w:altName w:val="PMingLiU-ExtB"/>
    <w:panose1 w:val="02010609000101010101"/>
    <w:charset w:val="88"/>
    <w:family w:val="modern"/>
    <w:pitch w:val="default"/>
    <w:sig w:usb0="00000000" w:usb1="00000000" w:usb2="00000010" w:usb3="00000000" w:csb0="00100000" w:csb1="00000000"/>
  </w:font>
  <w:font w:name="PMingLiU-ExtB">
    <w:panose1 w:val="02020500000000000000"/>
    <w:charset w:val="88"/>
    <w:family w:val="auto"/>
    <w:pitch w:val="default"/>
    <w:sig w:usb0="8000002F" w:usb1="02000008" w:usb2="00000000" w:usb3="00000000" w:csb0="00100001"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auto"/>
    <w:pitch w:val="default"/>
    <w:sig w:usb0="800002BF" w:usb1="38CF7CFA" w:usb2="00000016" w:usb3="00000000" w:csb0="00040001" w:csb1="00000000"/>
    <w:embedRegular r:id="rId5" w:fontKey="{6CFB65DA-5127-4871-8D43-957C158E01AA}"/>
  </w:font>
  <w:font w:name="Tahoma">
    <w:panose1 w:val="020B0604030504040204"/>
    <w:charset w:val="00"/>
    <w:family w:val="swiss"/>
    <w:pitch w:val="default"/>
    <w:sig w:usb0="E1002EFF" w:usb1="C000605B" w:usb2="00000029" w:usb3="00000000" w:csb0="200101FF" w:csb1="20280000"/>
  </w:font>
  <w:font w:name="方正仿宋_GBK">
    <w:altName w:val="微软雅黑"/>
    <w:panose1 w:val="02000000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汉仪书宋二S">
    <w:altName w:val="宋体"/>
    <w:panose1 w:val="00020600040101010101"/>
    <w:charset w:val="86"/>
    <w:family w:val="auto"/>
    <w:pitch w:val="default"/>
    <w:sig w:usb0="00000000" w:usb1="00000000" w:usb2="00000016" w:usb3="00000000" w:csb0="00040000" w:csb1="00000000"/>
    <w:embedRegular r:id="rId6" w:fontKey="{A74F0EF6-66FC-4E3F-9E7A-E16494D9FF06}"/>
  </w:font>
  <w:font w:name="Wingdings 2">
    <w:altName w:val="Wingdings"/>
    <w:panose1 w:val="05020102010507070707"/>
    <w:charset w:val="00"/>
    <w:family w:val="auto"/>
    <w:pitch w:val="default"/>
    <w:sig w:usb0="00000000" w:usb1="00000000" w:usb2="00000000" w:usb3="00000000" w:csb0="80000000" w:csb1="00000000"/>
    <w:embedRegular r:id="rId7" w:fontKey="{DF0EF572-FFDC-4F1B-B0DC-E3ECF54B50DA}"/>
  </w:font>
  <w:font w:name="东文宋体">
    <w:altName w:val="宋体"/>
    <w:panose1 w:val="00000000000000000000"/>
    <w:charset w:val="00"/>
    <w:family w:val="auto"/>
    <w:pitch w:val="default"/>
    <w:sig w:usb0="00000000" w:usb1="00000000" w:usb2="00000000" w:usb3="00000000" w:csb0="00040001" w:csb1="00000000"/>
    <w:embedRegular r:id="rId8" w:fontKey="{E483A7BF-92D0-4283-948A-AFED32F76B12}"/>
  </w:font>
  <w:font w:name="楷体">
    <w:panose1 w:val="02010609060101010101"/>
    <w:charset w:val="86"/>
    <w:family w:val="modern"/>
    <w:pitch w:val="default"/>
    <w:sig w:usb0="800002BF" w:usb1="38CF7CFA" w:usb2="00000016" w:usb3="00000000" w:csb0="00040001" w:csb1="00000000"/>
    <w:embedRegular r:id="rId9" w:fontKey="{60DF3818-AE35-40AD-8731-28F1D11EC9D3}"/>
  </w:font>
  <w:font w:name="MS PGothic">
    <w:panose1 w:val="020B0600070205080204"/>
    <w:charset w:val="80"/>
    <w:family w:val="auto"/>
    <w:pitch w:val="default"/>
    <w:sig w:usb0="E00002FF" w:usb1="6AC7FDFB" w:usb2="08000012" w:usb3="00000000" w:csb0="4002009F" w:csb1="DFD70000"/>
  </w:font>
  <w:font w:name="Kingsoft U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KSOFD8A28030">
    <w:panose1 w:val="020B0503020204020204"/>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885BB1">
    <w:pPr>
      <w:pStyle w:val="25"/>
      <w:jc w:val="center"/>
    </w:pPr>
  </w:p>
  <w:p w14:paraId="0AAA02BA">
    <w:pPr>
      <w:pStyle w:val="25"/>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697DCC">
    <w:pPr>
      <w:pStyle w:val="25"/>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FCB5397">
                          <w:pPr>
                            <w:pStyle w:val="25"/>
                          </w:pPr>
                          <w:r>
                            <w:fldChar w:fldCharType="begin"/>
                          </w:r>
                          <w:r>
                            <w:instrText xml:space="preserve"> PAGE  \* MERGEFORMAT </w:instrText>
                          </w:r>
                          <w:r>
                            <w:fldChar w:fldCharType="separate"/>
                          </w:r>
                          <w:r>
                            <w:t>77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14:paraId="4FCB5397">
                    <w:pPr>
                      <w:pStyle w:val="25"/>
                    </w:pPr>
                    <w:r>
                      <w:fldChar w:fldCharType="begin"/>
                    </w:r>
                    <w:r>
                      <w:instrText xml:space="preserve"> PAGE  \* MERGEFORMAT </w:instrText>
                    </w:r>
                    <w:r>
                      <w:fldChar w:fldCharType="separate"/>
                    </w:r>
                    <w:r>
                      <w:t>77</w:t>
                    </w:r>
                    <w: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85C367">
    <w:pPr>
      <w:pStyle w:val="25"/>
      <w:framePr w:wrap="around" w:vAnchor="text" w:hAnchor="margin" w:xAlign="center" w:y="1"/>
      <w:rPr>
        <w:rStyle w:val="43"/>
      </w:rPr>
    </w:pPr>
    <w:r>
      <w:fldChar w:fldCharType="begin"/>
    </w:r>
    <w:r>
      <w:rPr>
        <w:rStyle w:val="43"/>
      </w:rPr>
      <w:instrText xml:space="preserve">PAGE  </w:instrText>
    </w:r>
    <w:r>
      <w:fldChar w:fldCharType="end"/>
    </w:r>
  </w:p>
  <w:p w14:paraId="7E082ECD">
    <w:pPr>
      <w:pStyle w:val="25"/>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B7F432">
    <w:pPr>
      <w:pStyle w:val="25"/>
      <w:framePr w:wrap="around" w:vAnchor="text" w:hAnchor="margin" w:xAlign="right" w:y="1"/>
      <w:rPr>
        <w:rStyle w:val="43"/>
      </w:rPr>
    </w:pPr>
    <w:r>
      <w:fldChar w:fldCharType="begin"/>
    </w:r>
    <w:r>
      <w:rPr>
        <w:rStyle w:val="43"/>
      </w:rPr>
      <w:instrText xml:space="preserve">PAGE  </w:instrText>
    </w:r>
    <w:r>
      <w:fldChar w:fldCharType="separate"/>
    </w:r>
    <w:r>
      <w:rPr>
        <w:rStyle w:val="43"/>
      </w:rPr>
      <w:t>122</w:t>
    </w:r>
    <w:r>
      <w:fldChar w:fldCharType="end"/>
    </w:r>
  </w:p>
  <w:p w14:paraId="6C8A2E0A">
    <w:pPr>
      <w:pStyle w:val="25"/>
      <w:ind w:right="360"/>
      <w:jc w:val="both"/>
      <w:rPr>
        <w:rFonts w:hint="eastAsia"/>
      </w:rPr>
    </w:pPr>
    <w:r>
      <w:rPr>
        <w:rFonts w:hint="eastAsia"/>
      </w:rPr>
      <w:t>121</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01E3DB">
    <w:pPr>
      <w:pStyle w:val="25"/>
      <w:framePr w:wrap="around" w:vAnchor="text" w:hAnchor="margin" w:xAlign="center" w:y="1"/>
      <w:rPr>
        <w:rStyle w:val="43"/>
      </w:rPr>
    </w:pPr>
    <w:r>
      <w:fldChar w:fldCharType="begin"/>
    </w:r>
    <w:r>
      <w:rPr>
        <w:rStyle w:val="43"/>
      </w:rPr>
      <w:instrText xml:space="preserve">PAGE  </w:instrText>
    </w:r>
    <w:r>
      <w:fldChar w:fldCharType="end"/>
    </w:r>
  </w:p>
  <w:p w14:paraId="73E53B3F">
    <w:pPr>
      <w:pStyle w:val="2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7CBD19">
    <w:pPr>
      <w:pStyle w:val="25"/>
      <w:ind w:right="360"/>
      <w:jc w:val="both"/>
      <w:rPr>
        <w:rFonts w:hint="eastAsia"/>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793010">
    <w:pPr>
      <w:pStyle w:val="25"/>
      <w:jc w:val="center"/>
    </w:pPr>
  </w:p>
  <w:p w14:paraId="2A752551">
    <w:pPr>
      <w:pStyle w:val="25"/>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8617D9">
    <w:pPr>
      <w:pStyle w:val="25"/>
      <w:jc w:val="cente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663A30B">
                          <w:pPr>
                            <w:pStyle w:val="25"/>
                          </w:pPr>
                          <w:r>
                            <w:fldChar w:fldCharType="begin"/>
                          </w:r>
                          <w:r>
                            <w:instrText xml:space="preserve"> PAGE  \* MERGEFORMAT </w:instrText>
                          </w:r>
                          <w:r>
                            <w:fldChar w:fldCharType="separate"/>
                          </w:r>
                          <w:r>
                            <w:t>46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0663A30B">
                    <w:pPr>
                      <w:pStyle w:val="25"/>
                    </w:pPr>
                    <w:r>
                      <w:fldChar w:fldCharType="begin"/>
                    </w:r>
                    <w:r>
                      <w:instrText xml:space="preserve"> PAGE  \* MERGEFORMAT </w:instrText>
                    </w:r>
                    <w:r>
                      <w:fldChar w:fldCharType="separate"/>
                    </w:r>
                    <w:r>
                      <w:t>46</w:t>
                    </w:r>
                    <w:r>
                      <w:fldChar w:fldCharType="end"/>
                    </w:r>
                  </w:p>
                </w:txbxContent>
              </v:textbox>
            </v:shape>
          </w:pict>
        </mc:Fallback>
      </mc:AlternateContent>
    </w:r>
  </w:p>
  <w:p w14:paraId="35F0B7A2">
    <w:pPr>
      <w:pStyle w:val="25"/>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2D07AA">
    <w:pPr>
      <w:pStyle w:val="25"/>
      <w:ind w:right="360"/>
      <w:jc w:val="both"/>
      <w:rPr>
        <w:rFonts w:hint="eastAsia"/>
      </w:rP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1FD0FA0">
                          <w:pPr>
                            <w:pStyle w:val="25"/>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DNJQgnIAQAAmQMAAA4AAAAAAAAAAQAgAAAAHgEAAGRycy9lMm9Eb2Mu&#10;eG1sUEsFBgAAAAAGAAYAWQEAAFgFAAAAAA==&#10;">
              <v:fill on="f" focussize="0,0"/>
              <v:stroke on="f"/>
              <v:imagedata o:title=""/>
              <o:lock v:ext="edit" aspectratio="f"/>
              <v:textbox inset="0mm,0mm,0mm,0mm" style="mso-fit-shape-to-text:t;">
                <w:txbxContent>
                  <w:p w14:paraId="61FD0FA0">
                    <w:pPr>
                      <w:pStyle w:val="25"/>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814B48">
    <w:pPr>
      <w:pStyle w:val="25"/>
      <w:jc w:val="cente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D95AF00">
                          <w:pPr>
                            <w:pStyle w:val="25"/>
                          </w:pPr>
                          <w:r>
                            <w:fldChar w:fldCharType="begin"/>
                          </w:r>
                          <w:r>
                            <w:instrText xml:space="preserve"> PAGE  \* MERGEFORMAT </w:instrText>
                          </w:r>
                          <w:r>
                            <w:fldChar w:fldCharType="separate"/>
                          </w:r>
                          <w:r>
                            <w:t>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0D95AF00">
                    <w:pPr>
                      <w:pStyle w:val="25"/>
                    </w:pPr>
                    <w:r>
                      <w:fldChar w:fldCharType="begin"/>
                    </w:r>
                    <w:r>
                      <w:instrText xml:space="preserve"> PAGE  \* MERGEFORMAT </w:instrText>
                    </w:r>
                    <w:r>
                      <w:fldChar w:fldCharType="separate"/>
                    </w:r>
                    <w:r>
                      <w:t>0</w:t>
                    </w:r>
                    <w:r>
                      <w:fldChar w:fldCharType="end"/>
                    </w:r>
                  </w:p>
                </w:txbxContent>
              </v:textbox>
            </v:shape>
          </w:pict>
        </mc:Fallback>
      </mc:AlternateContent>
    </w:r>
  </w:p>
  <w:p w14:paraId="4C64B487">
    <w:pPr>
      <w:pStyle w:val="25"/>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1BFA83">
    <w:pPr>
      <w:pStyle w:val="25"/>
      <w:framePr w:wrap="around" w:vAnchor="text" w:hAnchor="margin" w:xAlign="center" w:y="1"/>
      <w:rPr>
        <w:rStyle w:val="43"/>
      </w:rPr>
    </w:pPr>
    <w:r>
      <w:fldChar w:fldCharType="begin"/>
    </w:r>
    <w:r>
      <w:rPr>
        <w:rStyle w:val="43"/>
      </w:rPr>
      <w:instrText xml:space="preserve">PAGE  </w:instrText>
    </w:r>
    <w:r>
      <w:fldChar w:fldCharType="end"/>
    </w:r>
  </w:p>
  <w:p w14:paraId="37D677C8">
    <w:pPr>
      <w:pStyle w:val="25"/>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D36320">
    <w:pPr>
      <w:pStyle w:val="25"/>
      <w:ind w:right="360"/>
      <w:jc w:val="both"/>
      <w:rPr>
        <w:rFonts w:hint="eastAsia"/>
      </w:rPr>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6770A6F">
                          <w:pPr>
                            <w:pStyle w:val="25"/>
                          </w:pPr>
                          <w:r>
                            <w:fldChar w:fldCharType="begin"/>
                          </w:r>
                          <w:r>
                            <w:instrText xml:space="preserve"> PAGE  \* MERGEFORMAT </w:instrText>
                          </w:r>
                          <w:r>
                            <w:fldChar w:fldCharType="separate"/>
                          </w:r>
                          <w:r>
                            <w:t>76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06770A6F">
                    <w:pPr>
                      <w:pStyle w:val="25"/>
                    </w:pPr>
                    <w:r>
                      <w:fldChar w:fldCharType="begin"/>
                    </w:r>
                    <w:r>
                      <w:instrText xml:space="preserve"> PAGE  \* MERGEFORMAT </w:instrText>
                    </w:r>
                    <w:r>
                      <w:fldChar w:fldCharType="separate"/>
                    </w:r>
                    <w:r>
                      <w:t>76</w:t>
                    </w:r>
                    <w:r>
                      <w:fldChar w:fldCharType="end"/>
                    </w:r>
                  </w:p>
                </w:txbxContent>
              </v:textbox>
            </v:shape>
          </w:pict>
        </mc:Fallback>
      </mc:AlternateContent>
    </w:r>
    <w:r>
      <w:rPr>
        <w:rFonts w:hint="eastAsia"/>
      </w:rPr>
      <w:t>121</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878A89">
    <w:pPr>
      <w:pStyle w:val="26"/>
      <w:pBdr>
        <w:bottom w:val="none" w:color="auto" w:sz="0" w:space="0"/>
      </w:pBdr>
      <w:tabs>
        <w:tab w:val="center" w:pos="0"/>
        <w:tab w:val="left" w:pos="8306"/>
        <w:tab w:val="clear" w:pos="4153"/>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B1B792">
    <w:pPr>
      <w:pStyle w:val="26"/>
      <w:pBdr>
        <w:bottom w:val="none" w:color="auto" w:sz="0" w:space="0"/>
      </w:pBdr>
      <w:tabs>
        <w:tab w:val="center" w:pos="0"/>
        <w:tab w:val="left" w:pos="8306"/>
        <w:tab w:val="clear" w:pos="4153"/>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20CDB86"/>
    <w:multiLevelType w:val="singleLevel"/>
    <w:tmpl w:val="120CDB86"/>
    <w:lvl w:ilvl="0" w:tentative="0">
      <w:start w:val="2"/>
      <w:numFmt w:val="decimal"/>
      <w:suff w:val="nothing"/>
      <w:lvlText w:val="（%1）"/>
      <w:lvlJc w:val="left"/>
    </w:lvl>
  </w:abstractNum>
  <w:abstractNum w:abstractNumId="1">
    <w:nsid w:val="4C601917"/>
    <w:multiLevelType w:val="singleLevel"/>
    <w:tmpl w:val="4C601917"/>
    <w:lvl w:ilvl="0" w:tentative="0">
      <w:start w:val="1"/>
      <w:numFmt w:val="decimal"/>
      <w:suff w:val="nothing"/>
      <w:lvlText w:val="（%1）"/>
      <w:lvlJc w:val="left"/>
    </w:lvl>
  </w:abstractNum>
  <w:abstractNum w:abstractNumId="2">
    <w:nsid w:val="5FABD14B"/>
    <w:multiLevelType w:val="singleLevel"/>
    <w:tmpl w:val="5FABD14B"/>
    <w:lvl w:ilvl="0" w:tentative="0">
      <w:start w:val="1"/>
      <w:numFmt w:val="decimal"/>
      <w:suff w:val="nothing"/>
      <w:lvlText w:val="（%1）"/>
      <w:lvlJc w:val="left"/>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attachedTemplate r:id="rId1"/>
  <w:documentProtection w:enforcement="0"/>
  <w:defaultTabStop w:val="420"/>
  <w:hyphenationZone w:val="360"/>
  <w:drawingGridHorizontalSpacing w:val="105"/>
  <w:drawingGridVerticalSpacing w:val="331"/>
  <w:displayHorizontalDrawingGridEvery w:val="1"/>
  <w:displayVerticalDrawingGridEvery w:val="1"/>
  <w:noPunctuationKerning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AwMGM5NzNkMGFmZjdmNjdmOTliN2YyNmZmOTBjMmUifQ=="/>
    <w:docVar w:name="KSO_WPS_MARK_KEY" w:val="34a85f2c-7737-46bb-95af-ad2512184d9f"/>
  </w:docVars>
  <w:rsids>
    <w:rsidRoot w:val="08171363"/>
    <w:rsid w:val="0000096C"/>
    <w:rsid w:val="00000CDB"/>
    <w:rsid w:val="00001CDA"/>
    <w:rsid w:val="00004344"/>
    <w:rsid w:val="00005909"/>
    <w:rsid w:val="000207D5"/>
    <w:rsid w:val="00022127"/>
    <w:rsid w:val="00024E82"/>
    <w:rsid w:val="00027659"/>
    <w:rsid w:val="00030800"/>
    <w:rsid w:val="00031652"/>
    <w:rsid w:val="00034A7D"/>
    <w:rsid w:val="00035197"/>
    <w:rsid w:val="00035F9C"/>
    <w:rsid w:val="000401CD"/>
    <w:rsid w:val="000404B0"/>
    <w:rsid w:val="0004235B"/>
    <w:rsid w:val="00044EDB"/>
    <w:rsid w:val="00051641"/>
    <w:rsid w:val="00054304"/>
    <w:rsid w:val="000553BC"/>
    <w:rsid w:val="00056551"/>
    <w:rsid w:val="0006218D"/>
    <w:rsid w:val="00063F24"/>
    <w:rsid w:val="00065AF0"/>
    <w:rsid w:val="00066EA9"/>
    <w:rsid w:val="00066FE1"/>
    <w:rsid w:val="00074D5F"/>
    <w:rsid w:val="00076A60"/>
    <w:rsid w:val="00077BF5"/>
    <w:rsid w:val="00081789"/>
    <w:rsid w:val="00085A0D"/>
    <w:rsid w:val="00092A54"/>
    <w:rsid w:val="00092F65"/>
    <w:rsid w:val="0009317E"/>
    <w:rsid w:val="00093B18"/>
    <w:rsid w:val="000946EB"/>
    <w:rsid w:val="00094E84"/>
    <w:rsid w:val="000A6432"/>
    <w:rsid w:val="000A7A4B"/>
    <w:rsid w:val="000B5A03"/>
    <w:rsid w:val="000B7B3B"/>
    <w:rsid w:val="000C1DCC"/>
    <w:rsid w:val="000C302E"/>
    <w:rsid w:val="000C5D44"/>
    <w:rsid w:val="000D5F48"/>
    <w:rsid w:val="000D7284"/>
    <w:rsid w:val="000E6783"/>
    <w:rsid w:val="000F1BBE"/>
    <w:rsid w:val="001031E7"/>
    <w:rsid w:val="00104245"/>
    <w:rsid w:val="001108AC"/>
    <w:rsid w:val="00110A97"/>
    <w:rsid w:val="00110DD2"/>
    <w:rsid w:val="00111240"/>
    <w:rsid w:val="0011187C"/>
    <w:rsid w:val="00116FC9"/>
    <w:rsid w:val="00120C46"/>
    <w:rsid w:val="001251B9"/>
    <w:rsid w:val="00125837"/>
    <w:rsid w:val="001306A8"/>
    <w:rsid w:val="00140B14"/>
    <w:rsid w:val="00140CE8"/>
    <w:rsid w:val="00141619"/>
    <w:rsid w:val="00143DA6"/>
    <w:rsid w:val="00151CEE"/>
    <w:rsid w:val="0015209C"/>
    <w:rsid w:val="001551E7"/>
    <w:rsid w:val="001552B2"/>
    <w:rsid w:val="00155890"/>
    <w:rsid w:val="00170AA7"/>
    <w:rsid w:val="00173852"/>
    <w:rsid w:val="00174F9B"/>
    <w:rsid w:val="00177D95"/>
    <w:rsid w:val="00181460"/>
    <w:rsid w:val="00182C28"/>
    <w:rsid w:val="00190F4C"/>
    <w:rsid w:val="00193D49"/>
    <w:rsid w:val="0019577E"/>
    <w:rsid w:val="001B1366"/>
    <w:rsid w:val="001B2BDE"/>
    <w:rsid w:val="001B2FAE"/>
    <w:rsid w:val="001C097E"/>
    <w:rsid w:val="001C2516"/>
    <w:rsid w:val="001C2E44"/>
    <w:rsid w:val="001D047F"/>
    <w:rsid w:val="001D758B"/>
    <w:rsid w:val="001E0216"/>
    <w:rsid w:val="001E0590"/>
    <w:rsid w:val="001E3E3A"/>
    <w:rsid w:val="001E484E"/>
    <w:rsid w:val="001E4E53"/>
    <w:rsid w:val="001E6153"/>
    <w:rsid w:val="001E6C5D"/>
    <w:rsid w:val="001E7AB6"/>
    <w:rsid w:val="001F330A"/>
    <w:rsid w:val="001F4D3C"/>
    <w:rsid w:val="001F6F77"/>
    <w:rsid w:val="00201770"/>
    <w:rsid w:val="00202F39"/>
    <w:rsid w:val="00204164"/>
    <w:rsid w:val="00204F25"/>
    <w:rsid w:val="00205999"/>
    <w:rsid w:val="00207350"/>
    <w:rsid w:val="00207DB7"/>
    <w:rsid w:val="00213B47"/>
    <w:rsid w:val="00221909"/>
    <w:rsid w:val="002230A4"/>
    <w:rsid w:val="0022698C"/>
    <w:rsid w:val="00227913"/>
    <w:rsid w:val="00231EAB"/>
    <w:rsid w:val="00232E04"/>
    <w:rsid w:val="00236055"/>
    <w:rsid w:val="00236B7D"/>
    <w:rsid w:val="00241686"/>
    <w:rsid w:val="00242C6C"/>
    <w:rsid w:val="00244627"/>
    <w:rsid w:val="002563B4"/>
    <w:rsid w:val="0025753A"/>
    <w:rsid w:val="00262C01"/>
    <w:rsid w:val="00270BE1"/>
    <w:rsid w:val="002738BD"/>
    <w:rsid w:val="0027629D"/>
    <w:rsid w:val="00281099"/>
    <w:rsid w:val="002867CF"/>
    <w:rsid w:val="00293976"/>
    <w:rsid w:val="00297271"/>
    <w:rsid w:val="002B3400"/>
    <w:rsid w:val="002B4610"/>
    <w:rsid w:val="002C0483"/>
    <w:rsid w:val="002C1328"/>
    <w:rsid w:val="002C2756"/>
    <w:rsid w:val="002C27F2"/>
    <w:rsid w:val="002C38A0"/>
    <w:rsid w:val="002C7DD7"/>
    <w:rsid w:val="002D0079"/>
    <w:rsid w:val="002D05BB"/>
    <w:rsid w:val="002D2EF2"/>
    <w:rsid w:val="002D5E57"/>
    <w:rsid w:val="002E0A18"/>
    <w:rsid w:val="002E6BA4"/>
    <w:rsid w:val="002E7EA0"/>
    <w:rsid w:val="002F320A"/>
    <w:rsid w:val="002F55FD"/>
    <w:rsid w:val="002F667D"/>
    <w:rsid w:val="003014B1"/>
    <w:rsid w:val="003051FD"/>
    <w:rsid w:val="00305816"/>
    <w:rsid w:val="00315EB2"/>
    <w:rsid w:val="003162D6"/>
    <w:rsid w:val="00316994"/>
    <w:rsid w:val="0031699F"/>
    <w:rsid w:val="00320B19"/>
    <w:rsid w:val="00322C10"/>
    <w:rsid w:val="00327461"/>
    <w:rsid w:val="00330EE9"/>
    <w:rsid w:val="003331F5"/>
    <w:rsid w:val="00337A9F"/>
    <w:rsid w:val="00344631"/>
    <w:rsid w:val="00346976"/>
    <w:rsid w:val="00347950"/>
    <w:rsid w:val="00350024"/>
    <w:rsid w:val="00353905"/>
    <w:rsid w:val="00355191"/>
    <w:rsid w:val="00366E54"/>
    <w:rsid w:val="0037075A"/>
    <w:rsid w:val="00371C87"/>
    <w:rsid w:val="00380673"/>
    <w:rsid w:val="003809BA"/>
    <w:rsid w:val="00384EB6"/>
    <w:rsid w:val="003868E3"/>
    <w:rsid w:val="0039417D"/>
    <w:rsid w:val="003A3917"/>
    <w:rsid w:val="003A622A"/>
    <w:rsid w:val="003B031E"/>
    <w:rsid w:val="003B31F1"/>
    <w:rsid w:val="003B38DA"/>
    <w:rsid w:val="003B7C9A"/>
    <w:rsid w:val="003C027A"/>
    <w:rsid w:val="003C393F"/>
    <w:rsid w:val="003D3465"/>
    <w:rsid w:val="003D478D"/>
    <w:rsid w:val="003D7400"/>
    <w:rsid w:val="003E0AD4"/>
    <w:rsid w:val="003E1425"/>
    <w:rsid w:val="003E64C1"/>
    <w:rsid w:val="003F1067"/>
    <w:rsid w:val="003F1F9C"/>
    <w:rsid w:val="003F7B0D"/>
    <w:rsid w:val="004029ED"/>
    <w:rsid w:val="00403AA3"/>
    <w:rsid w:val="0040651A"/>
    <w:rsid w:val="00431C3B"/>
    <w:rsid w:val="00435268"/>
    <w:rsid w:val="0044023A"/>
    <w:rsid w:val="004437ED"/>
    <w:rsid w:val="00443922"/>
    <w:rsid w:val="0044600A"/>
    <w:rsid w:val="00447BDE"/>
    <w:rsid w:val="00450ADB"/>
    <w:rsid w:val="00452102"/>
    <w:rsid w:val="004531C4"/>
    <w:rsid w:val="00455C16"/>
    <w:rsid w:val="0046694A"/>
    <w:rsid w:val="0046760D"/>
    <w:rsid w:val="00467833"/>
    <w:rsid w:val="00474447"/>
    <w:rsid w:val="004771BA"/>
    <w:rsid w:val="004820E2"/>
    <w:rsid w:val="004853B6"/>
    <w:rsid w:val="004861BA"/>
    <w:rsid w:val="00486E44"/>
    <w:rsid w:val="0049027F"/>
    <w:rsid w:val="004925A4"/>
    <w:rsid w:val="004929AD"/>
    <w:rsid w:val="004A0443"/>
    <w:rsid w:val="004A0E38"/>
    <w:rsid w:val="004A5F2A"/>
    <w:rsid w:val="004A6736"/>
    <w:rsid w:val="004B49D2"/>
    <w:rsid w:val="004C5B3E"/>
    <w:rsid w:val="004C75A0"/>
    <w:rsid w:val="004D5AF4"/>
    <w:rsid w:val="004D6E99"/>
    <w:rsid w:val="004E126C"/>
    <w:rsid w:val="004F5BCD"/>
    <w:rsid w:val="004F68CF"/>
    <w:rsid w:val="005033B8"/>
    <w:rsid w:val="00503A40"/>
    <w:rsid w:val="00506840"/>
    <w:rsid w:val="00511A25"/>
    <w:rsid w:val="00516FAA"/>
    <w:rsid w:val="00517D40"/>
    <w:rsid w:val="00520861"/>
    <w:rsid w:val="00521880"/>
    <w:rsid w:val="00525C35"/>
    <w:rsid w:val="005279FB"/>
    <w:rsid w:val="00532BF5"/>
    <w:rsid w:val="0053541C"/>
    <w:rsid w:val="005458AD"/>
    <w:rsid w:val="0054778A"/>
    <w:rsid w:val="0055409E"/>
    <w:rsid w:val="00554A36"/>
    <w:rsid w:val="00562514"/>
    <w:rsid w:val="00564C6D"/>
    <w:rsid w:val="005707EB"/>
    <w:rsid w:val="00570DF9"/>
    <w:rsid w:val="005739CF"/>
    <w:rsid w:val="00576E04"/>
    <w:rsid w:val="0057733C"/>
    <w:rsid w:val="00581AC2"/>
    <w:rsid w:val="00583AC0"/>
    <w:rsid w:val="00584BFC"/>
    <w:rsid w:val="005873D0"/>
    <w:rsid w:val="005917A6"/>
    <w:rsid w:val="005932B6"/>
    <w:rsid w:val="00596F89"/>
    <w:rsid w:val="005B53A3"/>
    <w:rsid w:val="005C06FA"/>
    <w:rsid w:val="005C5049"/>
    <w:rsid w:val="005D54D6"/>
    <w:rsid w:val="005D6CCE"/>
    <w:rsid w:val="005E671C"/>
    <w:rsid w:val="005F6F86"/>
    <w:rsid w:val="00600743"/>
    <w:rsid w:val="006048A4"/>
    <w:rsid w:val="00605362"/>
    <w:rsid w:val="006064F7"/>
    <w:rsid w:val="006068F0"/>
    <w:rsid w:val="00606C3B"/>
    <w:rsid w:val="00621C19"/>
    <w:rsid w:val="00622C28"/>
    <w:rsid w:val="00626CA8"/>
    <w:rsid w:val="006271A0"/>
    <w:rsid w:val="006301C4"/>
    <w:rsid w:val="00630567"/>
    <w:rsid w:val="00631BAB"/>
    <w:rsid w:val="006324D3"/>
    <w:rsid w:val="00636B69"/>
    <w:rsid w:val="006406A8"/>
    <w:rsid w:val="00640B4E"/>
    <w:rsid w:val="00641D5B"/>
    <w:rsid w:val="00644AAD"/>
    <w:rsid w:val="00647270"/>
    <w:rsid w:val="0065223B"/>
    <w:rsid w:val="00653CDE"/>
    <w:rsid w:val="00656442"/>
    <w:rsid w:val="00661DA0"/>
    <w:rsid w:val="006632E6"/>
    <w:rsid w:val="0066542F"/>
    <w:rsid w:val="00670E85"/>
    <w:rsid w:val="0067703D"/>
    <w:rsid w:val="00677CAF"/>
    <w:rsid w:val="006831E3"/>
    <w:rsid w:val="006867BB"/>
    <w:rsid w:val="00691B1A"/>
    <w:rsid w:val="006933B8"/>
    <w:rsid w:val="00695425"/>
    <w:rsid w:val="006A101B"/>
    <w:rsid w:val="006A6DC8"/>
    <w:rsid w:val="006C015A"/>
    <w:rsid w:val="006C2360"/>
    <w:rsid w:val="006C55A9"/>
    <w:rsid w:val="006C5999"/>
    <w:rsid w:val="006D0A1B"/>
    <w:rsid w:val="006D6A62"/>
    <w:rsid w:val="006E4D05"/>
    <w:rsid w:val="006F0015"/>
    <w:rsid w:val="00707FF2"/>
    <w:rsid w:val="00712AF4"/>
    <w:rsid w:val="00715456"/>
    <w:rsid w:val="00717D53"/>
    <w:rsid w:val="0072351B"/>
    <w:rsid w:val="00730FBB"/>
    <w:rsid w:val="0073261C"/>
    <w:rsid w:val="00736625"/>
    <w:rsid w:val="00744B4B"/>
    <w:rsid w:val="00745BFF"/>
    <w:rsid w:val="0074683F"/>
    <w:rsid w:val="007549ED"/>
    <w:rsid w:val="0075643C"/>
    <w:rsid w:val="00756DD1"/>
    <w:rsid w:val="00757B36"/>
    <w:rsid w:val="00761289"/>
    <w:rsid w:val="00761EA6"/>
    <w:rsid w:val="00767154"/>
    <w:rsid w:val="007728DC"/>
    <w:rsid w:val="00773B6C"/>
    <w:rsid w:val="00773FEE"/>
    <w:rsid w:val="00781DF2"/>
    <w:rsid w:val="00790B95"/>
    <w:rsid w:val="007937A3"/>
    <w:rsid w:val="007B4684"/>
    <w:rsid w:val="007C09EA"/>
    <w:rsid w:val="007C2309"/>
    <w:rsid w:val="007C3B9F"/>
    <w:rsid w:val="007C4D61"/>
    <w:rsid w:val="007D5273"/>
    <w:rsid w:val="007D6581"/>
    <w:rsid w:val="007D6EBC"/>
    <w:rsid w:val="007F0A33"/>
    <w:rsid w:val="007F1D2B"/>
    <w:rsid w:val="007F4D7D"/>
    <w:rsid w:val="007F717F"/>
    <w:rsid w:val="00817450"/>
    <w:rsid w:val="008176CE"/>
    <w:rsid w:val="008204EB"/>
    <w:rsid w:val="008232D5"/>
    <w:rsid w:val="00823F88"/>
    <w:rsid w:val="0082700E"/>
    <w:rsid w:val="008300D6"/>
    <w:rsid w:val="00843D45"/>
    <w:rsid w:val="00852105"/>
    <w:rsid w:val="0085544C"/>
    <w:rsid w:val="008604A4"/>
    <w:rsid w:val="008606F1"/>
    <w:rsid w:val="00860D9E"/>
    <w:rsid w:val="00862516"/>
    <w:rsid w:val="0086784A"/>
    <w:rsid w:val="008811BB"/>
    <w:rsid w:val="00884C48"/>
    <w:rsid w:val="008953F8"/>
    <w:rsid w:val="0089747C"/>
    <w:rsid w:val="008974F2"/>
    <w:rsid w:val="008A2903"/>
    <w:rsid w:val="008A6ED3"/>
    <w:rsid w:val="008A7438"/>
    <w:rsid w:val="008B5614"/>
    <w:rsid w:val="008C3744"/>
    <w:rsid w:val="008C4798"/>
    <w:rsid w:val="008D3FFB"/>
    <w:rsid w:val="008D43F8"/>
    <w:rsid w:val="008D5DE5"/>
    <w:rsid w:val="008D7AB4"/>
    <w:rsid w:val="008E268A"/>
    <w:rsid w:val="008E3451"/>
    <w:rsid w:val="008E53FF"/>
    <w:rsid w:val="00904A9B"/>
    <w:rsid w:val="00905884"/>
    <w:rsid w:val="00920D6C"/>
    <w:rsid w:val="009276D5"/>
    <w:rsid w:val="0093775E"/>
    <w:rsid w:val="00942D58"/>
    <w:rsid w:val="00942FDE"/>
    <w:rsid w:val="00952863"/>
    <w:rsid w:val="009528FA"/>
    <w:rsid w:val="0096166D"/>
    <w:rsid w:val="00986C7E"/>
    <w:rsid w:val="009911B9"/>
    <w:rsid w:val="009924D4"/>
    <w:rsid w:val="009961B0"/>
    <w:rsid w:val="009963BC"/>
    <w:rsid w:val="009A6C00"/>
    <w:rsid w:val="009B644A"/>
    <w:rsid w:val="009B67C7"/>
    <w:rsid w:val="009C3D9F"/>
    <w:rsid w:val="009C60E6"/>
    <w:rsid w:val="009D594D"/>
    <w:rsid w:val="009D5E30"/>
    <w:rsid w:val="009D64B0"/>
    <w:rsid w:val="009D78FE"/>
    <w:rsid w:val="009E0DF2"/>
    <w:rsid w:val="009E2765"/>
    <w:rsid w:val="009E2C4C"/>
    <w:rsid w:val="009E509B"/>
    <w:rsid w:val="009E5F55"/>
    <w:rsid w:val="009F48CE"/>
    <w:rsid w:val="009F5431"/>
    <w:rsid w:val="009F5C57"/>
    <w:rsid w:val="00A079C6"/>
    <w:rsid w:val="00A11791"/>
    <w:rsid w:val="00A15437"/>
    <w:rsid w:val="00A207B9"/>
    <w:rsid w:val="00A317A2"/>
    <w:rsid w:val="00A31C07"/>
    <w:rsid w:val="00A31E32"/>
    <w:rsid w:val="00A35D90"/>
    <w:rsid w:val="00A36574"/>
    <w:rsid w:val="00A37DDB"/>
    <w:rsid w:val="00A37ECC"/>
    <w:rsid w:val="00A41DC7"/>
    <w:rsid w:val="00A4364F"/>
    <w:rsid w:val="00A5424F"/>
    <w:rsid w:val="00A54EBE"/>
    <w:rsid w:val="00A56CB5"/>
    <w:rsid w:val="00A64717"/>
    <w:rsid w:val="00A748C9"/>
    <w:rsid w:val="00A77398"/>
    <w:rsid w:val="00A80C51"/>
    <w:rsid w:val="00A81EDF"/>
    <w:rsid w:val="00A83A62"/>
    <w:rsid w:val="00A929CC"/>
    <w:rsid w:val="00A9536F"/>
    <w:rsid w:val="00A95495"/>
    <w:rsid w:val="00A955F2"/>
    <w:rsid w:val="00A975B7"/>
    <w:rsid w:val="00AA0FBE"/>
    <w:rsid w:val="00AA4479"/>
    <w:rsid w:val="00AA48D1"/>
    <w:rsid w:val="00AB7E31"/>
    <w:rsid w:val="00AC1E51"/>
    <w:rsid w:val="00AD2F5B"/>
    <w:rsid w:val="00AD464B"/>
    <w:rsid w:val="00AD6A4F"/>
    <w:rsid w:val="00AD7E81"/>
    <w:rsid w:val="00AE0FF5"/>
    <w:rsid w:val="00AE127D"/>
    <w:rsid w:val="00AF12E5"/>
    <w:rsid w:val="00AF1624"/>
    <w:rsid w:val="00AF7D70"/>
    <w:rsid w:val="00B017FE"/>
    <w:rsid w:val="00B05D04"/>
    <w:rsid w:val="00B17E63"/>
    <w:rsid w:val="00B17F7F"/>
    <w:rsid w:val="00B20869"/>
    <w:rsid w:val="00B211ED"/>
    <w:rsid w:val="00B319D0"/>
    <w:rsid w:val="00B31F82"/>
    <w:rsid w:val="00B33AE6"/>
    <w:rsid w:val="00B33B3B"/>
    <w:rsid w:val="00B52B37"/>
    <w:rsid w:val="00B548FD"/>
    <w:rsid w:val="00B556FB"/>
    <w:rsid w:val="00B56361"/>
    <w:rsid w:val="00B61746"/>
    <w:rsid w:val="00B62005"/>
    <w:rsid w:val="00B67234"/>
    <w:rsid w:val="00B67934"/>
    <w:rsid w:val="00B76FFB"/>
    <w:rsid w:val="00B7795B"/>
    <w:rsid w:val="00B77961"/>
    <w:rsid w:val="00B803FE"/>
    <w:rsid w:val="00B84C74"/>
    <w:rsid w:val="00B94CF1"/>
    <w:rsid w:val="00BA2379"/>
    <w:rsid w:val="00BA6F13"/>
    <w:rsid w:val="00BB3A8E"/>
    <w:rsid w:val="00BB5CD0"/>
    <w:rsid w:val="00BB7111"/>
    <w:rsid w:val="00BC0690"/>
    <w:rsid w:val="00BC2A7B"/>
    <w:rsid w:val="00BC4D83"/>
    <w:rsid w:val="00BC6D1F"/>
    <w:rsid w:val="00BD1CD3"/>
    <w:rsid w:val="00BE0F5B"/>
    <w:rsid w:val="00BE242C"/>
    <w:rsid w:val="00BF061C"/>
    <w:rsid w:val="00BF2DE4"/>
    <w:rsid w:val="00BF4E4B"/>
    <w:rsid w:val="00BF7045"/>
    <w:rsid w:val="00C03881"/>
    <w:rsid w:val="00C03EC3"/>
    <w:rsid w:val="00C051BA"/>
    <w:rsid w:val="00C052AB"/>
    <w:rsid w:val="00C114D9"/>
    <w:rsid w:val="00C115C2"/>
    <w:rsid w:val="00C12A33"/>
    <w:rsid w:val="00C20A8B"/>
    <w:rsid w:val="00C234FA"/>
    <w:rsid w:val="00C31DD3"/>
    <w:rsid w:val="00C32BEA"/>
    <w:rsid w:val="00C3405B"/>
    <w:rsid w:val="00C510B7"/>
    <w:rsid w:val="00C5115E"/>
    <w:rsid w:val="00C54574"/>
    <w:rsid w:val="00C67F26"/>
    <w:rsid w:val="00C72985"/>
    <w:rsid w:val="00C73607"/>
    <w:rsid w:val="00C7554B"/>
    <w:rsid w:val="00C7749B"/>
    <w:rsid w:val="00C806B6"/>
    <w:rsid w:val="00C82DE7"/>
    <w:rsid w:val="00C90F87"/>
    <w:rsid w:val="00C91EA9"/>
    <w:rsid w:val="00CB10A1"/>
    <w:rsid w:val="00CB1671"/>
    <w:rsid w:val="00CB3128"/>
    <w:rsid w:val="00CB582D"/>
    <w:rsid w:val="00CB63FC"/>
    <w:rsid w:val="00CB78F3"/>
    <w:rsid w:val="00CC1E96"/>
    <w:rsid w:val="00CC7527"/>
    <w:rsid w:val="00CD60E2"/>
    <w:rsid w:val="00CD79F0"/>
    <w:rsid w:val="00CE0705"/>
    <w:rsid w:val="00CF37DE"/>
    <w:rsid w:val="00CF45D0"/>
    <w:rsid w:val="00CF4883"/>
    <w:rsid w:val="00CF6FCC"/>
    <w:rsid w:val="00D06972"/>
    <w:rsid w:val="00D21461"/>
    <w:rsid w:val="00D22BE5"/>
    <w:rsid w:val="00D30B85"/>
    <w:rsid w:val="00D37A63"/>
    <w:rsid w:val="00D44310"/>
    <w:rsid w:val="00D44681"/>
    <w:rsid w:val="00D44B33"/>
    <w:rsid w:val="00D536B1"/>
    <w:rsid w:val="00D556A1"/>
    <w:rsid w:val="00D563C2"/>
    <w:rsid w:val="00D57164"/>
    <w:rsid w:val="00D57281"/>
    <w:rsid w:val="00D65967"/>
    <w:rsid w:val="00D732AF"/>
    <w:rsid w:val="00D777F1"/>
    <w:rsid w:val="00D8185B"/>
    <w:rsid w:val="00D8194A"/>
    <w:rsid w:val="00D82F3E"/>
    <w:rsid w:val="00D969A3"/>
    <w:rsid w:val="00DA584A"/>
    <w:rsid w:val="00DB6895"/>
    <w:rsid w:val="00DC4C07"/>
    <w:rsid w:val="00DC7AB8"/>
    <w:rsid w:val="00DD525D"/>
    <w:rsid w:val="00DD5508"/>
    <w:rsid w:val="00DE0E0D"/>
    <w:rsid w:val="00DE1C4D"/>
    <w:rsid w:val="00DE5E63"/>
    <w:rsid w:val="00DE675A"/>
    <w:rsid w:val="00E135DB"/>
    <w:rsid w:val="00E1452E"/>
    <w:rsid w:val="00E235C9"/>
    <w:rsid w:val="00E375E1"/>
    <w:rsid w:val="00E40A3B"/>
    <w:rsid w:val="00E42CD9"/>
    <w:rsid w:val="00E431DF"/>
    <w:rsid w:val="00E54657"/>
    <w:rsid w:val="00E6697F"/>
    <w:rsid w:val="00E74681"/>
    <w:rsid w:val="00E77CF4"/>
    <w:rsid w:val="00E8042B"/>
    <w:rsid w:val="00E820A0"/>
    <w:rsid w:val="00E9217F"/>
    <w:rsid w:val="00E9496E"/>
    <w:rsid w:val="00E95E2C"/>
    <w:rsid w:val="00E96765"/>
    <w:rsid w:val="00E97D09"/>
    <w:rsid w:val="00EA009B"/>
    <w:rsid w:val="00EA04B7"/>
    <w:rsid w:val="00EA0937"/>
    <w:rsid w:val="00EA7723"/>
    <w:rsid w:val="00EB17F3"/>
    <w:rsid w:val="00EB28CA"/>
    <w:rsid w:val="00EB57D6"/>
    <w:rsid w:val="00EC5445"/>
    <w:rsid w:val="00EE1688"/>
    <w:rsid w:val="00EE23CC"/>
    <w:rsid w:val="00EF36D5"/>
    <w:rsid w:val="00EF3F63"/>
    <w:rsid w:val="00EF4C13"/>
    <w:rsid w:val="00EF6EEB"/>
    <w:rsid w:val="00F02CB5"/>
    <w:rsid w:val="00F072C2"/>
    <w:rsid w:val="00F07DE8"/>
    <w:rsid w:val="00F07F4C"/>
    <w:rsid w:val="00F1066F"/>
    <w:rsid w:val="00F21207"/>
    <w:rsid w:val="00F5110A"/>
    <w:rsid w:val="00F52FF2"/>
    <w:rsid w:val="00F53FD4"/>
    <w:rsid w:val="00F56BEA"/>
    <w:rsid w:val="00F72D89"/>
    <w:rsid w:val="00F74F31"/>
    <w:rsid w:val="00F95FE2"/>
    <w:rsid w:val="00FA0D4F"/>
    <w:rsid w:val="00FA3C12"/>
    <w:rsid w:val="00FB02D1"/>
    <w:rsid w:val="00FB3A1E"/>
    <w:rsid w:val="00FB3C91"/>
    <w:rsid w:val="00FB4DCC"/>
    <w:rsid w:val="00FB62F5"/>
    <w:rsid w:val="00FB6647"/>
    <w:rsid w:val="00FD3F1A"/>
    <w:rsid w:val="00FD442A"/>
    <w:rsid w:val="00FD6406"/>
    <w:rsid w:val="00FD72DA"/>
    <w:rsid w:val="00FE5FE9"/>
    <w:rsid w:val="00FE7D94"/>
    <w:rsid w:val="00FF0F02"/>
    <w:rsid w:val="00FF7F1F"/>
    <w:rsid w:val="01303AC5"/>
    <w:rsid w:val="01773477"/>
    <w:rsid w:val="01C14567"/>
    <w:rsid w:val="01F66ABD"/>
    <w:rsid w:val="01FB0577"/>
    <w:rsid w:val="020457FF"/>
    <w:rsid w:val="02217FDE"/>
    <w:rsid w:val="02587777"/>
    <w:rsid w:val="0273010D"/>
    <w:rsid w:val="027B36CD"/>
    <w:rsid w:val="027C3D6B"/>
    <w:rsid w:val="02C44577"/>
    <w:rsid w:val="02F6463E"/>
    <w:rsid w:val="030571A0"/>
    <w:rsid w:val="03144708"/>
    <w:rsid w:val="031E62CB"/>
    <w:rsid w:val="03241A2B"/>
    <w:rsid w:val="03305FFE"/>
    <w:rsid w:val="033A0C2B"/>
    <w:rsid w:val="03710AF1"/>
    <w:rsid w:val="03936CB9"/>
    <w:rsid w:val="039D18E6"/>
    <w:rsid w:val="03D1158F"/>
    <w:rsid w:val="03DB0660"/>
    <w:rsid w:val="0410030A"/>
    <w:rsid w:val="04163446"/>
    <w:rsid w:val="0454399B"/>
    <w:rsid w:val="04657F2A"/>
    <w:rsid w:val="04891E6A"/>
    <w:rsid w:val="048B3E34"/>
    <w:rsid w:val="049360A4"/>
    <w:rsid w:val="04CB2483"/>
    <w:rsid w:val="04D22ADA"/>
    <w:rsid w:val="04FC07BA"/>
    <w:rsid w:val="053242B0"/>
    <w:rsid w:val="05337FA2"/>
    <w:rsid w:val="05C21244"/>
    <w:rsid w:val="05CF1AFF"/>
    <w:rsid w:val="064029FC"/>
    <w:rsid w:val="06823015"/>
    <w:rsid w:val="069946CA"/>
    <w:rsid w:val="06D870D9"/>
    <w:rsid w:val="06DE46EF"/>
    <w:rsid w:val="06DF2215"/>
    <w:rsid w:val="06EA3E45"/>
    <w:rsid w:val="06F04422"/>
    <w:rsid w:val="06F07F7E"/>
    <w:rsid w:val="07135B91"/>
    <w:rsid w:val="07391925"/>
    <w:rsid w:val="075F5104"/>
    <w:rsid w:val="078B0F5C"/>
    <w:rsid w:val="078B7CA7"/>
    <w:rsid w:val="07B83C8D"/>
    <w:rsid w:val="07C025C7"/>
    <w:rsid w:val="07D379FD"/>
    <w:rsid w:val="07E8334B"/>
    <w:rsid w:val="07F25F78"/>
    <w:rsid w:val="07F46FDB"/>
    <w:rsid w:val="080D2DB2"/>
    <w:rsid w:val="08144141"/>
    <w:rsid w:val="08171363"/>
    <w:rsid w:val="08510EF1"/>
    <w:rsid w:val="085B58CB"/>
    <w:rsid w:val="087D3E5F"/>
    <w:rsid w:val="089900B5"/>
    <w:rsid w:val="08AB2AB1"/>
    <w:rsid w:val="08AC01B2"/>
    <w:rsid w:val="08C44A90"/>
    <w:rsid w:val="08E51639"/>
    <w:rsid w:val="08F33D56"/>
    <w:rsid w:val="09063A89"/>
    <w:rsid w:val="090715AF"/>
    <w:rsid w:val="090863BF"/>
    <w:rsid w:val="09150170"/>
    <w:rsid w:val="0935478F"/>
    <w:rsid w:val="094445B2"/>
    <w:rsid w:val="095827AC"/>
    <w:rsid w:val="096E162E"/>
    <w:rsid w:val="09772BD9"/>
    <w:rsid w:val="09992B4F"/>
    <w:rsid w:val="09B23C11"/>
    <w:rsid w:val="09C37BCC"/>
    <w:rsid w:val="09CB082F"/>
    <w:rsid w:val="09CD219B"/>
    <w:rsid w:val="09E42488"/>
    <w:rsid w:val="09ED576F"/>
    <w:rsid w:val="0A1246B0"/>
    <w:rsid w:val="0A2A0535"/>
    <w:rsid w:val="0A3E36F7"/>
    <w:rsid w:val="0A4A3E4A"/>
    <w:rsid w:val="0AA7129C"/>
    <w:rsid w:val="0AAF0151"/>
    <w:rsid w:val="0AB94B2B"/>
    <w:rsid w:val="0B2621C1"/>
    <w:rsid w:val="0B4E34C6"/>
    <w:rsid w:val="0B811AED"/>
    <w:rsid w:val="0B820040"/>
    <w:rsid w:val="0B8E7D66"/>
    <w:rsid w:val="0B920249"/>
    <w:rsid w:val="0BD51E39"/>
    <w:rsid w:val="0BD7170D"/>
    <w:rsid w:val="0BE77385"/>
    <w:rsid w:val="0BEF2EFA"/>
    <w:rsid w:val="0BFD6B61"/>
    <w:rsid w:val="0C1464BD"/>
    <w:rsid w:val="0C2A7A8F"/>
    <w:rsid w:val="0C992E66"/>
    <w:rsid w:val="0CAF051D"/>
    <w:rsid w:val="0D116C13"/>
    <w:rsid w:val="0DD00B0A"/>
    <w:rsid w:val="0E0830D6"/>
    <w:rsid w:val="0E532482"/>
    <w:rsid w:val="0E5B4181"/>
    <w:rsid w:val="0E811E04"/>
    <w:rsid w:val="0EAC0C2F"/>
    <w:rsid w:val="0EF240C1"/>
    <w:rsid w:val="0EFB1BB6"/>
    <w:rsid w:val="0F07055B"/>
    <w:rsid w:val="0F135152"/>
    <w:rsid w:val="0F2033CB"/>
    <w:rsid w:val="0F6239E3"/>
    <w:rsid w:val="0F890F70"/>
    <w:rsid w:val="0F9B0CA3"/>
    <w:rsid w:val="0FAE09D7"/>
    <w:rsid w:val="0FD552B4"/>
    <w:rsid w:val="0FF30ADF"/>
    <w:rsid w:val="0FFF254C"/>
    <w:rsid w:val="105020BB"/>
    <w:rsid w:val="10525806"/>
    <w:rsid w:val="10670755"/>
    <w:rsid w:val="106C272A"/>
    <w:rsid w:val="10702130"/>
    <w:rsid w:val="107F26DA"/>
    <w:rsid w:val="10D169FD"/>
    <w:rsid w:val="10D751BE"/>
    <w:rsid w:val="10EF17B4"/>
    <w:rsid w:val="111F7DDE"/>
    <w:rsid w:val="112A47B8"/>
    <w:rsid w:val="114535BD"/>
    <w:rsid w:val="11922555"/>
    <w:rsid w:val="11E626AA"/>
    <w:rsid w:val="12754EF9"/>
    <w:rsid w:val="12993BC0"/>
    <w:rsid w:val="1299771C"/>
    <w:rsid w:val="12CE699E"/>
    <w:rsid w:val="12DB5F87"/>
    <w:rsid w:val="12E017EF"/>
    <w:rsid w:val="133E6515"/>
    <w:rsid w:val="1350483F"/>
    <w:rsid w:val="13517FF7"/>
    <w:rsid w:val="13781A27"/>
    <w:rsid w:val="13BF1404"/>
    <w:rsid w:val="13D84274"/>
    <w:rsid w:val="143C2A55"/>
    <w:rsid w:val="143E4A1F"/>
    <w:rsid w:val="14583CD7"/>
    <w:rsid w:val="148126CD"/>
    <w:rsid w:val="14AF44E2"/>
    <w:rsid w:val="14DE2927"/>
    <w:rsid w:val="150177FB"/>
    <w:rsid w:val="150B4677"/>
    <w:rsid w:val="15151529"/>
    <w:rsid w:val="151E03AD"/>
    <w:rsid w:val="156D73A9"/>
    <w:rsid w:val="1573694A"/>
    <w:rsid w:val="15755A68"/>
    <w:rsid w:val="15995C85"/>
    <w:rsid w:val="15A5287C"/>
    <w:rsid w:val="15AA7E92"/>
    <w:rsid w:val="16465E0D"/>
    <w:rsid w:val="16500A3A"/>
    <w:rsid w:val="168503A9"/>
    <w:rsid w:val="169328AE"/>
    <w:rsid w:val="16C90EF1"/>
    <w:rsid w:val="170D249E"/>
    <w:rsid w:val="17255A22"/>
    <w:rsid w:val="17281EC0"/>
    <w:rsid w:val="176A78D9"/>
    <w:rsid w:val="179761F4"/>
    <w:rsid w:val="1812308C"/>
    <w:rsid w:val="18131D1F"/>
    <w:rsid w:val="181E6DC2"/>
    <w:rsid w:val="183D01A1"/>
    <w:rsid w:val="183D4FEE"/>
    <w:rsid w:val="185530B4"/>
    <w:rsid w:val="186164A1"/>
    <w:rsid w:val="186E33F9"/>
    <w:rsid w:val="187C78C4"/>
    <w:rsid w:val="18A22CD9"/>
    <w:rsid w:val="18E65685"/>
    <w:rsid w:val="18FF648E"/>
    <w:rsid w:val="191915B7"/>
    <w:rsid w:val="193C34F7"/>
    <w:rsid w:val="194523AC"/>
    <w:rsid w:val="194F322A"/>
    <w:rsid w:val="1953639C"/>
    <w:rsid w:val="19650358"/>
    <w:rsid w:val="19670574"/>
    <w:rsid w:val="19874772"/>
    <w:rsid w:val="198C7FDB"/>
    <w:rsid w:val="19A227FB"/>
    <w:rsid w:val="19C96D9C"/>
    <w:rsid w:val="19CA28B1"/>
    <w:rsid w:val="19D41982"/>
    <w:rsid w:val="19E5593D"/>
    <w:rsid w:val="1A0268D3"/>
    <w:rsid w:val="1A167B3A"/>
    <w:rsid w:val="1A342318"/>
    <w:rsid w:val="1A3D35ED"/>
    <w:rsid w:val="1A4A03EB"/>
    <w:rsid w:val="1A8C5DB8"/>
    <w:rsid w:val="1AF51BB0"/>
    <w:rsid w:val="1AFF3526"/>
    <w:rsid w:val="1B3E5305"/>
    <w:rsid w:val="1B3F60E7"/>
    <w:rsid w:val="1BC03F6C"/>
    <w:rsid w:val="1C1B5646"/>
    <w:rsid w:val="1C202209"/>
    <w:rsid w:val="1CDF48C5"/>
    <w:rsid w:val="1CFA16FF"/>
    <w:rsid w:val="1D083E1C"/>
    <w:rsid w:val="1D100F23"/>
    <w:rsid w:val="1D4110DC"/>
    <w:rsid w:val="1D525097"/>
    <w:rsid w:val="1D552DD9"/>
    <w:rsid w:val="1D5D48F4"/>
    <w:rsid w:val="1D750D86"/>
    <w:rsid w:val="1D903E12"/>
    <w:rsid w:val="1DAD49C3"/>
    <w:rsid w:val="1DB25B36"/>
    <w:rsid w:val="1DC97B07"/>
    <w:rsid w:val="1DCF57F5"/>
    <w:rsid w:val="1E013FE3"/>
    <w:rsid w:val="1E053C26"/>
    <w:rsid w:val="1E391DB3"/>
    <w:rsid w:val="1E3D18A3"/>
    <w:rsid w:val="1E74103D"/>
    <w:rsid w:val="1EA01E32"/>
    <w:rsid w:val="1EB15DEE"/>
    <w:rsid w:val="1EB47ED0"/>
    <w:rsid w:val="1EBB36A5"/>
    <w:rsid w:val="1ED61CF8"/>
    <w:rsid w:val="1EE73F05"/>
    <w:rsid w:val="1F086952"/>
    <w:rsid w:val="1F130856"/>
    <w:rsid w:val="1F2111C5"/>
    <w:rsid w:val="1F2C36C6"/>
    <w:rsid w:val="1F464788"/>
    <w:rsid w:val="1F9959A8"/>
    <w:rsid w:val="1FB97650"/>
    <w:rsid w:val="1FCBBAE0"/>
    <w:rsid w:val="1FD746B4"/>
    <w:rsid w:val="1FE16BA6"/>
    <w:rsid w:val="20112FE8"/>
    <w:rsid w:val="20401B1F"/>
    <w:rsid w:val="20511636"/>
    <w:rsid w:val="20855784"/>
    <w:rsid w:val="20911BED"/>
    <w:rsid w:val="20B91875"/>
    <w:rsid w:val="20C66F34"/>
    <w:rsid w:val="20DD736E"/>
    <w:rsid w:val="210318C7"/>
    <w:rsid w:val="2164183D"/>
    <w:rsid w:val="216750D4"/>
    <w:rsid w:val="216B497A"/>
    <w:rsid w:val="21FA4AE9"/>
    <w:rsid w:val="220A4192"/>
    <w:rsid w:val="22334A6F"/>
    <w:rsid w:val="22372AAE"/>
    <w:rsid w:val="2250591D"/>
    <w:rsid w:val="22557C1D"/>
    <w:rsid w:val="226B7889"/>
    <w:rsid w:val="22745AB0"/>
    <w:rsid w:val="22963B3C"/>
    <w:rsid w:val="22A16179"/>
    <w:rsid w:val="22A939AB"/>
    <w:rsid w:val="22E33BF0"/>
    <w:rsid w:val="231F3C6E"/>
    <w:rsid w:val="237C4C1C"/>
    <w:rsid w:val="23897365"/>
    <w:rsid w:val="23912C04"/>
    <w:rsid w:val="2392443F"/>
    <w:rsid w:val="23AC477C"/>
    <w:rsid w:val="23B858BF"/>
    <w:rsid w:val="23C120FD"/>
    <w:rsid w:val="23D762F6"/>
    <w:rsid w:val="23F01166"/>
    <w:rsid w:val="241A2687"/>
    <w:rsid w:val="243D3F18"/>
    <w:rsid w:val="245B3C6C"/>
    <w:rsid w:val="24B91EA0"/>
    <w:rsid w:val="24D80E54"/>
    <w:rsid w:val="24E46F1D"/>
    <w:rsid w:val="25100723"/>
    <w:rsid w:val="2556149D"/>
    <w:rsid w:val="25AD0C5F"/>
    <w:rsid w:val="25BB5CCA"/>
    <w:rsid w:val="25DA3E7C"/>
    <w:rsid w:val="25E92311"/>
    <w:rsid w:val="25EF165C"/>
    <w:rsid w:val="25FA451E"/>
    <w:rsid w:val="26274DE7"/>
    <w:rsid w:val="26345F01"/>
    <w:rsid w:val="26357304"/>
    <w:rsid w:val="264D0AF2"/>
    <w:rsid w:val="26931E56"/>
    <w:rsid w:val="26A85927"/>
    <w:rsid w:val="26C07EF5"/>
    <w:rsid w:val="26EF0E20"/>
    <w:rsid w:val="26FD42C6"/>
    <w:rsid w:val="273A72C8"/>
    <w:rsid w:val="276A7481"/>
    <w:rsid w:val="279A1B15"/>
    <w:rsid w:val="27AF24B1"/>
    <w:rsid w:val="27D8088F"/>
    <w:rsid w:val="27DF2361"/>
    <w:rsid w:val="28213FE4"/>
    <w:rsid w:val="282768D0"/>
    <w:rsid w:val="2858552C"/>
    <w:rsid w:val="2859644F"/>
    <w:rsid w:val="28A65795"/>
    <w:rsid w:val="28A736BD"/>
    <w:rsid w:val="290336EA"/>
    <w:rsid w:val="296F3889"/>
    <w:rsid w:val="29890093"/>
    <w:rsid w:val="29A44ECD"/>
    <w:rsid w:val="29BB2216"/>
    <w:rsid w:val="29D07A70"/>
    <w:rsid w:val="2A2878AC"/>
    <w:rsid w:val="2A2C0A1E"/>
    <w:rsid w:val="2A5176CA"/>
    <w:rsid w:val="2AC60E73"/>
    <w:rsid w:val="2AC82E3D"/>
    <w:rsid w:val="2AD92D72"/>
    <w:rsid w:val="2AFA0B1C"/>
    <w:rsid w:val="2B536BAA"/>
    <w:rsid w:val="2B8A6344"/>
    <w:rsid w:val="2BB138D1"/>
    <w:rsid w:val="2BF612E4"/>
    <w:rsid w:val="2C02412C"/>
    <w:rsid w:val="2C892158"/>
    <w:rsid w:val="2CB5119F"/>
    <w:rsid w:val="2CD0422B"/>
    <w:rsid w:val="2CDF621C"/>
    <w:rsid w:val="2D102879"/>
    <w:rsid w:val="2D2500D2"/>
    <w:rsid w:val="2D3B4A09"/>
    <w:rsid w:val="2D5269EE"/>
    <w:rsid w:val="2DA82AB1"/>
    <w:rsid w:val="2DAC07F4"/>
    <w:rsid w:val="2DC07DFB"/>
    <w:rsid w:val="2DEC299E"/>
    <w:rsid w:val="2DF6381D"/>
    <w:rsid w:val="2E1A39AF"/>
    <w:rsid w:val="2E230605"/>
    <w:rsid w:val="2E530C6F"/>
    <w:rsid w:val="2E5E24D1"/>
    <w:rsid w:val="2EAA2BD9"/>
    <w:rsid w:val="2EB77450"/>
    <w:rsid w:val="2F011C12"/>
    <w:rsid w:val="2F155F25"/>
    <w:rsid w:val="2F162065"/>
    <w:rsid w:val="2F2B7A9B"/>
    <w:rsid w:val="2F39477D"/>
    <w:rsid w:val="2F4F7689"/>
    <w:rsid w:val="2F7B20F9"/>
    <w:rsid w:val="2F7B222C"/>
    <w:rsid w:val="2F835584"/>
    <w:rsid w:val="2F9B530B"/>
    <w:rsid w:val="300C557A"/>
    <w:rsid w:val="301937F3"/>
    <w:rsid w:val="301D32E3"/>
    <w:rsid w:val="30360848"/>
    <w:rsid w:val="30405223"/>
    <w:rsid w:val="30406FD1"/>
    <w:rsid w:val="308A16D0"/>
    <w:rsid w:val="309D08C8"/>
    <w:rsid w:val="309D2676"/>
    <w:rsid w:val="30E6401D"/>
    <w:rsid w:val="30F37F2F"/>
    <w:rsid w:val="31132938"/>
    <w:rsid w:val="31184ED8"/>
    <w:rsid w:val="312406A1"/>
    <w:rsid w:val="314865E7"/>
    <w:rsid w:val="31532D34"/>
    <w:rsid w:val="31800160"/>
    <w:rsid w:val="31D25E0E"/>
    <w:rsid w:val="31E3230A"/>
    <w:rsid w:val="32422B29"/>
    <w:rsid w:val="326B053C"/>
    <w:rsid w:val="32821B23"/>
    <w:rsid w:val="32E14A9C"/>
    <w:rsid w:val="33064502"/>
    <w:rsid w:val="333948D8"/>
    <w:rsid w:val="336A483C"/>
    <w:rsid w:val="336F02F9"/>
    <w:rsid w:val="33AF6948"/>
    <w:rsid w:val="340C3D9A"/>
    <w:rsid w:val="34117602"/>
    <w:rsid w:val="34390907"/>
    <w:rsid w:val="351C625F"/>
    <w:rsid w:val="351D3D85"/>
    <w:rsid w:val="35260E8C"/>
    <w:rsid w:val="35643762"/>
    <w:rsid w:val="35A428FB"/>
    <w:rsid w:val="35A74912"/>
    <w:rsid w:val="35BB795F"/>
    <w:rsid w:val="35C30488"/>
    <w:rsid w:val="35C661CB"/>
    <w:rsid w:val="35CB5EC9"/>
    <w:rsid w:val="35F66AB0"/>
    <w:rsid w:val="363475D8"/>
    <w:rsid w:val="363B44C3"/>
    <w:rsid w:val="365B2DB7"/>
    <w:rsid w:val="366C0B20"/>
    <w:rsid w:val="373D24BC"/>
    <w:rsid w:val="378105FB"/>
    <w:rsid w:val="37D12A37"/>
    <w:rsid w:val="37E49367"/>
    <w:rsid w:val="38214EAF"/>
    <w:rsid w:val="382B0567"/>
    <w:rsid w:val="385B709E"/>
    <w:rsid w:val="38795776"/>
    <w:rsid w:val="387C703E"/>
    <w:rsid w:val="388F4F9A"/>
    <w:rsid w:val="38E443A7"/>
    <w:rsid w:val="38E65C15"/>
    <w:rsid w:val="390A2872"/>
    <w:rsid w:val="39203E44"/>
    <w:rsid w:val="392456E2"/>
    <w:rsid w:val="39397667"/>
    <w:rsid w:val="396401D4"/>
    <w:rsid w:val="39677CC5"/>
    <w:rsid w:val="39822409"/>
    <w:rsid w:val="39A35D51"/>
    <w:rsid w:val="39F350B4"/>
    <w:rsid w:val="39FA4695"/>
    <w:rsid w:val="3A485400"/>
    <w:rsid w:val="3A4D2A17"/>
    <w:rsid w:val="3A60099C"/>
    <w:rsid w:val="3A6D30B9"/>
    <w:rsid w:val="3A821A43"/>
    <w:rsid w:val="3A8C79E3"/>
    <w:rsid w:val="3AE315CD"/>
    <w:rsid w:val="3B111C96"/>
    <w:rsid w:val="3B1359D3"/>
    <w:rsid w:val="3B2220F5"/>
    <w:rsid w:val="3B377BC2"/>
    <w:rsid w:val="3B37B6C4"/>
    <w:rsid w:val="3B5FABDB"/>
    <w:rsid w:val="3BB80F8B"/>
    <w:rsid w:val="3BCE327C"/>
    <w:rsid w:val="3C3420E0"/>
    <w:rsid w:val="3C345451"/>
    <w:rsid w:val="3CD37EDB"/>
    <w:rsid w:val="3CD4741F"/>
    <w:rsid w:val="3CEF4259"/>
    <w:rsid w:val="3CFA586A"/>
    <w:rsid w:val="3CFB44C3"/>
    <w:rsid w:val="3D175178"/>
    <w:rsid w:val="3D2A34E3"/>
    <w:rsid w:val="3D2D5762"/>
    <w:rsid w:val="3D371A29"/>
    <w:rsid w:val="3DA97586"/>
    <w:rsid w:val="3DB039E8"/>
    <w:rsid w:val="3DCC6348"/>
    <w:rsid w:val="3DD83DC4"/>
    <w:rsid w:val="3DFE0BF8"/>
    <w:rsid w:val="3E031C13"/>
    <w:rsid w:val="3E2B12C1"/>
    <w:rsid w:val="3E32264F"/>
    <w:rsid w:val="3E7F33BB"/>
    <w:rsid w:val="3E9D7E49"/>
    <w:rsid w:val="3EBD703D"/>
    <w:rsid w:val="3ED26B65"/>
    <w:rsid w:val="3F2525D9"/>
    <w:rsid w:val="3F344687"/>
    <w:rsid w:val="3F4940F4"/>
    <w:rsid w:val="3F656A54"/>
    <w:rsid w:val="3FBF5679"/>
    <w:rsid w:val="3FE200A5"/>
    <w:rsid w:val="401D732F"/>
    <w:rsid w:val="402107A3"/>
    <w:rsid w:val="40460634"/>
    <w:rsid w:val="406867FC"/>
    <w:rsid w:val="407C02A4"/>
    <w:rsid w:val="40A05B7D"/>
    <w:rsid w:val="40B732E0"/>
    <w:rsid w:val="40DB5F4C"/>
    <w:rsid w:val="40EB4D37"/>
    <w:rsid w:val="40FC5196"/>
    <w:rsid w:val="41410DFB"/>
    <w:rsid w:val="41654AEA"/>
    <w:rsid w:val="41CC4B69"/>
    <w:rsid w:val="41E77BF5"/>
    <w:rsid w:val="41FA7928"/>
    <w:rsid w:val="42156510"/>
    <w:rsid w:val="42186000"/>
    <w:rsid w:val="42187DAE"/>
    <w:rsid w:val="42746848"/>
    <w:rsid w:val="428471F1"/>
    <w:rsid w:val="42A930FC"/>
    <w:rsid w:val="42B555FD"/>
    <w:rsid w:val="42BA70B7"/>
    <w:rsid w:val="430317C0"/>
    <w:rsid w:val="433429C6"/>
    <w:rsid w:val="433B01F8"/>
    <w:rsid w:val="434150E2"/>
    <w:rsid w:val="436A63E7"/>
    <w:rsid w:val="43881B76"/>
    <w:rsid w:val="439714AA"/>
    <w:rsid w:val="43CF0940"/>
    <w:rsid w:val="43DD12AF"/>
    <w:rsid w:val="43E6398E"/>
    <w:rsid w:val="44B26298"/>
    <w:rsid w:val="44C935E1"/>
    <w:rsid w:val="44CA4BFA"/>
    <w:rsid w:val="45346FFC"/>
    <w:rsid w:val="45561319"/>
    <w:rsid w:val="4588349D"/>
    <w:rsid w:val="45C55462"/>
    <w:rsid w:val="45CF4C28"/>
    <w:rsid w:val="45D1274E"/>
    <w:rsid w:val="45E16C19"/>
    <w:rsid w:val="4609638B"/>
    <w:rsid w:val="46462801"/>
    <w:rsid w:val="466241D1"/>
    <w:rsid w:val="467557CF"/>
    <w:rsid w:val="46A00372"/>
    <w:rsid w:val="46A77952"/>
    <w:rsid w:val="46CE77DF"/>
    <w:rsid w:val="46DC584E"/>
    <w:rsid w:val="46F522DA"/>
    <w:rsid w:val="46FD7572"/>
    <w:rsid w:val="4710374A"/>
    <w:rsid w:val="47297A89"/>
    <w:rsid w:val="47441C69"/>
    <w:rsid w:val="475A67D9"/>
    <w:rsid w:val="478B2DD0"/>
    <w:rsid w:val="479B74B7"/>
    <w:rsid w:val="479C02AD"/>
    <w:rsid w:val="47C24BB0"/>
    <w:rsid w:val="47C85DD2"/>
    <w:rsid w:val="47D6229D"/>
    <w:rsid w:val="47DC362C"/>
    <w:rsid w:val="47DE73A4"/>
    <w:rsid w:val="48180B08"/>
    <w:rsid w:val="48220A60"/>
    <w:rsid w:val="485B331D"/>
    <w:rsid w:val="48645AFB"/>
    <w:rsid w:val="48671147"/>
    <w:rsid w:val="489932CB"/>
    <w:rsid w:val="48DF1625"/>
    <w:rsid w:val="48E56510"/>
    <w:rsid w:val="48E704DA"/>
    <w:rsid w:val="48EE3617"/>
    <w:rsid w:val="49042DAE"/>
    <w:rsid w:val="4923315B"/>
    <w:rsid w:val="49290AF3"/>
    <w:rsid w:val="494B2817"/>
    <w:rsid w:val="494B6CBB"/>
    <w:rsid w:val="4980542A"/>
    <w:rsid w:val="49831044"/>
    <w:rsid w:val="49AA1C33"/>
    <w:rsid w:val="49CB3958"/>
    <w:rsid w:val="49DC5B65"/>
    <w:rsid w:val="49DE22CE"/>
    <w:rsid w:val="49F42EAF"/>
    <w:rsid w:val="4A0F35C1"/>
    <w:rsid w:val="4A2117CA"/>
    <w:rsid w:val="4A3500EA"/>
    <w:rsid w:val="4A590F64"/>
    <w:rsid w:val="4A8F0E29"/>
    <w:rsid w:val="4AB9549B"/>
    <w:rsid w:val="4AC9323E"/>
    <w:rsid w:val="4AD14F9E"/>
    <w:rsid w:val="4ADD1B95"/>
    <w:rsid w:val="4B0E61F2"/>
    <w:rsid w:val="4B300619"/>
    <w:rsid w:val="4B693428"/>
    <w:rsid w:val="4B8D6ED7"/>
    <w:rsid w:val="4B986D6B"/>
    <w:rsid w:val="4BC93EC7"/>
    <w:rsid w:val="4BE56F53"/>
    <w:rsid w:val="4C3C3ADE"/>
    <w:rsid w:val="4C545E87"/>
    <w:rsid w:val="4C997D3D"/>
    <w:rsid w:val="4CE03BBE"/>
    <w:rsid w:val="4CF5766A"/>
    <w:rsid w:val="4D0478AD"/>
    <w:rsid w:val="4D083EE4"/>
    <w:rsid w:val="4D0E072B"/>
    <w:rsid w:val="4D66089C"/>
    <w:rsid w:val="4D6D5452"/>
    <w:rsid w:val="4D792F09"/>
    <w:rsid w:val="4DB72B71"/>
    <w:rsid w:val="4DC64B62"/>
    <w:rsid w:val="4DCF4404"/>
    <w:rsid w:val="4DEB186C"/>
    <w:rsid w:val="4DF27705"/>
    <w:rsid w:val="4E0F475B"/>
    <w:rsid w:val="4E255D2C"/>
    <w:rsid w:val="4E393586"/>
    <w:rsid w:val="4E4F6F6F"/>
    <w:rsid w:val="4E93713A"/>
    <w:rsid w:val="4E9B7A20"/>
    <w:rsid w:val="4EA330F5"/>
    <w:rsid w:val="4EC02909"/>
    <w:rsid w:val="4EF94AC3"/>
    <w:rsid w:val="4F343D4D"/>
    <w:rsid w:val="4F3A75B6"/>
    <w:rsid w:val="4F8E7901"/>
    <w:rsid w:val="4F960564"/>
    <w:rsid w:val="4F98252E"/>
    <w:rsid w:val="4FA15887"/>
    <w:rsid w:val="4FE60A42"/>
    <w:rsid w:val="503A624F"/>
    <w:rsid w:val="504970E8"/>
    <w:rsid w:val="50642410"/>
    <w:rsid w:val="506568B4"/>
    <w:rsid w:val="50697A27"/>
    <w:rsid w:val="506D7517"/>
    <w:rsid w:val="50A70C7B"/>
    <w:rsid w:val="50AB003F"/>
    <w:rsid w:val="50D650BC"/>
    <w:rsid w:val="50DC4E4F"/>
    <w:rsid w:val="50DD28EE"/>
    <w:rsid w:val="5124051D"/>
    <w:rsid w:val="515E35EA"/>
    <w:rsid w:val="51A17B1C"/>
    <w:rsid w:val="51B178D7"/>
    <w:rsid w:val="51D05F5C"/>
    <w:rsid w:val="52185B8C"/>
    <w:rsid w:val="523920EB"/>
    <w:rsid w:val="524349D3"/>
    <w:rsid w:val="52691F60"/>
    <w:rsid w:val="53311592"/>
    <w:rsid w:val="5358625C"/>
    <w:rsid w:val="536A3507"/>
    <w:rsid w:val="53E75832"/>
    <w:rsid w:val="53ED0AB4"/>
    <w:rsid w:val="540E2DBF"/>
    <w:rsid w:val="54120B01"/>
    <w:rsid w:val="54281AFA"/>
    <w:rsid w:val="54302D35"/>
    <w:rsid w:val="54333F12"/>
    <w:rsid w:val="546B0211"/>
    <w:rsid w:val="547F5A6B"/>
    <w:rsid w:val="54924E23"/>
    <w:rsid w:val="54BB5F4C"/>
    <w:rsid w:val="54BC0A6D"/>
    <w:rsid w:val="54ED50CA"/>
    <w:rsid w:val="54F7F469"/>
    <w:rsid w:val="550541C2"/>
    <w:rsid w:val="551B1C37"/>
    <w:rsid w:val="551E3BF4"/>
    <w:rsid w:val="55254864"/>
    <w:rsid w:val="555C7B5A"/>
    <w:rsid w:val="55782BE6"/>
    <w:rsid w:val="55833339"/>
    <w:rsid w:val="558C6691"/>
    <w:rsid w:val="55AD03B6"/>
    <w:rsid w:val="56094A0A"/>
    <w:rsid w:val="562F308A"/>
    <w:rsid w:val="5632548A"/>
    <w:rsid w:val="56582A17"/>
    <w:rsid w:val="56585DA5"/>
    <w:rsid w:val="56901E7C"/>
    <w:rsid w:val="569972B8"/>
    <w:rsid w:val="56E12A0D"/>
    <w:rsid w:val="56F02C50"/>
    <w:rsid w:val="57122BC6"/>
    <w:rsid w:val="573B036F"/>
    <w:rsid w:val="575136EE"/>
    <w:rsid w:val="5755438D"/>
    <w:rsid w:val="575EB6CA"/>
    <w:rsid w:val="577218B7"/>
    <w:rsid w:val="577E64AD"/>
    <w:rsid w:val="57EF27B0"/>
    <w:rsid w:val="57FF30E2"/>
    <w:rsid w:val="584204B6"/>
    <w:rsid w:val="5844771D"/>
    <w:rsid w:val="5855720E"/>
    <w:rsid w:val="586302CC"/>
    <w:rsid w:val="58822C18"/>
    <w:rsid w:val="589E5842"/>
    <w:rsid w:val="58BA3515"/>
    <w:rsid w:val="58FA6008"/>
    <w:rsid w:val="592A24C9"/>
    <w:rsid w:val="59476CE1"/>
    <w:rsid w:val="598002BB"/>
    <w:rsid w:val="5981360E"/>
    <w:rsid w:val="599A26EE"/>
    <w:rsid w:val="599E387E"/>
    <w:rsid w:val="59C12681"/>
    <w:rsid w:val="59DE2095"/>
    <w:rsid w:val="5A015DC4"/>
    <w:rsid w:val="5A292701"/>
    <w:rsid w:val="5A332B09"/>
    <w:rsid w:val="5A37500F"/>
    <w:rsid w:val="5A582FE6"/>
    <w:rsid w:val="5A696FA1"/>
    <w:rsid w:val="5AA82B94"/>
    <w:rsid w:val="5ABB3AA6"/>
    <w:rsid w:val="5AE26D53"/>
    <w:rsid w:val="5AED7BD2"/>
    <w:rsid w:val="5AF727FF"/>
    <w:rsid w:val="5B01542B"/>
    <w:rsid w:val="5B0942E0"/>
    <w:rsid w:val="5B1F1D55"/>
    <w:rsid w:val="5B811D24"/>
    <w:rsid w:val="5BEC54B3"/>
    <w:rsid w:val="5C0A6562"/>
    <w:rsid w:val="5C311D40"/>
    <w:rsid w:val="5CB43202"/>
    <w:rsid w:val="5CC76201"/>
    <w:rsid w:val="5CD66444"/>
    <w:rsid w:val="5D1A27D4"/>
    <w:rsid w:val="5D347D3A"/>
    <w:rsid w:val="5D373670"/>
    <w:rsid w:val="5D625A9F"/>
    <w:rsid w:val="5DAB2A15"/>
    <w:rsid w:val="5DDB6CD3"/>
    <w:rsid w:val="5E543AC4"/>
    <w:rsid w:val="5E850121"/>
    <w:rsid w:val="5E911FD2"/>
    <w:rsid w:val="5EA7453C"/>
    <w:rsid w:val="5EB5161B"/>
    <w:rsid w:val="5ED4120C"/>
    <w:rsid w:val="5ED94431"/>
    <w:rsid w:val="5EE66E12"/>
    <w:rsid w:val="5F2738DC"/>
    <w:rsid w:val="5F7268F8"/>
    <w:rsid w:val="5F7AB151"/>
    <w:rsid w:val="5F891239"/>
    <w:rsid w:val="5FB707AE"/>
    <w:rsid w:val="5FBB5A03"/>
    <w:rsid w:val="5FE76ABA"/>
    <w:rsid w:val="5FEB0458"/>
    <w:rsid w:val="5FF437B1"/>
    <w:rsid w:val="5FF5B184"/>
    <w:rsid w:val="602C5A37"/>
    <w:rsid w:val="60363DC9"/>
    <w:rsid w:val="604D2EC1"/>
    <w:rsid w:val="60822B6A"/>
    <w:rsid w:val="60883EF9"/>
    <w:rsid w:val="608A1A1F"/>
    <w:rsid w:val="60EE3150"/>
    <w:rsid w:val="610E2B1A"/>
    <w:rsid w:val="611449CF"/>
    <w:rsid w:val="6138591F"/>
    <w:rsid w:val="61487C00"/>
    <w:rsid w:val="61B01959"/>
    <w:rsid w:val="61C55405"/>
    <w:rsid w:val="61DF3FED"/>
    <w:rsid w:val="62326A29"/>
    <w:rsid w:val="62771C70"/>
    <w:rsid w:val="628337D1"/>
    <w:rsid w:val="62A02B74"/>
    <w:rsid w:val="62F8053D"/>
    <w:rsid w:val="63155F18"/>
    <w:rsid w:val="63293771"/>
    <w:rsid w:val="63354868"/>
    <w:rsid w:val="633B34A5"/>
    <w:rsid w:val="63471E49"/>
    <w:rsid w:val="634A36E8"/>
    <w:rsid w:val="63595888"/>
    <w:rsid w:val="638D4CA5"/>
    <w:rsid w:val="63DF45AD"/>
    <w:rsid w:val="64033FC2"/>
    <w:rsid w:val="640B731B"/>
    <w:rsid w:val="64195594"/>
    <w:rsid w:val="64264155"/>
    <w:rsid w:val="642B3519"/>
    <w:rsid w:val="644B7717"/>
    <w:rsid w:val="64794284"/>
    <w:rsid w:val="64850E7B"/>
    <w:rsid w:val="6488096B"/>
    <w:rsid w:val="648A5EF0"/>
    <w:rsid w:val="64FC371E"/>
    <w:rsid w:val="65164566"/>
    <w:rsid w:val="65200BA4"/>
    <w:rsid w:val="654900FB"/>
    <w:rsid w:val="654C1999"/>
    <w:rsid w:val="654C7BEB"/>
    <w:rsid w:val="656E7B61"/>
    <w:rsid w:val="65D33E68"/>
    <w:rsid w:val="66044022"/>
    <w:rsid w:val="66146E24"/>
    <w:rsid w:val="66157FDD"/>
    <w:rsid w:val="6626043C"/>
    <w:rsid w:val="662E6731"/>
    <w:rsid w:val="66807B4C"/>
    <w:rsid w:val="66886CF4"/>
    <w:rsid w:val="66BC2B4E"/>
    <w:rsid w:val="66C37A39"/>
    <w:rsid w:val="66FB3677"/>
    <w:rsid w:val="66FC1F83"/>
    <w:rsid w:val="671531A5"/>
    <w:rsid w:val="67156787"/>
    <w:rsid w:val="675B5AF4"/>
    <w:rsid w:val="677961F6"/>
    <w:rsid w:val="67E81E4D"/>
    <w:rsid w:val="67F92A1F"/>
    <w:rsid w:val="67FFA243"/>
    <w:rsid w:val="680F492E"/>
    <w:rsid w:val="68136366"/>
    <w:rsid w:val="682122BF"/>
    <w:rsid w:val="68295FC1"/>
    <w:rsid w:val="68774F7F"/>
    <w:rsid w:val="688574ED"/>
    <w:rsid w:val="68C33D20"/>
    <w:rsid w:val="69006D22"/>
    <w:rsid w:val="69164798"/>
    <w:rsid w:val="69270753"/>
    <w:rsid w:val="69814D1C"/>
    <w:rsid w:val="699456BD"/>
    <w:rsid w:val="69BB0E9B"/>
    <w:rsid w:val="69CE0DDB"/>
    <w:rsid w:val="6A35791F"/>
    <w:rsid w:val="6A35CE78"/>
    <w:rsid w:val="6A4964A7"/>
    <w:rsid w:val="6AA87672"/>
    <w:rsid w:val="6B170353"/>
    <w:rsid w:val="6B4F4926"/>
    <w:rsid w:val="6B663419"/>
    <w:rsid w:val="6B6F63E1"/>
    <w:rsid w:val="6B8E2D0B"/>
    <w:rsid w:val="6B923A60"/>
    <w:rsid w:val="6BA77929"/>
    <w:rsid w:val="6BB27C89"/>
    <w:rsid w:val="6C046B2A"/>
    <w:rsid w:val="6C1D408F"/>
    <w:rsid w:val="6C1E11ED"/>
    <w:rsid w:val="6C47110C"/>
    <w:rsid w:val="6C6D2921"/>
    <w:rsid w:val="6C6E7C95"/>
    <w:rsid w:val="6C847C6A"/>
    <w:rsid w:val="6C9C3206"/>
    <w:rsid w:val="6D870E98"/>
    <w:rsid w:val="6DBD6DD4"/>
    <w:rsid w:val="6E3556C0"/>
    <w:rsid w:val="6E361438"/>
    <w:rsid w:val="6E49116B"/>
    <w:rsid w:val="6E55528B"/>
    <w:rsid w:val="6E6B7334"/>
    <w:rsid w:val="6E7042BE"/>
    <w:rsid w:val="6E9879FD"/>
    <w:rsid w:val="6E9A3775"/>
    <w:rsid w:val="6ECF7BC3"/>
    <w:rsid w:val="6EE97AC5"/>
    <w:rsid w:val="6EEA46FD"/>
    <w:rsid w:val="6EF4232C"/>
    <w:rsid w:val="6F4D4C8B"/>
    <w:rsid w:val="6FA86B63"/>
    <w:rsid w:val="6FBB7E47"/>
    <w:rsid w:val="6FF731F8"/>
    <w:rsid w:val="6FF9271D"/>
    <w:rsid w:val="6FFF3A3E"/>
    <w:rsid w:val="7007308C"/>
    <w:rsid w:val="70115CB9"/>
    <w:rsid w:val="701B05C9"/>
    <w:rsid w:val="70231548"/>
    <w:rsid w:val="703B4AE4"/>
    <w:rsid w:val="703F291D"/>
    <w:rsid w:val="706E3163"/>
    <w:rsid w:val="707A3C99"/>
    <w:rsid w:val="708564FF"/>
    <w:rsid w:val="709F1517"/>
    <w:rsid w:val="70BF3967"/>
    <w:rsid w:val="70EC5DDE"/>
    <w:rsid w:val="70EF491A"/>
    <w:rsid w:val="71241A1C"/>
    <w:rsid w:val="712D6B22"/>
    <w:rsid w:val="713D663A"/>
    <w:rsid w:val="717B3894"/>
    <w:rsid w:val="717F3BC0"/>
    <w:rsid w:val="71BC7EA6"/>
    <w:rsid w:val="71C034F3"/>
    <w:rsid w:val="71F30BEF"/>
    <w:rsid w:val="724265FE"/>
    <w:rsid w:val="72457E9C"/>
    <w:rsid w:val="72842772"/>
    <w:rsid w:val="72874010"/>
    <w:rsid w:val="73005B71"/>
    <w:rsid w:val="731A30D6"/>
    <w:rsid w:val="737E18B7"/>
    <w:rsid w:val="73A04113"/>
    <w:rsid w:val="73A11102"/>
    <w:rsid w:val="73BF1BD7"/>
    <w:rsid w:val="73DF11F8"/>
    <w:rsid w:val="73F43927"/>
    <w:rsid w:val="73F751C6"/>
    <w:rsid w:val="742F2BB2"/>
    <w:rsid w:val="744147F2"/>
    <w:rsid w:val="74A9506F"/>
    <w:rsid w:val="74BD01BD"/>
    <w:rsid w:val="74D82A70"/>
    <w:rsid w:val="75023E22"/>
    <w:rsid w:val="752D2541"/>
    <w:rsid w:val="75457F23"/>
    <w:rsid w:val="754C6AAA"/>
    <w:rsid w:val="7575429C"/>
    <w:rsid w:val="758807CB"/>
    <w:rsid w:val="75BC66C7"/>
    <w:rsid w:val="75DE7B45"/>
    <w:rsid w:val="75F93477"/>
    <w:rsid w:val="760477CC"/>
    <w:rsid w:val="7610256F"/>
    <w:rsid w:val="761243B6"/>
    <w:rsid w:val="761D6AB0"/>
    <w:rsid w:val="765C4908"/>
    <w:rsid w:val="76650B0D"/>
    <w:rsid w:val="766A6123"/>
    <w:rsid w:val="7686635C"/>
    <w:rsid w:val="76B63F2A"/>
    <w:rsid w:val="76BB697E"/>
    <w:rsid w:val="76C9299A"/>
    <w:rsid w:val="76E47C83"/>
    <w:rsid w:val="76EA3491"/>
    <w:rsid w:val="76FED90B"/>
    <w:rsid w:val="77035102"/>
    <w:rsid w:val="774D3A7A"/>
    <w:rsid w:val="775361BB"/>
    <w:rsid w:val="777155D2"/>
    <w:rsid w:val="777A2396"/>
    <w:rsid w:val="77A92C7B"/>
    <w:rsid w:val="77BF83FD"/>
    <w:rsid w:val="78216CB5"/>
    <w:rsid w:val="782849BC"/>
    <w:rsid w:val="783A38D3"/>
    <w:rsid w:val="785E1CB7"/>
    <w:rsid w:val="7898151B"/>
    <w:rsid w:val="78A53442"/>
    <w:rsid w:val="78B83176"/>
    <w:rsid w:val="78D9133E"/>
    <w:rsid w:val="78D946BD"/>
    <w:rsid w:val="793842B6"/>
    <w:rsid w:val="79426EE3"/>
    <w:rsid w:val="796F6888"/>
    <w:rsid w:val="79766B8D"/>
    <w:rsid w:val="799A6D1F"/>
    <w:rsid w:val="79A11E5C"/>
    <w:rsid w:val="79D815F5"/>
    <w:rsid w:val="7A097A01"/>
    <w:rsid w:val="7A664E53"/>
    <w:rsid w:val="7AB21E46"/>
    <w:rsid w:val="7AC027B5"/>
    <w:rsid w:val="7ACF47A6"/>
    <w:rsid w:val="7B073F40"/>
    <w:rsid w:val="7B7A2964"/>
    <w:rsid w:val="7B882623"/>
    <w:rsid w:val="7B8A691F"/>
    <w:rsid w:val="7B9D6653"/>
    <w:rsid w:val="7BB120FE"/>
    <w:rsid w:val="7BBF0CBF"/>
    <w:rsid w:val="7BCE2CB0"/>
    <w:rsid w:val="7BEBC746"/>
    <w:rsid w:val="7BF247B1"/>
    <w:rsid w:val="7BF30969"/>
    <w:rsid w:val="7BFB782E"/>
    <w:rsid w:val="7BFCCE1B"/>
    <w:rsid w:val="7BFF79AB"/>
    <w:rsid w:val="7C66113B"/>
    <w:rsid w:val="7C86358B"/>
    <w:rsid w:val="7CA64A0C"/>
    <w:rsid w:val="7CB93960"/>
    <w:rsid w:val="7CC16371"/>
    <w:rsid w:val="7CFF408F"/>
    <w:rsid w:val="7D0C1CE2"/>
    <w:rsid w:val="7D1172F8"/>
    <w:rsid w:val="7D174734"/>
    <w:rsid w:val="7D3B6123"/>
    <w:rsid w:val="7D454F7B"/>
    <w:rsid w:val="7DB52379"/>
    <w:rsid w:val="7DC223A1"/>
    <w:rsid w:val="7DF12C86"/>
    <w:rsid w:val="7DF7A1B5"/>
    <w:rsid w:val="7E0E3838"/>
    <w:rsid w:val="7E3200C4"/>
    <w:rsid w:val="7E65594B"/>
    <w:rsid w:val="7E7A5886"/>
    <w:rsid w:val="7E7E09BD"/>
    <w:rsid w:val="7E8A580B"/>
    <w:rsid w:val="7E997F15"/>
    <w:rsid w:val="7EB160C6"/>
    <w:rsid w:val="7EBD33CD"/>
    <w:rsid w:val="7EC62364"/>
    <w:rsid w:val="7ECA20A5"/>
    <w:rsid w:val="7ED06D3F"/>
    <w:rsid w:val="7ED54355"/>
    <w:rsid w:val="7F19500C"/>
    <w:rsid w:val="7F361298"/>
    <w:rsid w:val="7F435763"/>
    <w:rsid w:val="7F797C95"/>
    <w:rsid w:val="7F7FAE9C"/>
    <w:rsid w:val="7FAFF37F"/>
    <w:rsid w:val="7FBFE816"/>
    <w:rsid w:val="7FD34D39"/>
    <w:rsid w:val="7FF35CED"/>
    <w:rsid w:val="7FF7242B"/>
    <w:rsid w:val="7FF7F87F"/>
    <w:rsid w:val="99F31EBA"/>
    <w:rsid w:val="9FF97DF5"/>
    <w:rsid w:val="A4FF42D7"/>
    <w:rsid w:val="B5FF3FD2"/>
    <w:rsid w:val="B7FECEF5"/>
    <w:rsid w:val="B96642C1"/>
    <w:rsid w:val="C79401B7"/>
    <w:rsid w:val="C9B75AEB"/>
    <w:rsid w:val="CFBBA4E5"/>
    <w:rsid w:val="CFF79AAF"/>
    <w:rsid w:val="D3FF3F5C"/>
    <w:rsid w:val="D556ED8A"/>
    <w:rsid w:val="D7D94B79"/>
    <w:rsid w:val="DBEB84F0"/>
    <w:rsid w:val="DF7B1240"/>
    <w:rsid w:val="DFF3117E"/>
    <w:rsid w:val="E6DEEDEF"/>
    <w:rsid w:val="EBF70D72"/>
    <w:rsid w:val="EF7499B7"/>
    <w:rsid w:val="EFBF8B31"/>
    <w:rsid w:val="EFEB2D55"/>
    <w:rsid w:val="EFFD0ADA"/>
    <w:rsid w:val="F55FB94F"/>
    <w:rsid w:val="F5BC06AC"/>
    <w:rsid w:val="F64FF116"/>
    <w:rsid w:val="F65D4E9A"/>
    <w:rsid w:val="F8FEE162"/>
    <w:rsid w:val="F95FA4BA"/>
    <w:rsid w:val="F9D9EC20"/>
    <w:rsid w:val="F9DBA5C6"/>
    <w:rsid w:val="FAF7EF04"/>
    <w:rsid w:val="FEBF8EC9"/>
    <w:rsid w:val="FF75A06D"/>
    <w:rsid w:val="FFAFDABD"/>
    <w:rsid w:val="FFBB5D10"/>
    <w:rsid w:val="FFDC38A8"/>
    <w:rsid w:val="FFF335C6"/>
    <w:rsid w:val="FFF33B4C"/>
    <w:rsid w:val="FFFF1603"/>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qFormat="1" w:unhideWhenUsed="0" w:uiPriority="0" w:semiHidden="0" w:name="index 6"/>
    <w:lsdException w:unhideWhenUsed="0" w:uiPriority="0" w:semiHidden="0" w:name="index 7"/>
    <w:lsdException w:qFormat="1" w:unhideWhenUsed="0" w:uiPriority="99"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unhideWhenUsed="0" w:uiPriority="0" w:semiHidden="0" w:name="Body Text Indent 3"/>
    <w:lsdException w:qFormat="1" w:uiPriority="99"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iPriority="99"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49"/>
    <w:qFormat/>
    <w:uiPriority w:val="0"/>
    <w:pPr>
      <w:keepNext/>
      <w:keepLines/>
      <w:spacing w:before="340" w:beforeLines="0" w:after="330" w:afterLines="0" w:line="576" w:lineRule="auto"/>
      <w:outlineLvl w:val="0"/>
    </w:pPr>
    <w:rPr>
      <w:b/>
      <w:bCs/>
      <w:kern w:val="44"/>
      <w:sz w:val="44"/>
      <w:szCs w:val="44"/>
    </w:rPr>
  </w:style>
  <w:style w:type="paragraph" w:styleId="4">
    <w:name w:val="heading 2"/>
    <w:basedOn w:val="1"/>
    <w:next w:val="1"/>
    <w:link w:val="66"/>
    <w:qFormat/>
    <w:uiPriority w:val="0"/>
    <w:pPr>
      <w:keepNext/>
      <w:keepLines/>
      <w:spacing w:before="260" w:beforeLines="0" w:after="260" w:afterLines="0" w:line="413" w:lineRule="auto"/>
      <w:outlineLvl w:val="1"/>
    </w:pPr>
    <w:rPr>
      <w:rFonts w:ascii="Arial" w:hAnsi="Arial" w:eastAsia="黑体"/>
      <w:b/>
      <w:bCs/>
      <w:sz w:val="32"/>
      <w:szCs w:val="32"/>
    </w:rPr>
  </w:style>
  <w:style w:type="paragraph" w:styleId="2">
    <w:name w:val="heading 3"/>
    <w:basedOn w:val="1"/>
    <w:next w:val="1"/>
    <w:link w:val="51"/>
    <w:qFormat/>
    <w:uiPriority w:val="0"/>
    <w:pPr>
      <w:keepNext/>
      <w:keepLines/>
      <w:spacing w:line="600" w:lineRule="exact"/>
      <w:ind w:firstLine="643" w:firstLineChars="200"/>
      <w:outlineLvl w:val="2"/>
    </w:pPr>
    <w:rPr>
      <w:b/>
      <w:bCs/>
      <w:sz w:val="32"/>
      <w:szCs w:val="32"/>
    </w:rPr>
  </w:style>
  <w:style w:type="paragraph" w:styleId="5">
    <w:name w:val="heading 4"/>
    <w:basedOn w:val="1"/>
    <w:next w:val="1"/>
    <w:link w:val="52"/>
    <w:qFormat/>
    <w:uiPriority w:val="0"/>
    <w:pPr>
      <w:tabs>
        <w:tab w:val="left" w:pos="2155"/>
      </w:tabs>
      <w:adjustRightInd w:val="0"/>
      <w:spacing w:before="120" w:beforeLines="0" w:line="360" w:lineRule="auto"/>
      <w:ind w:left="2155" w:hanging="1078"/>
      <w:textAlignment w:val="baseline"/>
      <w:outlineLvl w:val="3"/>
    </w:pPr>
    <w:rPr>
      <w:rFonts w:ascii="Arial" w:eastAsia="黑体"/>
      <w:kern w:val="0"/>
      <w:sz w:val="28"/>
      <w:szCs w:val="20"/>
    </w:rPr>
  </w:style>
  <w:style w:type="paragraph" w:styleId="6">
    <w:name w:val="heading 5"/>
    <w:basedOn w:val="1"/>
    <w:next w:val="1"/>
    <w:link w:val="53"/>
    <w:qFormat/>
    <w:uiPriority w:val="0"/>
    <w:pPr>
      <w:keepNext/>
      <w:keepLines/>
      <w:spacing w:before="280" w:after="290" w:line="376" w:lineRule="auto"/>
      <w:outlineLvl w:val="4"/>
    </w:pPr>
    <w:rPr>
      <w:b/>
      <w:bCs/>
      <w:sz w:val="28"/>
      <w:szCs w:val="28"/>
    </w:rPr>
  </w:style>
  <w:style w:type="character" w:default="1" w:styleId="41">
    <w:name w:val="Default Paragraph Font"/>
    <w:semiHidden/>
    <w:qFormat/>
    <w:uiPriority w:val="0"/>
  </w:style>
  <w:style w:type="table" w:default="1" w:styleId="39">
    <w:name w:val="Normal Table"/>
    <w:semiHidden/>
    <w:qFormat/>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7">
    <w:name w:val="toc 7"/>
    <w:basedOn w:val="1"/>
    <w:next w:val="1"/>
    <w:qFormat/>
    <w:uiPriority w:val="0"/>
    <w:pPr>
      <w:jc w:val="left"/>
    </w:pPr>
    <w:rPr>
      <w:rFonts w:ascii="Calibri" w:hAnsi="Calibri"/>
      <w:sz w:val="22"/>
      <w:szCs w:val="22"/>
    </w:rPr>
  </w:style>
  <w:style w:type="paragraph" w:styleId="8">
    <w:name w:val="index 8"/>
    <w:basedOn w:val="1"/>
    <w:next w:val="1"/>
    <w:semiHidden/>
    <w:qFormat/>
    <w:uiPriority w:val="99"/>
    <w:pPr>
      <w:adjustRightInd w:val="0"/>
      <w:spacing w:line="360" w:lineRule="atLeast"/>
      <w:ind w:left="2940"/>
      <w:textAlignment w:val="baseline"/>
    </w:pPr>
  </w:style>
  <w:style w:type="paragraph" w:styleId="9">
    <w:name w:val="Normal Indent"/>
    <w:basedOn w:val="1"/>
    <w:qFormat/>
    <w:uiPriority w:val="0"/>
    <w:pPr>
      <w:ind w:firstLine="420"/>
    </w:pPr>
    <w:rPr>
      <w:szCs w:val="20"/>
    </w:rPr>
  </w:style>
  <w:style w:type="paragraph" w:styleId="10">
    <w:name w:val="caption"/>
    <w:basedOn w:val="1"/>
    <w:next w:val="1"/>
    <w:qFormat/>
    <w:uiPriority w:val="0"/>
    <w:pPr>
      <w:spacing w:before="152" w:after="160"/>
    </w:pPr>
    <w:rPr>
      <w:rFonts w:ascii="Arial" w:hAnsi="Arial" w:eastAsia="黑体" w:cs="Arial"/>
      <w:sz w:val="20"/>
      <w:szCs w:val="20"/>
    </w:rPr>
  </w:style>
  <w:style w:type="paragraph" w:styleId="11">
    <w:name w:val="Document Map"/>
    <w:basedOn w:val="1"/>
    <w:link w:val="54"/>
    <w:qFormat/>
    <w:uiPriority w:val="0"/>
    <w:rPr>
      <w:rFonts w:ascii="宋体"/>
      <w:sz w:val="18"/>
      <w:szCs w:val="18"/>
    </w:rPr>
  </w:style>
  <w:style w:type="paragraph" w:styleId="12">
    <w:name w:val="annotation text"/>
    <w:basedOn w:val="1"/>
    <w:link w:val="55"/>
    <w:qFormat/>
    <w:uiPriority w:val="0"/>
    <w:pPr>
      <w:jc w:val="left"/>
    </w:pPr>
  </w:style>
  <w:style w:type="paragraph" w:styleId="13">
    <w:name w:val="index 6"/>
    <w:basedOn w:val="1"/>
    <w:next w:val="1"/>
    <w:qFormat/>
    <w:uiPriority w:val="0"/>
    <w:pPr>
      <w:ind w:left="2100"/>
    </w:pPr>
    <w:rPr>
      <w:rFonts w:ascii="Times New Roman" w:hAnsi="Times New Roman"/>
    </w:rPr>
  </w:style>
  <w:style w:type="paragraph" w:styleId="14">
    <w:name w:val="Body Text 3"/>
    <w:basedOn w:val="1"/>
    <w:link w:val="56"/>
    <w:qFormat/>
    <w:uiPriority w:val="0"/>
    <w:pPr>
      <w:spacing w:after="120"/>
    </w:pPr>
    <w:rPr>
      <w:sz w:val="16"/>
      <w:szCs w:val="16"/>
    </w:rPr>
  </w:style>
  <w:style w:type="paragraph" w:styleId="15">
    <w:name w:val="Body Text"/>
    <w:basedOn w:val="1"/>
    <w:link w:val="57"/>
    <w:qFormat/>
    <w:uiPriority w:val="0"/>
    <w:pPr>
      <w:spacing w:after="120"/>
    </w:pPr>
  </w:style>
  <w:style w:type="paragraph" w:styleId="16">
    <w:name w:val="Body Text Indent"/>
    <w:basedOn w:val="1"/>
    <w:link w:val="58"/>
    <w:qFormat/>
    <w:uiPriority w:val="0"/>
    <w:pPr>
      <w:spacing w:line="200" w:lineRule="exact"/>
      <w:ind w:firstLine="301"/>
    </w:pPr>
    <w:rPr>
      <w:rFonts w:ascii="宋体" w:hAnsi="Courier New"/>
      <w:spacing w:val="-4"/>
      <w:sz w:val="18"/>
      <w:szCs w:val="20"/>
    </w:rPr>
  </w:style>
  <w:style w:type="paragraph" w:styleId="17">
    <w:name w:val="Block Text"/>
    <w:basedOn w:val="1"/>
    <w:unhideWhenUsed/>
    <w:qFormat/>
    <w:uiPriority w:val="99"/>
    <w:pPr>
      <w:spacing w:after="120"/>
      <w:ind w:left="1440" w:leftChars="700" w:right="1440" w:rightChars="700"/>
    </w:pPr>
    <w:rPr>
      <w:rFonts w:ascii="Times New Roman" w:hAnsi="Times New Roman" w:eastAsia="宋体" w:cs="Times New Roman"/>
    </w:rPr>
  </w:style>
  <w:style w:type="paragraph" w:styleId="18">
    <w:name w:val="toc 5"/>
    <w:basedOn w:val="1"/>
    <w:next w:val="1"/>
    <w:qFormat/>
    <w:uiPriority w:val="0"/>
    <w:pPr>
      <w:jc w:val="left"/>
    </w:pPr>
    <w:rPr>
      <w:rFonts w:ascii="Calibri" w:hAnsi="Calibri"/>
      <w:sz w:val="22"/>
      <w:szCs w:val="22"/>
    </w:rPr>
  </w:style>
  <w:style w:type="paragraph" w:styleId="19">
    <w:name w:val="toc 3"/>
    <w:basedOn w:val="1"/>
    <w:next w:val="1"/>
    <w:qFormat/>
    <w:uiPriority w:val="0"/>
    <w:pPr>
      <w:jc w:val="left"/>
    </w:pPr>
    <w:rPr>
      <w:rFonts w:ascii="Calibri" w:hAnsi="Calibri"/>
      <w:smallCaps/>
      <w:sz w:val="22"/>
      <w:szCs w:val="22"/>
    </w:rPr>
  </w:style>
  <w:style w:type="paragraph" w:styleId="20">
    <w:name w:val="Plain Text"/>
    <w:basedOn w:val="1"/>
    <w:link w:val="59"/>
    <w:qFormat/>
    <w:uiPriority w:val="0"/>
    <w:rPr>
      <w:rFonts w:ascii="宋体" w:hAnsi="Courier New"/>
      <w:szCs w:val="20"/>
    </w:rPr>
  </w:style>
  <w:style w:type="paragraph" w:styleId="21">
    <w:name w:val="toc 8"/>
    <w:basedOn w:val="1"/>
    <w:next w:val="1"/>
    <w:qFormat/>
    <w:uiPriority w:val="0"/>
    <w:pPr>
      <w:jc w:val="left"/>
    </w:pPr>
    <w:rPr>
      <w:rFonts w:ascii="Calibri" w:hAnsi="Calibri"/>
      <w:sz w:val="22"/>
      <w:szCs w:val="22"/>
    </w:rPr>
  </w:style>
  <w:style w:type="paragraph" w:styleId="22">
    <w:name w:val="Date"/>
    <w:basedOn w:val="1"/>
    <w:next w:val="1"/>
    <w:link w:val="60"/>
    <w:qFormat/>
    <w:uiPriority w:val="0"/>
    <w:pPr>
      <w:ind w:left="100" w:leftChars="2500"/>
    </w:pPr>
  </w:style>
  <w:style w:type="paragraph" w:styleId="23">
    <w:name w:val="Body Text Indent 2"/>
    <w:basedOn w:val="1"/>
    <w:link w:val="61"/>
    <w:qFormat/>
    <w:uiPriority w:val="0"/>
    <w:pPr>
      <w:spacing w:after="120" w:afterLines="0" w:line="480" w:lineRule="auto"/>
      <w:ind w:left="420" w:leftChars="200"/>
    </w:pPr>
  </w:style>
  <w:style w:type="paragraph" w:styleId="24">
    <w:name w:val="Balloon Text"/>
    <w:basedOn w:val="1"/>
    <w:link w:val="62"/>
    <w:qFormat/>
    <w:uiPriority w:val="0"/>
    <w:rPr>
      <w:sz w:val="18"/>
      <w:szCs w:val="18"/>
    </w:rPr>
  </w:style>
  <w:style w:type="paragraph" w:styleId="25">
    <w:name w:val="footer"/>
    <w:basedOn w:val="1"/>
    <w:link w:val="63"/>
    <w:unhideWhenUsed/>
    <w:qFormat/>
    <w:uiPriority w:val="99"/>
    <w:pPr>
      <w:tabs>
        <w:tab w:val="center" w:pos="4153"/>
        <w:tab w:val="right" w:pos="8306"/>
      </w:tabs>
      <w:snapToGrid w:val="0"/>
      <w:jc w:val="left"/>
    </w:pPr>
    <w:rPr>
      <w:sz w:val="18"/>
      <w:szCs w:val="18"/>
    </w:rPr>
  </w:style>
  <w:style w:type="paragraph" w:styleId="26">
    <w:name w:val="header"/>
    <w:basedOn w:val="1"/>
    <w:link w:val="64"/>
    <w:qFormat/>
    <w:uiPriority w:val="0"/>
    <w:pPr>
      <w:pBdr>
        <w:bottom w:val="single" w:color="auto" w:sz="6" w:space="1"/>
      </w:pBdr>
      <w:tabs>
        <w:tab w:val="center" w:pos="4153"/>
        <w:tab w:val="right" w:pos="8306"/>
      </w:tabs>
      <w:snapToGrid w:val="0"/>
      <w:jc w:val="center"/>
    </w:pPr>
    <w:rPr>
      <w:sz w:val="18"/>
      <w:szCs w:val="18"/>
    </w:rPr>
  </w:style>
  <w:style w:type="paragraph" w:styleId="27">
    <w:name w:val="toc 1"/>
    <w:basedOn w:val="1"/>
    <w:next w:val="1"/>
    <w:qFormat/>
    <w:uiPriority w:val="0"/>
    <w:pPr>
      <w:spacing w:before="360" w:after="360"/>
      <w:jc w:val="left"/>
    </w:pPr>
    <w:rPr>
      <w:rFonts w:ascii="Calibri" w:hAnsi="Calibri"/>
      <w:b/>
      <w:bCs/>
      <w:caps/>
      <w:sz w:val="22"/>
      <w:szCs w:val="22"/>
      <w:u w:val="single"/>
    </w:rPr>
  </w:style>
  <w:style w:type="paragraph" w:styleId="28">
    <w:name w:val="toc 4"/>
    <w:basedOn w:val="1"/>
    <w:next w:val="1"/>
    <w:qFormat/>
    <w:uiPriority w:val="0"/>
    <w:pPr>
      <w:jc w:val="left"/>
    </w:pPr>
    <w:rPr>
      <w:rFonts w:ascii="Calibri" w:hAnsi="Calibri"/>
      <w:sz w:val="22"/>
      <w:szCs w:val="22"/>
    </w:rPr>
  </w:style>
  <w:style w:type="paragraph" w:styleId="29">
    <w:name w:val="List"/>
    <w:basedOn w:val="1"/>
    <w:qFormat/>
    <w:uiPriority w:val="0"/>
    <w:pPr>
      <w:ind w:left="200" w:hanging="200" w:hangingChars="200"/>
    </w:pPr>
    <w:rPr>
      <w:sz w:val="28"/>
    </w:rPr>
  </w:style>
  <w:style w:type="paragraph" w:styleId="30">
    <w:name w:val="toc 6"/>
    <w:basedOn w:val="1"/>
    <w:next w:val="1"/>
    <w:qFormat/>
    <w:uiPriority w:val="0"/>
    <w:pPr>
      <w:jc w:val="left"/>
    </w:pPr>
    <w:rPr>
      <w:rFonts w:ascii="Calibri" w:hAnsi="Calibri"/>
      <w:sz w:val="22"/>
      <w:szCs w:val="22"/>
    </w:rPr>
  </w:style>
  <w:style w:type="paragraph" w:styleId="31">
    <w:name w:val="toc 2"/>
    <w:basedOn w:val="1"/>
    <w:next w:val="1"/>
    <w:qFormat/>
    <w:uiPriority w:val="0"/>
    <w:pPr>
      <w:jc w:val="left"/>
    </w:pPr>
    <w:rPr>
      <w:rFonts w:ascii="Calibri" w:hAnsi="Calibri"/>
      <w:b/>
      <w:bCs/>
      <w:smallCaps/>
      <w:sz w:val="22"/>
      <w:szCs w:val="22"/>
    </w:rPr>
  </w:style>
  <w:style w:type="paragraph" w:styleId="32">
    <w:name w:val="toc 9"/>
    <w:basedOn w:val="1"/>
    <w:next w:val="1"/>
    <w:qFormat/>
    <w:uiPriority w:val="0"/>
    <w:pPr>
      <w:jc w:val="left"/>
    </w:pPr>
    <w:rPr>
      <w:rFonts w:ascii="Calibri" w:hAnsi="Calibri"/>
      <w:sz w:val="22"/>
      <w:szCs w:val="22"/>
    </w:rPr>
  </w:style>
  <w:style w:type="paragraph" w:styleId="33">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34">
    <w:name w:val="index 1"/>
    <w:basedOn w:val="1"/>
    <w:next w:val="1"/>
    <w:semiHidden/>
    <w:qFormat/>
    <w:uiPriority w:val="0"/>
    <w:pPr>
      <w:spacing w:line="400" w:lineRule="exact"/>
      <w:ind w:firstLine="420" w:firstLineChars="200"/>
    </w:pPr>
    <w:rPr>
      <w:rFonts w:ascii="宋体" w:hAnsi="Courier New"/>
      <w:b/>
      <w:szCs w:val="20"/>
    </w:rPr>
  </w:style>
  <w:style w:type="paragraph" w:styleId="35">
    <w:name w:val="Title"/>
    <w:basedOn w:val="1"/>
    <w:next w:val="1"/>
    <w:qFormat/>
    <w:uiPriority w:val="0"/>
    <w:pPr>
      <w:widowControl w:val="0"/>
      <w:spacing w:before="240" w:after="60"/>
      <w:jc w:val="center"/>
      <w:outlineLvl w:val="0"/>
    </w:pPr>
    <w:rPr>
      <w:rFonts w:ascii="Arial" w:hAnsi="Arial" w:eastAsia="宋体" w:cs="Arial"/>
      <w:b/>
      <w:bCs/>
      <w:kern w:val="2"/>
      <w:sz w:val="32"/>
      <w:szCs w:val="32"/>
      <w:lang w:val="en-US" w:eastAsia="zh-CN" w:bidi="ar-SA"/>
    </w:rPr>
  </w:style>
  <w:style w:type="paragraph" w:styleId="36">
    <w:name w:val="annotation subject"/>
    <w:basedOn w:val="12"/>
    <w:next w:val="12"/>
    <w:link w:val="65"/>
    <w:qFormat/>
    <w:uiPriority w:val="0"/>
    <w:rPr>
      <w:b/>
      <w:bCs/>
    </w:rPr>
  </w:style>
  <w:style w:type="paragraph" w:styleId="37">
    <w:name w:val="Body Text First Indent"/>
    <w:basedOn w:val="15"/>
    <w:qFormat/>
    <w:uiPriority w:val="0"/>
    <w:pPr>
      <w:wordWrap w:val="0"/>
      <w:topLinePunct/>
      <w:spacing w:after="0" w:line="600" w:lineRule="exact"/>
      <w:ind w:firstLine="880" w:firstLineChars="200"/>
    </w:pPr>
  </w:style>
  <w:style w:type="paragraph" w:styleId="38">
    <w:name w:val="Body Text First Indent 2"/>
    <w:basedOn w:val="16"/>
    <w:qFormat/>
    <w:uiPriority w:val="0"/>
    <w:pPr>
      <w:spacing w:line="600" w:lineRule="exact"/>
      <w:ind w:firstLine="200" w:firstLineChars="200"/>
      <w:jc w:val="both"/>
    </w:pPr>
    <w:rPr>
      <w:rFonts w:ascii="Times New Roman" w:hAnsi="Times New Roman" w:eastAsia="仿宋_GB2312" w:cs="Times New Roman"/>
      <w:kern w:val="2"/>
      <w:sz w:val="32"/>
      <w:szCs w:val="21"/>
      <w:lang w:val="en-US" w:eastAsia="zh-CN" w:bidi="ar-SA"/>
    </w:rPr>
  </w:style>
  <w:style w:type="table" w:styleId="40">
    <w:name w:val="Table Grid"/>
    <w:basedOn w:val="3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2">
    <w:name w:val="Strong"/>
    <w:basedOn w:val="41"/>
    <w:qFormat/>
    <w:uiPriority w:val="0"/>
    <w:rPr>
      <w:b/>
    </w:rPr>
  </w:style>
  <w:style w:type="character" w:styleId="43">
    <w:name w:val="page number"/>
    <w:qFormat/>
    <w:uiPriority w:val="0"/>
  </w:style>
  <w:style w:type="character" w:styleId="44">
    <w:name w:val="FollowedHyperlink"/>
    <w:qFormat/>
    <w:uiPriority w:val="0"/>
    <w:rPr>
      <w:color w:val="800080"/>
      <w:u w:val="single"/>
    </w:rPr>
  </w:style>
  <w:style w:type="character" w:styleId="45">
    <w:name w:val="Hyperlink"/>
    <w:qFormat/>
    <w:uiPriority w:val="0"/>
    <w:rPr>
      <w:color w:val="0000FF"/>
      <w:u w:val="single"/>
    </w:rPr>
  </w:style>
  <w:style w:type="character" w:styleId="46">
    <w:name w:val="annotation reference"/>
    <w:qFormat/>
    <w:uiPriority w:val="0"/>
    <w:rPr>
      <w:sz w:val="21"/>
      <w:szCs w:val="21"/>
    </w:rPr>
  </w:style>
  <w:style w:type="paragraph" w:customStyle="1" w:styleId="47">
    <w:name w:val="BodyText1I2"/>
    <w:basedOn w:val="48"/>
    <w:qFormat/>
    <w:uiPriority w:val="0"/>
    <w:pPr>
      <w:ind w:firstLine="420"/>
    </w:pPr>
  </w:style>
  <w:style w:type="paragraph" w:customStyle="1" w:styleId="48">
    <w:name w:val="BodyTextIndent"/>
    <w:basedOn w:val="1"/>
    <w:qFormat/>
    <w:uiPriority w:val="0"/>
    <w:pPr>
      <w:spacing w:after="120"/>
      <w:ind w:left="420" w:leftChars="200"/>
      <w:textAlignment w:val="baseline"/>
    </w:pPr>
  </w:style>
  <w:style w:type="character" w:customStyle="1" w:styleId="49">
    <w:name w:val="标题 1 字符1"/>
    <w:link w:val="3"/>
    <w:qFormat/>
    <w:uiPriority w:val="0"/>
    <w:rPr>
      <w:b/>
      <w:bCs/>
      <w:kern w:val="44"/>
      <w:sz w:val="44"/>
      <w:szCs w:val="44"/>
    </w:rPr>
  </w:style>
  <w:style w:type="character" w:customStyle="1" w:styleId="50">
    <w:name w:val="标题 2 字符1"/>
    <w:link w:val="4"/>
    <w:qFormat/>
    <w:uiPriority w:val="0"/>
    <w:rPr>
      <w:rFonts w:ascii="Arial" w:hAnsi="Arial" w:eastAsia="黑体"/>
      <w:b/>
      <w:bCs/>
      <w:kern w:val="2"/>
      <w:sz w:val="32"/>
      <w:szCs w:val="32"/>
    </w:rPr>
  </w:style>
  <w:style w:type="character" w:customStyle="1" w:styleId="51">
    <w:name w:val="标题 3 字符1"/>
    <w:link w:val="2"/>
    <w:qFormat/>
    <w:uiPriority w:val="0"/>
    <w:rPr>
      <w:b/>
      <w:bCs/>
      <w:kern w:val="2"/>
      <w:sz w:val="32"/>
      <w:szCs w:val="32"/>
    </w:rPr>
  </w:style>
  <w:style w:type="character" w:customStyle="1" w:styleId="52">
    <w:name w:val="标题 4 字符1"/>
    <w:link w:val="5"/>
    <w:qFormat/>
    <w:uiPriority w:val="0"/>
    <w:rPr>
      <w:rFonts w:ascii="Arial" w:eastAsia="黑体"/>
      <w:sz w:val="28"/>
    </w:rPr>
  </w:style>
  <w:style w:type="character" w:customStyle="1" w:styleId="53">
    <w:name w:val="标题 5 字符1"/>
    <w:link w:val="6"/>
    <w:qFormat/>
    <w:uiPriority w:val="9"/>
    <w:rPr>
      <w:b/>
      <w:bCs/>
      <w:kern w:val="2"/>
      <w:sz w:val="28"/>
      <w:szCs w:val="28"/>
    </w:rPr>
  </w:style>
  <w:style w:type="character" w:customStyle="1" w:styleId="54">
    <w:name w:val="文档结构图 字符1"/>
    <w:link w:val="11"/>
    <w:qFormat/>
    <w:uiPriority w:val="0"/>
    <w:rPr>
      <w:rFonts w:ascii="宋体"/>
      <w:kern w:val="2"/>
      <w:sz w:val="18"/>
      <w:szCs w:val="18"/>
    </w:rPr>
  </w:style>
  <w:style w:type="character" w:customStyle="1" w:styleId="55">
    <w:name w:val="批注文字 字符2"/>
    <w:link w:val="12"/>
    <w:qFormat/>
    <w:uiPriority w:val="0"/>
    <w:rPr>
      <w:kern w:val="2"/>
      <w:sz w:val="21"/>
      <w:szCs w:val="24"/>
    </w:rPr>
  </w:style>
  <w:style w:type="character" w:customStyle="1" w:styleId="56">
    <w:name w:val="正文文本 3 字符1"/>
    <w:link w:val="14"/>
    <w:qFormat/>
    <w:uiPriority w:val="99"/>
    <w:rPr>
      <w:kern w:val="2"/>
      <w:sz w:val="16"/>
      <w:szCs w:val="16"/>
    </w:rPr>
  </w:style>
  <w:style w:type="character" w:customStyle="1" w:styleId="57">
    <w:name w:val="正文文本 字符1"/>
    <w:link w:val="15"/>
    <w:qFormat/>
    <w:uiPriority w:val="99"/>
    <w:rPr>
      <w:kern w:val="2"/>
      <w:sz w:val="21"/>
      <w:szCs w:val="24"/>
    </w:rPr>
  </w:style>
  <w:style w:type="character" w:customStyle="1" w:styleId="58">
    <w:name w:val="正文文本缩进 字符1"/>
    <w:link w:val="16"/>
    <w:qFormat/>
    <w:uiPriority w:val="0"/>
    <w:rPr>
      <w:rFonts w:ascii="宋体" w:hAnsi="Courier New" w:eastAsia="宋体"/>
      <w:spacing w:val="-4"/>
      <w:kern w:val="2"/>
      <w:sz w:val="18"/>
      <w:lang w:val="en-US" w:eastAsia="zh-CN" w:bidi="ar-SA"/>
    </w:rPr>
  </w:style>
  <w:style w:type="character" w:customStyle="1" w:styleId="59">
    <w:name w:val="纯文本 字符3"/>
    <w:link w:val="20"/>
    <w:qFormat/>
    <w:uiPriority w:val="0"/>
    <w:rPr>
      <w:rFonts w:ascii="宋体" w:hAnsi="Courier New" w:eastAsia="宋体"/>
      <w:kern w:val="2"/>
      <w:sz w:val="21"/>
      <w:lang w:val="en-US" w:eastAsia="zh-CN" w:bidi="ar-SA"/>
    </w:rPr>
  </w:style>
  <w:style w:type="character" w:customStyle="1" w:styleId="60">
    <w:name w:val="日期 字符1"/>
    <w:link w:val="22"/>
    <w:qFormat/>
    <w:uiPriority w:val="0"/>
    <w:rPr>
      <w:kern w:val="2"/>
      <w:sz w:val="21"/>
      <w:szCs w:val="24"/>
    </w:rPr>
  </w:style>
  <w:style w:type="character" w:customStyle="1" w:styleId="61">
    <w:name w:val="正文文本缩进 2 字符1"/>
    <w:link w:val="23"/>
    <w:qFormat/>
    <w:uiPriority w:val="0"/>
    <w:rPr>
      <w:kern w:val="2"/>
      <w:sz w:val="21"/>
      <w:szCs w:val="24"/>
    </w:rPr>
  </w:style>
  <w:style w:type="character" w:customStyle="1" w:styleId="62">
    <w:name w:val="批注框文本 字符1"/>
    <w:link w:val="24"/>
    <w:qFormat/>
    <w:uiPriority w:val="0"/>
    <w:rPr>
      <w:kern w:val="2"/>
      <w:sz w:val="18"/>
      <w:szCs w:val="18"/>
    </w:rPr>
  </w:style>
  <w:style w:type="character" w:customStyle="1" w:styleId="63">
    <w:name w:val="页脚 字符2"/>
    <w:link w:val="25"/>
    <w:qFormat/>
    <w:uiPriority w:val="99"/>
    <w:rPr>
      <w:kern w:val="2"/>
      <w:sz w:val="18"/>
      <w:szCs w:val="18"/>
    </w:rPr>
  </w:style>
  <w:style w:type="character" w:customStyle="1" w:styleId="64">
    <w:name w:val="页眉 字符2"/>
    <w:link w:val="26"/>
    <w:qFormat/>
    <w:uiPriority w:val="99"/>
    <w:rPr>
      <w:kern w:val="2"/>
      <w:sz w:val="18"/>
      <w:szCs w:val="18"/>
    </w:rPr>
  </w:style>
  <w:style w:type="character" w:customStyle="1" w:styleId="65">
    <w:name w:val="批注主题 字符1"/>
    <w:link w:val="36"/>
    <w:qFormat/>
    <w:uiPriority w:val="99"/>
    <w:rPr>
      <w:b/>
      <w:bCs/>
      <w:kern w:val="2"/>
      <w:sz w:val="21"/>
      <w:szCs w:val="24"/>
    </w:rPr>
  </w:style>
  <w:style w:type="character" w:customStyle="1" w:styleId="66">
    <w:name w:val="标题 2 字符2"/>
    <w:link w:val="4"/>
    <w:qFormat/>
    <w:uiPriority w:val="0"/>
    <w:rPr>
      <w:rFonts w:ascii="Arial" w:hAnsi="Arial" w:eastAsia="黑体" w:cs="Times New Roman"/>
      <w:b/>
      <w:bCs/>
      <w:sz w:val="32"/>
      <w:szCs w:val="32"/>
    </w:rPr>
  </w:style>
  <w:style w:type="character" w:customStyle="1" w:styleId="67">
    <w:name w:val="页眉 字符"/>
    <w:qFormat/>
    <w:uiPriority w:val="99"/>
    <w:rPr>
      <w:rFonts w:ascii="Times New Roman" w:hAnsi="Times New Roman"/>
      <w:kern w:val="2"/>
      <w:sz w:val="18"/>
      <w:szCs w:val="18"/>
    </w:rPr>
  </w:style>
  <w:style w:type="character" w:customStyle="1" w:styleId="68">
    <w:name w:val="Char Char1"/>
    <w:qFormat/>
    <w:uiPriority w:val="0"/>
    <w:rPr>
      <w:rFonts w:ascii="宋体" w:hAnsi="Courier New" w:eastAsia="宋体"/>
      <w:kern w:val="2"/>
      <w:sz w:val="21"/>
      <w:lang w:val="en-US" w:eastAsia="zh-CN" w:bidi="ar-SA"/>
    </w:rPr>
  </w:style>
  <w:style w:type="character" w:customStyle="1" w:styleId="69">
    <w:name w:val="纯文本 字符2"/>
    <w:qFormat/>
    <w:uiPriority w:val="0"/>
    <w:rPr>
      <w:rFonts w:ascii="宋体" w:hAnsi="Courier New" w:eastAsia="宋体" w:cs="Courier New"/>
      <w:szCs w:val="21"/>
    </w:rPr>
  </w:style>
  <w:style w:type="character" w:customStyle="1" w:styleId="70">
    <w:name w:val="正文文本_"/>
    <w:link w:val="71"/>
    <w:qFormat/>
    <w:uiPriority w:val="0"/>
    <w:rPr>
      <w:rFonts w:ascii="MingLiU" w:hAnsi="MingLiU" w:eastAsia="MingLiU" w:cs="MingLiU"/>
      <w:spacing w:val="9"/>
      <w:sz w:val="19"/>
      <w:szCs w:val="19"/>
      <w:shd w:val="clear" w:color="auto" w:fill="FFFFFF"/>
    </w:rPr>
  </w:style>
  <w:style w:type="paragraph" w:customStyle="1" w:styleId="71">
    <w:name w:val="正文文本1"/>
    <w:basedOn w:val="1"/>
    <w:link w:val="70"/>
    <w:qFormat/>
    <w:uiPriority w:val="0"/>
    <w:pPr>
      <w:shd w:val="clear" w:color="auto" w:fill="FFFFFF"/>
      <w:spacing w:line="302" w:lineRule="exact"/>
      <w:ind w:firstLine="460"/>
      <w:jc w:val="left"/>
    </w:pPr>
    <w:rPr>
      <w:rFonts w:ascii="MingLiU" w:hAnsi="MingLiU" w:eastAsia="MingLiU"/>
      <w:spacing w:val="9"/>
      <w:kern w:val="0"/>
      <w:sz w:val="19"/>
      <w:szCs w:val="19"/>
    </w:rPr>
  </w:style>
  <w:style w:type="character" w:customStyle="1" w:styleId="72">
    <w:name w:val="纯文本 Char1"/>
    <w:link w:val="73"/>
    <w:qFormat/>
    <w:uiPriority w:val="0"/>
    <w:rPr>
      <w:rFonts w:ascii="宋体" w:hAnsi="Courier New" w:eastAsia="宋体"/>
      <w:kern w:val="2"/>
      <w:sz w:val="21"/>
      <w:lang w:val="en-US" w:eastAsia="zh-CN" w:bidi="ar-SA"/>
    </w:rPr>
  </w:style>
  <w:style w:type="paragraph" w:customStyle="1" w:styleId="73">
    <w:name w:val="纯文本1"/>
    <w:basedOn w:val="1"/>
    <w:link w:val="72"/>
    <w:qFormat/>
    <w:uiPriority w:val="0"/>
    <w:rPr>
      <w:rFonts w:ascii="宋体" w:hAnsi="Courier New"/>
      <w:szCs w:val="20"/>
    </w:rPr>
  </w:style>
  <w:style w:type="character" w:customStyle="1" w:styleId="74">
    <w:name w:val="正文文本 + 10 pt"/>
    <w:qFormat/>
    <w:uiPriority w:val="0"/>
    <w:rPr>
      <w:rFonts w:ascii="MingLiU" w:hAnsi="MingLiU" w:eastAsia="MingLiU" w:cs="MingLiU"/>
      <w:color w:val="000000"/>
      <w:spacing w:val="8"/>
      <w:w w:val="100"/>
      <w:position w:val="0"/>
      <w:sz w:val="20"/>
      <w:szCs w:val="20"/>
      <w:shd w:val="clear" w:color="auto" w:fill="FFFFFF"/>
      <w:lang w:val="zh-TW"/>
    </w:rPr>
  </w:style>
  <w:style w:type="character" w:customStyle="1" w:styleId="75">
    <w:name w:val="正文文本 (26) + 间距 0 pt"/>
    <w:qFormat/>
    <w:uiPriority w:val="0"/>
    <w:rPr>
      <w:rFonts w:ascii="宋体" w:hAnsi="宋体" w:eastAsia="宋体" w:cs="宋体"/>
      <w:color w:val="000000"/>
      <w:spacing w:val="0"/>
      <w:w w:val="100"/>
      <w:position w:val="0"/>
      <w:sz w:val="22"/>
      <w:szCs w:val="22"/>
      <w:u w:val="none"/>
      <w:lang w:val="zh-CN" w:eastAsia="zh-CN" w:bidi="zh-CN"/>
    </w:rPr>
  </w:style>
  <w:style w:type="character" w:customStyle="1" w:styleId="76">
    <w:name w:val="页脚 字符"/>
    <w:qFormat/>
    <w:uiPriority w:val="99"/>
    <w:rPr>
      <w:sz w:val="18"/>
      <w:szCs w:val="18"/>
    </w:rPr>
  </w:style>
  <w:style w:type="character" w:customStyle="1" w:styleId="77">
    <w:name w:val="批注文字 字符1"/>
    <w:qFormat/>
    <w:uiPriority w:val="0"/>
    <w:rPr>
      <w:rFonts w:ascii="Times New Roman" w:hAnsi="Times New Roman"/>
      <w:kern w:val="2"/>
      <w:sz w:val="21"/>
      <w:szCs w:val="24"/>
    </w:rPr>
  </w:style>
  <w:style w:type="character" w:customStyle="1" w:styleId="78">
    <w:name w:val="正文2 Char Char"/>
    <w:link w:val="79"/>
    <w:qFormat/>
    <w:uiPriority w:val="0"/>
    <w:rPr>
      <w:kern w:val="2"/>
      <w:sz w:val="24"/>
    </w:rPr>
  </w:style>
  <w:style w:type="paragraph" w:customStyle="1" w:styleId="79">
    <w:name w:val="正文2"/>
    <w:basedOn w:val="1"/>
    <w:link w:val="78"/>
    <w:qFormat/>
    <w:uiPriority w:val="0"/>
    <w:pPr>
      <w:adjustRightInd w:val="0"/>
      <w:spacing w:before="156" w:line="360" w:lineRule="auto"/>
      <w:ind w:firstLine="510" w:firstLineChars="200"/>
    </w:pPr>
    <w:rPr>
      <w:sz w:val="24"/>
      <w:szCs w:val="20"/>
    </w:rPr>
  </w:style>
  <w:style w:type="character" w:customStyle="1" w:styleId="80">
    <w:name w:val="纯文本 Char_0"/>
    <w:link w:val="81"/>
    <w:qFormat/>
    <w:uiPriority w:val="0"/>
    <w:rPr>
      <w:rFonts w:ascii="宋体" w:hAnsi="Courier New"/>
      <w:kern w:val="2"/>
      <w:sz w:val="21"/>
      <w:szCs w:val="21"/>
    </w:rPr>
  </w:style>
  <w:style w:type="paragraph" w:customStyle="1" w:styleId="81">
    <w:name w:val="纯文本_0_0"/>
    <w:basedOn w:val="1"/>
    <w:link w:val="80"/>
    <w:qFormat/>
    <w:uiPriority w:val="0"/>
    <w:rPr>
      <w:rFonts w:ascii="宋体" w:hAnsi="Courier New"/>
      <w:szCs w:val="21"/>
    </w:rPr>
  </w:style>
  <w:style w:type="character" w:customStyle="1" w:styleId="82">
    <w:name w:val="批注文字 Char1"/>
    <w:qFormat/>
    <w:uiPriority w:val="0"/>
    <w:rPr>
      <w:rFonts w:ascii="Times New Roman" w:hAnsi="Times New Roman"/>
      <w:kern w:val="2"/>
      <w:sz w:val="21"/>
      <w:szCs w:val="24"/>
    </w:rPr>
  </w:style>
  <w:style w:type="paragraph" w:styleId="83">
    <w:name w:val="List Paragraph"/>
    <w:basedOn w:val="1"/>
    <w:qFormat/>
    <w:uiPriority w:val="34"/>
    <w:pPr>
      <w:ind w:firstLine="420" w:firstLineChars="200"/>
    </w:pPr>
  </w:style>
  <w:style w:type="paragraph" w:customStyle="1" w:styleId="84">
    <w:name w:val="Char Char Char1 Char Char Char Char Char Char Char"/>
    <w:basedOn w:val="1"/>
    <w:qFormat/>
    <w:uiPriority w:val="0"/>
  </w:style>
  <w:style w:type="paragraph" w:customStyle="1" w:styleId="85">
    <w:name w:val="Char Char Char"/>
    <w:basedOn w:val="1"/>
    <w:qFormat/>
    <w:uiPriority w:val="0"/>
    <w:rPr>
      <w:szCs w:val="20"/>
    </w:rPr>
  </w:style>
  <w:style w:type="paragraph" w:customStyle="1" w:styleId="86">
    <w:name w:val=" Char Char Char Char Char Char Char Char Char Char Char Char"/>
    <w:basedOn w:val="1"/>
    <w:qFormat/>
    <w:uiPriority w:val="0"/>
    <w:pPr>
      <w:widowControl/>
      <w:spacing w:after="160" w:afterLines="0" w:line="240" w:lineRule="exact"/>
      <w:jc w:val="left"/>
    </w:pPr>
  </w:style>
  <w:style w:type="paragraph" w:customStyle="1" w:styleId="87">
    <w:name w:val="列出段落1"/>
    <w:basedOn w:val="1"/>
    <w:qFormat/>
    <w:uiPriority w:val="34"/>
    <w:pPr>
      <w:spacing w:before="100" w:beforeAutospacing="1" w:after="100" w:afterAutospacing="1" w:line="360" w:lineRule="auto"/>
      <w:ind w:firstLine="420" w:firstLineChars="200"/>
    </w:pPr>
  </w:style>
  <w:style w:type="paragraph" w:customStyle="1" w:styleId="88">
    <w:name w:val="_Style 85"/>
    <w:basedOn w:val="3"/>
    <w:next w:val="1"/>
    <w:qFormat/>
    <w:uiPriority w:val="39"/>
    <w:pPr>
      <w:widowControl/>
      <w:spacing w:before="480" w:after="0" w:line="276" w:lineRule="auto"/>
      <w:jc w:val="left"/>
      <w:outlineLvl w:val="9"/>
    </w:pPr>
    <w:rPr>
      <w:rFonts w:ascii="Cambria" w:hAnsi="Cambria" w:eastAsia="宋体" w:cs="Times New Roman"/>
      <w:color w:val="365F91"/>
      <w:kern w:val="0"/>
      <w:sz w:val="28"/>
      <w:szCs w:val="28"/>
      <w:lang w:val="en-US" w:eastAsia="zh-CN"/>
    </w:rPr>
  </w:style>
  <w:style w:type="paragraph" w:customStyle="1" w:styleId="89">
    <w:name w:val="样式 标题 2 + 非加粗 首行缩进:  2 字符"/>
    <w:basedOn w:val="4"/>
    <w:qFormat/>
    <w:uiPriority w:val="0"/>
    <w:pPr>
      <w:spacing w:before="0" w:beforeLines="0" w:after="0" w:afterLines="0" w:line="600" w:lineRule="exact"/>
      <w:ind w:firstLine="640" w:firstLineChars="200"/>
      <w:jc w:val="left"/>
    </w:pPr>
    <w:rPr>
      <w:rFonts w:cs="宋体"/>
      <w:b w:val="0"/>
      <w:bCs w:val="0"/>
      <w:szCs w:val="20"/>
    </w:rPr>
  </w:style>
  <w:style w:type="paragraph" w:customStyle="1" w:styleId="90">
    <w:name w:val="Table Paragraph"/>
    <w:basedOn w:val="1"/>
    <w:qFormat/>
    <w:uiPriority w:val="1"/>
    <w:pPr>
      <w:jc w:val="left"/>
    </w:pPr>
    <w:rPr>
      <w:rFonts w:ascii="Calibri" w:hAnsi="Calibri"/>
      <w:kern w:val="0"/>
      <w:sz w:val="22"/>
      <w:szCs w:val="22"/>
      <w:lang w:eastAsia="en-US"/>
    </w:rPr>
  </w:style>
  <w:style w:type="paragraph" w:customStyle="1" w:styleId="91">
    <w:name w:val=" Char"/>
    <w:basedOn w:val="1"/>
    <w:qFormat/>
    <w:uiPriority w:val="0"/>
    <w:rPr>
      <w:szCs w:val="21"/>
    </w:rPr>
  </w:style>
  <w:style w:type="paragraph" w:customStyle="1" w:styleId="92">
    <w:name w:val="Char Char Char Char Char Char Char"/>
    <w:basedOn w:val="1"/>
    <w:qFormat/>
    <w:uiPriority w:val="0"/>
  </w:style>
  <w:style w:type="paragraph" w:customStyle="1" w:styleId="93">
    <w:name w:val=" Char Char Char Char Char Char Char"/>
    <w:basedOn w:val="1"/>
    <w:qFormat/>
    <w:uiPriority w:val="0"/>
  </w:style>
  <w:style w:type="paragraph" w:customStyle="1" w:styleId="94">
    <w:name w:val="样式5"/>
    <w:basedOn w:val="1"/>
    <w:qFormat/>
    <w:uiPriority w:val="0"/>
    <w:pPr>
      <w:adjustRightInd w:val="0"/>
      <w:spacing w:line="440" w:lineRule="exact"/>
      <w:ind w:left="2" w:firstLine="480" w:firstLineChars="200"/>
    </w:pPr>
    <w:rPr>
      <w:rFonts w:ascii="仿宋_GB2312" w:hAnsi="仿宋" w:eastAsia="仿宋_GB2312"/>
      <w:sz w:val="24"/>
    </w:rPr>
  </w:style>
  <w:style w:type="paragraph" w:customStyle="1" w:styleId="95">
    <w:name w:val="Char Char Char Char Char Char Char Char Char Char Char Char"/>
    <w:basedOn w:val="1"/>
    <w:qFormat/>
    <w:uiPriority w:val="0"/>
    <w:pPr>
      <w:widowControl/>
      <w:spacing w:after="160" w:afterLines="0" w:line="240" w:lineRule="exact"/>
      <w:jc w:val="left"/>
    </w:pPr>
  </w:style>
  <w:style w:type="paragraph" w:customStyle="1" w:styleId="96">
    <w:name w:val="表格文字"/>
    <w:basedOn w:val="16"/>
    <w:next w:val="15"/>
    <w:qFormat/>
    <w:uiPriority w:val="0"/>
    <w:pPr>
      <w:adjustRightInd w:val="0"/>
      <w:spacing w:line="420" w:lineRule="atLeast"/>
      <w:jc w:val="left"/>
      <w:textAlignment w:val="baseline"/>
    </w:pPr>
    <w:rPr>
      <w:kern w:val="0"/>
    </w:rPr>
  </w:style>
  <w:style w:type="paragraph" w:customStyle="1" w:styleId="97">
    <w:name w:val="_Style 94"/>
    <w:qFormat/>
    <w:uiPriority w:val="0"/>
    <w:rPr>
      <w:rFonts w:ascii="Times New Roman" w:hAnsi="Times New Roman" w:eastAsia="宋体" w:cs="Times New Roman"/>
      <w:kern w:val="2"/>
      <w:sz w:val="21"/>
      <w:szCs w:val="24"/>
      <w:lang w:val="en-US" w:eastAsia="zh-CN" w:bidi="ar-SA"/>
    </w:rPr>
  </w:style>
  <w:style w:type="paragraph" w:customStyle="1" w:styleId="98">
    <w:name w:val="正文段"/>
    <w:basedOn w:val="1"/>
    <w:qFormat/>
    <w:uiPriority w:val="0"/>
    <w:pPr>
      <w:widowControl/>
      <w:snapToGrid w:val="0"/>
      <w:spacing w:after="156" w:afterLines="50"/>
      <w:ind w:firstLine="200" w:firstLineChars="200"/>
    </w:pPr>
    <w:rPr>
      <w:kern w:val="0"/>
      <w:sz w:val="24"/>
      <w:szCs w:val="20"/>
    </w:rPr>
  </w:style>
  <w:style w:type="paragraph" w:customStyle="1" w:styleId="99">
    <w:name w:val="Char Char Char Char"/>
    <w:basedOn w:val="1"/>
    <w:qFormat/>
    <w:uiPriority w:val="0"/>
    <w:pPr>
      <w:widowControl/>
      <w:spacing w:after="160" w:afterLines="0" w:line="240" w:lineRule="exact"/>
      <w:jc w:val="left"/>
    </w:pPr>
  </w:style>
  <w:style w:type="paragraph" w:customStyle="1" w:styleId="100">
    <w:name w:val="Char"/>
    <w:basedOn w:val="1"/>
    <w:qFormat/>
    <w:uiPriority w:val="0"/>
  </w:style>
  <w:style w:type="paragraph" w:customStyle="1" w:styleId="101">
    <w:name w:val=" Char Char Char Char"/>
    <w:basedOn w:val="1"/>
    <w:qFormat/>
    <w:uiPriority w:val="0"/>
    <w:pPr>
      <w:widowControl/>
      <w:spacing w:after="160" w:afterLines="0" w:line="240" w:lineRule="exact"/>
      <w:jc w:val="left"/>
    </w:pPr>
  </w:style>
  <w:style w:type="paragraph" w:customStyle="1" w:styleId="102">
    <w:name w:val="样式 标题 1 + 居中 段前: 0 磅 段后: 0 磅 行距: 固定值 30 磅"/>
    <w:basedOn w:val="3"/>
    <w:qFormat/>
    <w:uiPriority w:val="0"/>
    <w:pPr>
      <w:spacing w:before="0" w:beforeLines="0" w:after="0" w:afterLines="0" w:line="600" w:lineRule="exact"/>
      <w:jc w:val="center"/>
    </w:pPr>
    <w:rPr>
      <w:rFonts w:cs="宋体"/>
      <w:szCs w:val="20"/>
    </w:rPr>
  </w:style>
  <w:style w:type="paragraph" w:customStyle="1" w:styleId="103">
    <w:name w:val="正文缩进1"/>
    <w:basedOn w:val="1"/>
    <w:next w:val="16"/>
    <w:qFormat/>
    <w:uiPriority w:val="0"/>
    <w:pPr>
      <w:autoSpaceDE w:val="0"/>
      <w:autoSpaceDN w:val="0"/>
      <w:adjustRightInd w:val="0"/>
      <w:snapToGrid w:val="0"/>
      <w:spacing w:after="120" w:line="360" w:lineRule="auto"/>
      <w:ind w:left="420" w:leftChars="200" w:firstLine="480" w:firstLineChars="200"/>
    </w:pPr>
    <w:rPr>
      <w:sz w:val="24"/>
      <w:szCs w:val="21"/>
    </w:rPr>
  </w:style>
  <w:style w:type="paragraph" w:customStyle="1" w:styleId="104">
    <w:name w:val="p0"/>
    <w:basedOn w:val="1"/>
    <w:qFormat/>
    <w:uiPriority w:val="0"/>
    <w:pPr>
      <w:widowControl/>
    </w:pPr>
    <w:rPr>
      <w:kern w:val="0"/>
      <w:szCs w:val="21"/>
    </w:rPr>
  </w:style>
  <w:style w:type="paragraph" w:customStyle="1" w:styleId="105">
    <w:name w:val="默认段落字体 Para Char Char Char Char Char Char Char Char Char1 Char Char Char Char"/>
    <w:basedOn w:val="1"/>
    <w:qFormat/>
    <w:uiPriority w:val="0"/>
    <w:rPr>
      <w:rFonts w:ascii="Tahoma" w:hAnsi="Tahoma"/>
      <w:sz w:val="24"/>
      <w:szCs w:val="20"/>
    </w:rPr>
  </w:style>
  <w:style w:type="character" w:customStyle="1" w:styleId="106">
    <w:name w:val="正文文本 字符"/>
    <w:qFormat/>
    <w:uiPriority w:val="99"/>
    <w:rPr>
      <w:kern w:val="2"/>
      <w:sz w:val="21"/>
      <w:szCs w:val="24"/>
    </w:rPr>
  </w:style>
  <w:style w:type="character" w:customStyle="1" w:styleId="107">
    <w:name w:val="纯文本 字符"/>
    <w:qFormat/>
    <w:uiPriority w:val="0"/>
    <w:rPr>
      <w:rFonts w:ascii="宋体" w:hAnsi="Courier New"/>
      <w:kern w:val="2"/>
      <w:sz w:val="21"/>
    </w:rPr>
  </w:style>
  <w:style w:type="character" w:customStyle="1" w:styleId="108">
    <w:name w:val="标题 1 字符"/>
    <w:qFormat/>
    <w:uiPriority w:val="0"/>
    <w:rPr>
      <w:b/>
      <w:bCs/>
      <w:kern w:val="44"/>
      <w:sz w:val="44"/>
      <w:szCs w:val="44"/>
    </w:rPr>
  </w:style>
  <w:style w:type="character" w:customStyle="1" w:styleId="109">
    <w:name w:val="标题 2 字符"/>
    <w:qFormat/>
    <w:uiPriority w:val="0"/>
    <w:rPr>
      <w:rFonts w:ascii="Arial" w:hAnsi="Arial" w:eastAsia="黑体"/>
      <w:b/>
      <w:bCs/>
      <w:kern w:val="2"/>
      <w:sz w:val="32"/>
      <w:szCs w:val="32"/>
    </w:rPr>
  </w:style>
  <w:style w:type="character" w:customStyle="1" w:styleId="110">
    <w:name w:val="标题 3 字符"/>
    <w:qFormat/>
    <w:uiPriority w:val="0"/>
    <w:rPr>
      <w:b/>
      <w:bCs/>
      <w:kern w:val="2"/>
      <w:sz w:val="32"/>
      <w:szCs w:val="32"/>
    </w:rPr>
  </w:style>
  <w:style w:type="character" w:customStyle="1" w:styleId="111">
    <w:name w:val="标题 4 字符"/>
    <w:qFormat/>
    <w:uiPriority w:val="0"/>
    <w:rPr>
      <w:rFonts w:ascii="Arial" w:eastAsia="黑体"/>
      <w:sz w:val="28"/>
    </w:rPr>
  </w:style>
  <w:style w:type="character" w:customStyle="1" w:styleId="112">
    <w:name w:val="标题 5 字符"/>
    <w:qFormat/>
    <w:uiPriority w:val="9"/>
    <w:rPr>
      <w:b/>
      <w:bCs/>
      <w:kern w:val="2"/>
      <w:sz w:val="28"/>
      <w:szCs w:val="28"/>
    </w:rPr>
  </w:style>
  <w:style w:type="character" w:customStyle="1" w:styleId="113">
    <w:name w:val="文档结构图 字符"/>
    <w:qFormat/>
    <w:uiPriority w:val="0"/>
    <w:rPr>
      <w:rFonts w:ascii="宋体"/>
      <w:kern w:val="2"/>
      <w:sz w:val="18"/>
      <w:szCs w:val="18"/>
    </w:rPr>
  </w:style>
  <w:style w:type="character" w:customStyle="1" w:styleId="114">
    <w:name w:val="批注文字 字符"/>
    <w:qFormat/>
    <w:uiPriority w:val="0"/>
    <w:rPr>
      <w:kern w:val="2"/>
      <w:sz w:val="21"/>
      <w:szCs w:val="24"/>
    </w:rPr>
  </w:style>
  <w:style w:type="character" w:customStyle="1" w:styleId="115">
    <w:name w:val="正文文本 3 字符"/>
    <w:qFormat/>
    <w:uiPriority w:val="99"/>
    <w:rPr>
      <w:kern w:val="2"/>
      <w:sz w:val="16"/>
      <w:szCs w:val="16"/>
    </w:rPr>
  </w:style>
  <w:style w:type="character" w:customStyle="1" w:styleId="116">
    <w:name w:val="正文文本缩进 字符"/>
    <w:qFormat/>
    <w:uiPriority w:val="0"/>
    <w:rPr>
      <w:rFonts w:ascii="宋体" w:hAnsi="Courier New"/>
      <w:spacing w:val="-4"/>
      <w:kern w:val="2"/>
      <w:sz w:val="18"/>
    </w:rPr>
  </w:style>
  <w:style w:type="character" w:customStyle="1" w:styleId="117">
    <w:name w:val="日期 字符"/>
    <w:qFormat/>
    <w:uiPriority w:val="0"/>
    <w:rPr>
      <w:kern w:val="2"/>
      <w:sz w:val="21"/>
      <w:szCs w:val="24"/>
    </w:rPr>
  </w:style>
  <w:style w:type="character" w:customStyle="1" w:styleId="118">
    <w:name w:val="正文文本缩进 2 字符"/>
    <w:qFormat/>
    <w:uiPriority w:val="0"/>
    <w:rPr>
      <w:kern w:val="2"/>
      <w:sz w:val="21"/>
      <w:szCs w:val="24"/>
    </w:rPr>
  </w:style>
  <w:style w:type="character" w:customStyle="1" w:styleId="119">
    <w:name w:val="批注框文本 字符"/>
    <w:qFormat/>
    <w:uiPriority w:val="0"/>
    <w:rPr>
      <w:kern w:val="2"/>
      <w:sz w:val="18"/>
      <w:szCs w:val="18"/>
    </w:rPr>
  </w:style>
  <w:style w:type="character" w:customStyle="1" w:styleId="120">
    <w:name w:val="页脚 字符1"/>
    <w:qFormat/>
    <w:uiPriority w:val="99"/>
    <w:rPr>
      <w:kern w:val="2"/>
      <w:sz w:val="18"/>
      <w:szCs w:val="18"/>
    </w:rPr>
  </w:style>
  <w:style w:type="character" w:customStyle="1" w:styleId="121">
    <w:name w:val="页眉 字符1"/>
    <w:qFormat/>
    <w:uiPriority w:val="99"/>
    <w:rPr>
      <w:kern w:val="2"/>
      <w:sz w:val="18"/>
      <w:szCs w:val="18"/>
    </w:rPr>
  </w:style>
  <w:style w:type="character" w:customStyle="1" w:styleId="122">
    <w:name w:val="批注主题 字符"/>
    <w:qFormat/>
    <w:uiPriority w:val="99"/>
    <w:rPr>
      <w:b/>
      <w:bCs/>
      <w:kern w:val="2"/>
      <w:sz w:val="21"/>
      <w:szCs w:val="24"/>
    </w:rPr>
  </w:style>
  <w:style w:type="paragraph" w:customStyle="1" w:styleId="123">
    <w:name w:val="_Style 117"/>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124">
    <w:name w:val="纯文本 字符1"/>
    <w:semiHidden/>
    <w:qFormat/>
    <w:locked/>
    <w:uiPriority w:val="0"/>
    <w:rPr>
      <w:rFonts w:ascii="宋体" w:hAnsi="Courier New"/>
      <w:kern w:val="2"/>
      <w:sz w:val="21"/>
    </w:rPr>
  </w:style>
  <w:style w:type="paragraph" w:customStyle="1" w:styleId="125">
    <w:name w:val="msonormal"/>
    <w:basedOn w:val="1"/>
    <w:qFormat/>
    <w:uiPriority w:val="0"/>
    <w:pPr>
      <w:widowControl/>
      <w:spacing w:before="100" w:beforeAutospacing="1" w:after="100" w:afterAutospacing="1"/>
      <w:jc w:val="left"/>
    </w:pPr>
    <w:rPr>
      <w:rFonts w:ascii="宋体" w:hAnsi="宋体" w:cs="宋体"/>
      <w:kern w:val="0"/>
      <w:sz w:val="24"/>
    </w:rPr>
  </w:style>
  <w:style w:type="paragraph" w:customStyle="1" w:styleId="126">
    <w:name w:val="Table Text"/>
    <w:basedOn w:val="1"/>
    <w:semiHidden/>
    <w:qFormat/>
    <w:uiPriority w:val="0"/>
    <w:pPr>
      <w:widowControl/>
      <w:kinsoku w:val="0"/>
      <w:autoSpaceDE w:val="0"/>
      <w:autoSpaceDN w:val="0"/>
      <w:adjustRightInd w:val="0"/>
      <w:snapToGrid w:val="0"/>
      <w:jc w:val="left"/>
      <w:textAlignment w:val="baseline"/>
    </w:pPr>
    <w:rPr>
      <w:rFonts w:ascii="宋体" w:hAnsi="宋体" w:cs="宋体"/>
      <w:color w:val="000000"/>
      <w:kern w:val="0"/>
      <w:szCs w:val="21"/>
    </w:rPr>
  </w:style>
  <w:style w:type="paragraph" w:customStyle="1" w:styleId="127">
    <w:name w:val="Default"/>
    <w:basedOn w:val="73"/>
    <w:next w:val="13"/>
    <w:qFormat/>
    <w:uiPriority w:val="0"/>
    <w:pPr>
      <w:widowControl w:val="0"/>
      <w:autoSpaceDE w:val="0"/>
      <w:autoSpaceDN w:val="0"/>
      <w:adjustRightInd w:val="0"/>
    </w:pPr>
    <w:rPr>
      <w:rFonts w:hint="eastAsia" w:ascii="方正仿宋_GBK" w:hAnsi="方正仿宋_GBK" w:eastAsia="方正仿宋_GBK"/>
      <w:color w:val="000000"/>
      <w:sz w:val="24"/>
      <w:lang w:val="en-US" w:eastAsia="zh-CN" w:bidi="ar-SA"/>
    </w:rPr>
  </w:style>
  <w:style w:type="paragraph" w:customStyle="1" w:styleId="128">
    <w:name w:val="Legal_L2"/>
    <w:basedOn w:val="1"/>
    <w:qFormat/>
    <w:uiPriority w:val="0"/>
    <w:pPr>
      <w:widowControl/>
      <w:spacing w:after="240" w:line="259" w:lineRule="auto"/>
      <w:jc w:val="left"/>
      <w:outlineLvl w:val="1"/>
    </w:pPr>
    <w:rPr>
      <w:kern w:val="0"/>
      <w:sz w:val="24"/>
      <w:lang w:eastAsia="en-US"/>
    </w:rPr>
  </w:style>
</w:styles>
</file>

<file path=word/_rels/document.xml.rels><?xml version="1.0" encoding="UTF-8" standalone="yes"?>
<Relationships xmlns="http://schemas.openxmlformats.org/package/2006/relationships"><Relationship Id="rId9" Type="http://schemas.openxmlformats.org/officeDocument/2006/relationships/footer" Target="footer6.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1" Type="http://schemas.openxmlformats.org/officeDocument/2006/relationships/fontTable" Target="fontTable.xml"/><Relationship Id="rId20" Type="http://schemas.openxmlformats.org/officeDocument/2006/relationships/numbering" Target="numbering.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image" Target="media/image1.png"/><Relationship Id="rId17" Type="http://schemas.openxmlformats.org/officeDocument/2006/relationships/theme" Target="theme/theme1.xml"/><Relationship Id="rId16" Type="http://schemas.openxmlformats.org/officeDocument/2006/relationships/footer" Target="footer12.xml"/><Relationship Id="rId15" Type="http://schemas.openxmlformats.org/officeDocument/2006/relationships/footer" Target="footer11.xml"/><Relationship Id="rId14" Type="http://schemas.openxmlformats.org/officeDocument/2006/relationships/footer" Target="footer10.xml"/><Relationship Id="rId13" Type="http://schemas.openxmlformats.org/officeDocument/2006/relationships/footer" Target="footer9.xml"/><Relationship Id="rId12" Type="http://schemas.openxmlformats.org/officeDocument/2006/relationships/footer" Target="footer8.xml"/><Relationship Id="rId11" Type="http://schemas.openxmlformats.org/officeDocument/2006/relationships/footer" Target="footer7.xml"/><Relationship Id="rId10" Type="http://schemas.openxmlformats.org/officeDocument/2006/relationships/header" Target="header2.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settings.xml.rels><?xml version="1.0" encoding="UTF-8" standalone="yes"?>
<Relationships xmlns="http://schemas.openxmlformats.org/package/2006/relationships"><Relationship Id="rId1" Type="http://schemas.openxmlformats.org/officeDocument/2006/relationships/attachedTemplate" Target="file:///D:\home\gxxc\D:\home\gxxc\D:\home\gxxc\D:\home\gxxc\D:\Users\langzhengyi\Library\Containers\com.kingsoft.wpsoffice.mac\Data\C:\Users\langzhengyi\Library\Containers\com.kingsoft.wpsoffice.mac\Data\C:\home\inspur\C:\home\inspur\192.168.200.66\4&#37096;&#20849;&#20139;1\2025&#24180;&#25307;&#26631;&#39033;&#30446;\11&#26376;\&#20840;&#21306;&#38750;&#27861;&#22534;&#23384;&#12289;&#36716;&#31227;&#28041;&#37325;&#22266;&#20307;&#24223;&#29289;&#21361;&#38505;&#29305;&#24615;&#37492;&#21035;&#21450;&#27745;&#26579;&#37322;&#25918;&#33021;&#21147;&#35780;&#20272;&#39033;&#30446;\&#65288;1117&#25307;&#26631;&#25991;&#20214;&#65289;12.&#20840;&#21306;&#38750;&#27861;&#22534;&#23384;&#12289;&#36716;&#31227;&#28041;&#37325;&#22266;&#20307;&#24223;&#29289;&#21361;&#38505;&#29305;&#24615;&#37492;&#21035;&#21450;&#27745;&#26579;&#37322;&#25918;&#33021;&#21147;&#35780;&#20272;&#39033;&#30446;.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（1117招标文件）12.全区非法堆存、转移涉重固体废物危险特性鉴别及污染释放能力评估项目.dotx</Template>
  <Pages>86</Pages>
  <Words>330</Words>
  <Characters>380</Characters>
  <Lines>1</Lines>
  <Paragraphs>1</Paragraphs>
  <TotalTime>34</TotalTime>
  <ScaleCrop>false</ScaleCrop>
  <LinksUpToDate>false</LinksUpToDate>
  <CharactersWithSpaces>501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2025-11-24T19:43:00Z</dcterms:created>
  <dc:creator>黄艳颀</dc:creator>
  <cp:lastModifiedBy>招标中心</cp:lastModifiedBy>
  <cp:lastPrinted>2026-07-23T22:56:00Z</cp:lastPrinted>
  <dcterms:modified xsi:type="dcterms:W3CDTF">2026-07-29T10:09:20Z</dcterms:modified>
  <dc:title>南财采管〔2012〕3号</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516094F105BB41F9AC0F45B258B5E081_13</vt:lpwstr>
  </property>
  <property fmtid="{D5CDD505-2E9C-101B-9397-08002B2CF9AE}" pid="4" name="KSOTemplateDocerSaveRecord">
    <vt:lpwstr>eyJoZGlkIjoiYTAwODU1ZGIxYTBmMTA4M2ZkMDM3YzRhZWY3NWFjNDMiLCJ1c2VySWQiOiIxNTQ4OTc5NDEzIn0=</vt:lpwstr>
  </property>
</Properties>
</file>